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4D" w:rsidRPr="00A530FF" w:rsidRDefault="00864F4D">
      <w:pPr>
        <w:rPr>
          <w:sz w:val="22"/>
          <w:szCs w:val="22"/>
          <w:lang w:val="hu-HU"/>
        </w:rPr>
      </w:pPr>
      <w:bookmarkStart w:id="0" w:name="_GoBack"/>
      <w:bookmarkEnd w:id="0"/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pStyle w:val="Heading2"/>
        <w:rPr>
          <w:szCs w:val="22"/>
          <w:lang w:val="hu-HU"/>
        </w:rPr>
      </w:pPr>
      <w:r w:rsidRPr="00A530FF">
        <w:rPr>
          <w:szCs w:val="22"/>
          <w:lang w:val="hu-HU"/>
        </w:rPr>
        <w:t>I. MELLÉKLET</w:t>
      </w:r>
    </w:p>
    <w:p w:rsidR="00DA1F84" w:rsidRPr="00A530FF" w:rsidRDefault="00DA1F84">
      <w:pPr>
        <w:ind w:left="709" w:hanging="709"/>
        <w:jc w:val="center"/>
        <w:rPr>
          <w:b/>
          <w:sz w:val="22"/>
          <w:szCs w:val="22"/>
          <w:lang w:val="hu-HU"/>
        </w:rPr>
      </w:pPr>
    </w:p>
    <w:p w:rsidR="00DA1F84" w:rsidRPr="00A530FF" w:rsidRDefault="00DA1F84" w:rsidP="000A0A3A">
      <w:pPr>
        <w:pStyle w:val="TitleA"/>
      </w:pPr>
      <w:r w:rsidRPr="00A530FF">
        <w:t>ALKALMAZÁSI ELŐÍRÁS</w:t>
      </w:r>
    </w:p>
    <w:p w:rsidR="00DA1F84" w:rsidRPr="00A530FF" w:rsidRDefault="00DA1F84" w:rsidP="00FE383C">
      <w:pPr>
        <w:pStyle w:val="Heading3"/>
        <w:keepNext w:val="0"/>
        <w:tabs>
          <w:tab w:val="left" w:pos="567"/>
        </w:tabs>
        <w:rPr>
          <w:szCs w:val="22"/>
          <w:lang w:val="hu-HU"/>
        </w:rPr>
      </w:pPr>
      <w:r w:rsidRPr="00A530FF">
        <w:rPr>
          <w:b w:val="0"/>
          <w:szCs w:val="22"/>
          <w:lang w:val="hu-HU"/>
        </w:rPr>
        <w:br w:type="page"/>
      </w:r>
      <w:r w:rsidRPr="00A530FF">
        <w:rPr>
          <w:szCs w:val="22"/>
          <w:lang w:val="hu-HU"/>
        </w:rPr>
        <w:lastRenderedPageBreak/>
        <w:t>1.</w:t>
      </w:r>
      <w:r w:rsidRPr="00A530FF">
        <w:rPr>
          <w:szCs w:val="22"/>
          <w:lang w:val="hu-HU"/>
        </w:rPr>
        <w:tab/>
        <w:t>A GYÓGYSZER NEVE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Ferriprox 500 mg filmtabletta</w:t>
      </w:r>
    </w:p>
    <w:p w:rsidR="00643661" w:rsidRPr="00A530FF" w:rsidRDefault="00643661" w:rsidP="00643661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Ferriprox 1000 mg filmtabletta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2.</w:t>
      </w:r>
      <w:r w:rsidRPr="00A530FF">
        <w:rPr>
          <w:b/>
          <w:caps/>
          <w:sz w:val="22"/>
          <w:szCs w:val="22"/>
          <w:lang w:val="hu-HU"/>
        </w:rPr>
        <w:tab/>
        <w:t>MINŐSÉGI ÉS MENNYISÉGI ÖSSZETÉTEL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643661" w:rsidRPr="00643661" w:rsidRDefault="00643661" w:rsidP="00643661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500 mg deferipron</w:t>
      </w:r>
      <w:r w:rsidR="00BB3408">
        <w:rPr>
          <w:sz w:val="22"/>
          <w:szCs w:val="22"/>
          <w:lang w:val="hu-HU"/>
        </w:rPr>
        <w:t>t tartalmaz</w:t>
      </w:r>
      <w:r w:rsidRPr="00A530FF">
        <w:rPr>
          <w:sz w:val="22"/>
          <w:szCs w:val="22"/>
          <w:lang w:val="hu-HU"/>
        </w:rPr>
        <w:t xml:space="preserve"> filmtablettánként.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643661" w:rsidRPr="00643661" w:rsidRDefault="00643661" w:rsidP="00643661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643661" w:rsidRDefault="00643661" w:rsidP="00643661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1000 mg deferipron</w:t>
      </w:r>
      <w:r w:rsidR="00BB3408">
        <w:rPr>
          <w:sz w:val="22"/>
          <w:szCs w:val="22"/>
          <w:lang w:val="hu-HU"/>
        </w:rPr>
        <w:t>t tartalmaz</w:t>
      </w:r>
      <w:r w:rsidRPr="00A530FF">
        <w:rPr>
          <w:sz w:val="22"/>
          <w:szCs w:val="22"/>
          <w:lang w:val="hu-HU"/>
        </w:rPr>
        <w:t xml:space="preserve"> filmtablettánként.</w:t>
      </w:r>
    </w:p>
    <w:p w:rsidR="00643661" w:rsidRPr="00A530FF" w:rsidRDefault="00643661" w:rsidP="00643661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segédanyagok teljes listáját lásd a 6.1 pontban.</w:t>
      </w: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3.</w:t>
      </w:r>
      <w:r w:rsidRPr="00A530FF">
        <w:rPr>
          <w:b/>
          <w:caps/>
          <w:sz w:val="22"/>
          <w:szCs w:val="22"/>
          <w:lang w:val="hu-HU"/>
        </w:rPr>
        <w:tab/>
        <w:t>GYógyszerforma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Filmtabletta.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643661" w:rsidRPr="00643661" w:rsidRDefault="00643661" w:rsidP="00643661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Fehér</w:t>
      </w:r>
      <w:r w:rsidR="00BB3408">
        <w:rPr>
          <w:sz w:val="22"/>
          <w:szCs w:val="22"/>
          <w:lang w:val="hu-HU"/>
        </w:rPr>
        <w:t xml:space="preserve"> vagy csaknem </w:t>
      </w:r>
      <w:r w:rsidRPr="00A530FF">
        <w:rPr>
          <w:sz w:val="22"/>
          <w:szCs w:val="22"/>
          <w:lang w:val="hu-HU"/>
        </w:rPr>
        <w:t xml:space="preserve">fehér, hosszúkás alakú filmtabletta, az egyik oldalán </w:t>
      </w:r>
      <w:r w:rsidR="00BB3408">
        <w:rPr>
          <w:sz w:val="22"/>
          <w:szCs w:val="22"/>
          <w:lang w:val="hu-HU"/>
        </w:rPr>
        <w:t>„</w:t>
      </w:r>
      <w:r w:rsidRPr="00A530FF">
        <w:rPr>
          <w:sz w:val="22"/>
          <w:szCs w:val="22"/>
          <w:lang w:val="hu-HU"/>
        </w:rPr>
        <w:t xml:space="preserve">APO” és </w:t>
      </w:r>
      <w:r w:rsidR="00BB3408">
        <w:rPr>
          <w:sz w:val="22"/>
          <w:szCs w:val="22"/>
          <w:lang w:val="hu-HU"/>
        </w:rPr>
        <w:t>„</w:t>
      </w:r>
      <w:r w:rsidRPr="00A530FF">
        <w:rPr>
          <w:sz w:val="22"/>
          <w:szCs w:val="22"/>
          <w:lang w:val="hu-HU"/>
        </w:rPr>
        <w:t>500” felirattal ellátva, a másik oldala jelzés nélküli. A tabletta felezővonallal van ellátva. A tabletta egyenlő adagokra osztható.</w:t>
      </w:r>
    </w:p>
    <w:p w:rsidR="00643661" w:rsidRDefault="00643661" w:rsidP="00643661">
      <w:pPr>
        <w:rPr>
          <w:sz w:val="22"/>
          <w:szCs w:val="22"/>
          <w:u w:val="single"/>
          <w:lang w:val="hu-HU"/>
        </w:rPr>
      </w:pPr>
    </w:p>
    <w:p w:rsidR="00643661" w:rsidRPr="00643661" w:rsidRDefault="00643661" w:rsidP="00643661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643661" w:rsidRPr="00A530FF" w:rsidRDefault="00643661" w:rsidP="00643661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Fehér</w:t>
      </w:r>
      <w:r w:rsidR="00BB3408">
        <w:rPr>
          <w:sz w:val="22"/>
          <w:szCs w:val="22"/>
          <w:lang w:val="hu-HU"/>
        </w:rPr>
        <w:t xml:space="preserve"> vagy csaknem</w:t>
      </w:r>
      <w:r w:rsidRPr="00A530FF">
        <w:rPr>
          <w:sz w:val="22"/>
          <w:szCs w:val="22"/>
          <w:lang w:val="hu-HU"/>
        </w:rPr>
        <w:t xml:space="preserve"> fehér, hosszúkás alakú filmtabletta, az egyik oldalán „APO” és „1000” felirattal ellátva, a másik oldala jelzés nélküli. A tabletta felezővonallal van ellátva. A tabletta egyenlő adagokra osztható.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4.</w:t>
      </w:r>
      <w:r w:rsidRPr="00A530FF">
        <w:rPr>
          <w:b/>
          <w:caps/>
          <w:sz w:val="22"/>
          <w:szCs w:val="22"/>
          <w:lang w:val="hu-HU"/>
        </w:rPr>
        <w:tab/>
        <w:t>klinikai jellemzők</w:t>
      </w: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4.1</w:t>
      </w:r>
      <w:r w:rsidRPr="00A530FF">
        <w:rPr>
          <w:b/>
          <w:sz w:val="22"/>
          <w:szCs w:val="22"/>
          <w:lang w:val="hu-HU"/>
        </w:rPr>
        <w:tab/>
        <w:t>Terápiás javallatok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5315EE" w:rsidRPr="005315EE" w:rsidRDefault="005315EE" w:rsidP="008652E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5315EE">
        <w:rPr>
          <w:rFonts w:ascii="Times New Roman" w:hAnsi="Times New Roman"/>
          <w:szCs w:val="22"/>
          <w:lang w:val="hu-HU"/>
        </w:rPr>
        <w:t>A Ferriprox</w:t>
      </w:r>
      <w:r w:rsidR="00E43478">
        <w:rPr>
          <w:rFonts w:ascii="Times New Roman" w:hAnsi="Times New Roman"/>
          <w:szCs w:val="22"/>
          <w:lang w:val="hu-HU"/>
        </w:rPr>
        <w:t>-</w:t>
      </w:r>
      <w:r w:rsidRPr="005315EE">
        <w:rPr>
          <w:rFonts w:ascii="Times New Roman" w:hAnsi="Times New Roman"/>
          <w:szCs w:val="22"/>
          <w:lang w:val="hu-HU"/>
        </w:rPr>
        <w:t>monoterápia a thalassaemi</w:t>
      </w:r>
      <w:r w:rsidR="00217412">
        <w:rPr>
          <w:rFonts w:ascii="Times New Roman" w:hAnsi="Times New Roman"/>
          <w:szCs w:val="22"/>
          <w:lang w:val="hu-HU"/>
        </w:rPr>
        <w:t>a major</w:t>
      </w:r>
      <w:r w:rsidRPr="005315EE">
        <w:rPr>
          <w:rFonts w:ascii="Times New Roman" w:hAnsi="Times New Roman"/>
          <w:szCs w:val="22"/>
          <w:lang w:val="hu-HU"/>
        </w:rPr>
        <w:t>ban szenvedő betegek vastúlterhelésének a kezelésére javall</w:t>
      </w:r>
      <w:r w:rsidR="00ED3529">
        <w:rPr>
          <w:rFonts w:ascii="Times New Roman" w:hAnsi="Times New Roman"/>
          <w:szCs w:val="22"/>
          <w:lang w:val="hu-HU"/>
        </w:rPr>
        <w:t>ot</w:t>
      </w:r>
      <w:r w:rsidRPr="005315EE">
        <w:rPr>
          <w:rFonts w:ascii="Times New Roman" w:hAnsi="Times New Roman"/>
          <w:szCs w:val="22"/>
          <w:lang w:val="hu-HU"/>
        </w:rPr>
        <w:t xml:space="preserve">t, ha a jelenlegi kelátterápia ellenjavallt vagy </w:t>
      </w:r>
      <w:r w:rsidR="00AD0BA6">
        <w:rPr>
          <w:rFonts w:ascii="Times New Roman" w:hAnsi="Times New Roman"/>
          <w:szCs w:val="22"/>
          <w:lang w:val="hu-HU"/>
        </w:rPr>
        <w:t>nem kielégítő</w:t>
      </w:r>
      <w:r w:rsidRPr="005315EE">
        <w:rPr>
          <w:rFonts w:ascii="Times New Roman" w:hAnsi="Times New Roman"/>
          <w:szCs w:val="22"/>
          <w:lang w:val="hu-HU"/>
        </w:rPr>
        <w:t>.</w:t>
      </w:r>
    </w:p>
    <w:p w:rsidR="005315EE" w:rsidRPr="005315EE" w:rsidRDefault="005315EE" w:rsidP="008652E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</w:p>
    <w:p w:rsidR="00DA1F84" w:rsidRPr="00A530FF" w:rsidRDefault="005315EE" w:rsidP="008652E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5315EE">
        <w:rPr>
          <w:rFonts w:ascii="Times New Roman" w:hAnsi="Times New Roman"/>
          <w:szCs w:val="22"/>
          <w:lang w:val="hu-HU"/>
        </w:rPr>
        <w:t xml:space="preserve">A Ferriprox más kelátképző szerekkel (lásd 4.4 pont) való kombinálása a </w:t>
      </w:r>
      <w:r w:rsidR="009E0F23" w:rsidRPr="005315EE">
        <w:rPr>
          <w:rFonts w:ascii="Times New Roman" w:hAnsi="Times New Roman"/>
          <w:szCs w:val="22"/>
          <w:lang w:val="hu-HU"/>
        </w:rPr>
        <w:t>thalassaemi</w:t>
      </w:r>
      <w:r w:rsidR="009E0F23">
        <w:rPr>
          <w:rFonts w:ascii="Times New Roman" w:hAnsi="Times New Roman"/>
          <w:szCs w:val="22"/>
          <w:lang w:val="hu-HU"/>
        </w:rPr>
        <w:t>a major</w:t>
      </w:r>
      <w:r w:rsidR="009E0F23" w:rsidRPr="005315EE">
        <w:rPr>
          <w:rFonts w:ascii="Times New Roman" w:hAnsi="Times New Roman"/>
          <w:szCs w:val="22"/>
          <w:lang w:val="hu-HU"/>
        </w:rPr>
        <w:t xml:space="preserve">ban </w:t>
      </w:r>
      <w:r w:rsidRPr="005315EE">
        <w:rPr>
          <w:rFonts w:ascii="Times New Roman" w:hAnsi="Times New Roman"/>
          <w:szCs w:val="22"/>
          <w:lang w:val="hu-HU"/>
        </w:rPr>
        <w:t>szenvedő betegek kezelésére akkor javall</w:t>
      </w:r>
      <w:r w:rsidR="00AD0BA6">
        <w:rPr>
          <w:rFonts w:ascii="Times New Roman" w:hAnsi="Times New Roman"/>
          <w:szCs w:val="22"/>
          <w:lang w:val="hu-HU"/>
        </w:rPr>
        <w:t>ot</w:t>
      </w:r>
      <w:r w:rsidRPr="005315EE">
        <w:rPr>
          <w:rFonts w:ascii="Times New Roman" w:hAnsi="Times New Roman"/>
          <w:szCs w:val="22"/>
          <w:lang w:val="hu-HU"/>
        </w:rPr>
        <w:t xml:space="preserve">t, ha a bármely kelátképző szerrel végzett monoterápia hatástalan, vagy ha a vastúlterhelés életveszélyes következményeinek (elsősorban a szív túlterhelésének) megelőzése vagy kezelése </w:t>
      </w:r>
      <w:r w:rsidR="008C3179">
        <w:rPr>
          <w:rFonts w:ascii="Times New Roman" w:hAnsi="Times New Roman"/>
          <w:szCs w:val="22"/>
          <w:lang w:val="hu-HU"/>
        </w:rPr>
        <w:t xml:space="preserve">érdekében </w:t>
      </w:r>
      <w:r w:rsidRPr="005315EE">
        <w:rPr>
          <w:rFonts w:ascii="Times New Roman" w:hAnsi="Times New Roman"/>
          <w:szCs w:val="22"/>
          <w:lang w:val="hu-HU"/>
        </w:rPr>
        <w:t xml:space="preserve">gyors és intenzív </w:t>
      </w:r>
      <w:r w:rsidR="00AD0BA6">
        <w:rPr>
          <w:rFonts w:ascii="Times New Roman" w:hAnsi="Times New Roman"/>
          <w:szCs w:val="22"/>
          <w:lang w:val="hu-HU"/>
        </w:rPr>
        <w:t>korrekció</w:t>
      </w:r>
      <w:r w:rsidRPr="005315EE">
        <w:rPr>
          <w:rFonts w:ascii="Times New Roman" w:hAnsi="Times New Roman"/>
          <w:szCs w:val="22"/>
          <w:lang w:val="hu-HU"/>
        </w:rPr>
        <w:t xml:space="preserve"> indokol</w:t>
      </w:r>
      <w:r w:rsidR="008C3179">
        <w:rPr>
          <w:rFonts w:ascii="Times New Roman" w:hAnsi="Times New Roman"/>
          <w:szCs w:val="22"/>
          <w:lang w:val="hu-HU"/>
        </w:rPr>
        <w:t>t</w:t>
      </w:r>
      <w:r w:rsidRPr="005315EE">
        <w:rPr>
          <w:rFonts w:ascii="Times New Roman" w:hAnsi="Times New Roman"/>
          <w:szCs w:val="22"/>
          <w:lang w:val="hu-HU"/>
        </w:rPr>
        <w:t xml:space="preserve"> (lásd 4.2</w:t>
      </w:r>
      <w:r w:rsidR="008C3179">
        <w:rPr>
          <w:rFonts w:ascii="Times New Roman" w:hAnsi="Times New Roman"/>
          <w:szCs w:val="22"/>
          <w:lang w:val="hu-HU"/>
        </w:rPr>
        <w:t> </w:t>
      </w:r>
      <w:r w:rsidRPr="005315EE">
        <w:rPr>
          <w:rFonts w:ascii="Times New Roman" w:hAnsi="Times New Roman"/>
          <w:szCs w:val="22"/>
          <w:lang w:val="hu-HU"/>
        </w:rPr>
        <w:t>pont).</w:t>
      </w:r>
    </w:p>
    <w:p w:rsidR="008C58DB" w:rsidRPr="00A530FF" w:rsidRDefault="008C58DB">
      <w:pPr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4.2</w:t>
      </w:r>
      <w:r w:rsidRPr="00A530FF">
        <w:rPr>
          <w:b/>
          <w:sz w:val="22"/>
          <w:szCs w:val="22"/>
          <w:lang w:val="hu-HU"/>
        </w:rPr>
        <w:tab/>
        <w:t>Adagolás és alkalmazás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deferipron-terápiát thalassaemiás betegek kezelésében jártas orvos kezdeményezze és végezze.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AC6ECE" w:rsidRPr="00A530FF" w:rsidRDefault="000A32DE">
      <w:pPr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Adagolás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deferipront általában 25 mg/testtömegkilogramm arányban adagolják, orálisan, napi három alkalommal, így a napi teljes dózis 75 mg/testtömegkilogramm.</w:t>
      </w:r>
      <w:r w:rsidR="004B7356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A testtömegkilogrammnak megfelelő dózis fél vagy egész tablettára kerekítve számítandó. Az alábbi táblázat</w:t>
      </w:r>
      <w:r w:rsidR="008C58DB">
        <w:rPr>
          <w:sz w:val="22"/>
          <w:szCs w:val="22"/>
          <w:lang w:val="hu-HU"/>
        </w:rPr>
        <w:t>ok</w:t>
      </w:r>
      <w:r w:rsidRPr="00A530FF">
        <w:rPr>
          <w:sz w:val="22"/>
          <w:szCs w:val="22"/>
          <w:lang w:val="hu-HU"/>
        </w:rPr>
        <w:t>ban láthatók az ajánlott adagok, 10 kilogammonként növekvő testtömegértékekre vonatkoztatva.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AC6ECE" w:rsidRDefault="00AC6ECE" w:rsidP="00AC6ECE">
      <w:pPr>
        <w:pStyle w:val="BodyText"/>
        <w:tabs>
          <w:tab w:val="clear" w:pos="567"/>
        </w:tabs>
        <w:spacing w:line="240" w:lineRule="auto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lastRenderedPageBreak/>
        <w:t>A körülbelül 75 mg/</w:t>
      </w:r>
      <w:r w:rsidR="008C3179">
        <w:rPr>
          <w:szCs w:val="22"/>
          <w:lang w:val="hu-HU"/>
        </w:rPr>
        <w:t>tt</w:t>
      </w:r>
      <w:r w:rsidRPr="00A530FF">
        <w:rPr>
          <w:szCs w:val="22"/>
          <w:lang w:val="hu-HU"/>
        </w:rPr>
        <w:t>kg/nap dózis eléréséhez alkalmazza az alábbi táblázat</w:t>
      </w:r>
      <w:r w:rsidR="008C58DB">
        <w:rPr>
          <w:szCs w:val="22"/>
          <w:lang w:val="hu-HU"/>
        </w:rPr>
        <w:t>ok</w:t>
      </w:r>
      <w:r w:rsidRPr="00A530FF">
        <w:rPr>
          <w:szCs w:val="22"/>
          <w:lang w:val="hu-HU"/>
        </w:rPr>
        <w:t>ban a beteg test</w:t>
      </w:r>
      <w:r w:rsidR="001A556F" w:rsidRPr="00A530FF">
        <w:rPr>
          <w:szCs w:val="22"/>
          <w:lang w:val="hu-HU"/>
        </w:rPr>
        <w:t>tömege</w:t>
      </w:r>
      <w:r w:rsidRPr="00A530FF">
        <w:rPr>
          <w:szCs w:val="22"/>
          <w:lang w:val="hu-HU"/>
        </w:rPr>
        <w:t xml:space="preserve"> szerint javasolt számú tablettát. A táblázat</w:t>
      </w:r>
      <w:r w:rsidR="000540CB">
        <w:rPr>
          <w:szCs w:val="22"/>
          <w:lang w:val="hu-HU"/>
        </w:rPr>
        <w:t>ok</w:t>
      </w:r>
      <w:r w:rsidRPr="00A530FF">
        <w:rPr>
          <w:szCs w:val="22"/>
          <w:lang w:val="hu-HU"/>
        </w:rPr>
        <w:t xml:space="preserve"> 10 kilogrammonként növekvő testtömegértékeket sorol</w:t>
      </w:r>
      <w:r w:rsidR="000540CB">
        <w:rPr>
          <w:szCs w:val="22"/>
          <w:lang w:val="hu-HU"/>
        </w:rPr>
        <w:t>nak</w:t>
      </w:r>
      <w:r w:rsidRPr="00A530FF">
        <w:rPr>
          <w:szCs w:val="22"/>
          <w:lang w:val="hu-HU"/>
        </w:rPr>
        <w:t xml:space="preserve"> fel.</w:t>
      </w:r>
    </w:p>
    <w:p w:rsidR="000540CB" w:rsidRPr="00A530FF" w:rsidRDefault="000540CB" w:rsidP="00AC6ECE">
      <w:pPr>
        <w:pStyle w:val="BodyText"/>
        <w:tabs>
          <w:tab w:val="clear" w:pos="567"/>
        </w:tabs>
        <w:spacing w:line="240" w:lineRule="auto"/>
        <w:jc w:val="left"/>
        <w:rPr>
          <w:szCs w:val="22"/>
          <w:lang w:val="hu-HU"/>
        </w:rPr>
      </w:pPr>
    </w:p>
    <w:p w:rsidR="00AC6ECE" w:rsidRDefault="00A055DC" w:rsidP="000D64AF">
      <w:pPr>
        <w:pStyle w:val="BodyText"/>
        <w:keepNext/>
        <w:tabs>
          <w:tab w:val="clear" w:pos="567"/>
        </w:tabs>
        <w:spacing w:line="240" w:lineRule="auto"/>
        <w:jc w:val="left"/>
        <w:rPr>
          <w:b/>
          <w:i/>
          <w:szCs w:val="22"/>
          <w:lang w:val="hu-HU"/>
        </w:rPr>
      </w:pPr>
      <w:r w:rsidRPr="00A055DC">
        <w:rPr>
          <w:b/>
          <w:i/>
          <w:szCs w:val="22"/>
          <w:lang w:val="hu-HU"/>
        </w:rPr>
        <w:t>Ferriprox 500</w:t>
      </w:r>
      <w:r w:rsidR="000D64AF">
        <w:rPr>
          <w:b/>
          <w:i/>
          <w:szCs w:val="22"/>
          <w:lang w:val="hu-HU"/>
        </w:rPr>
        <w:t> </w:t>
      </w:r>
      <w:r w:rsidRPr="00A055DC">
        <w:rPr>
          <w:b/>
          <w:i/>
          <w:szCs w:val="22"/>
          <w:lang w:val="hu-HU"/>
        </w:rPr>
        <w:t>mg filmtabletta adagolási táblázata</w:t>
      </w:r>
    </w:p>
    <w:p w:rsidR="00A055DC" w:rsidRPr="00A055DC" w:rsidRDefault="00A055DC" w:rsidP="0055462C">
      <w:pPr>
        <w:pStyle w:val="BodyText"/>
        <w:keepNext/>
        <w:tabs>
          <w:tab w:val="clear" w:pos="567"/>
        </w:tabs>
        <w:spacing w:line="240" w:lineRule="auto"/>
        <w:jc w:val="left"/>
        <w:rPr>
          <w:b/>
          <w:i/>
          <w:szCs w:val="22"/>
          <w:lang w:val="hu-HU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2520"/>
        <w:gridCol w:w="2610"/>
      </w:tblGrid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tabs>
                <w:tab w:val="left" w:pos="72"/>
                <w:tab w:val="left" w:pos="162"/>
                <w:tab w:val="left" w:pos="432"/>
                <w:tab w:val="left" w:pos="702"/>
              </w:tabs>
              <w:ind w:left="-648" w:right="-558"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Test</w:t>
            </w:r>
            <w:r w:rsidR="001A556F" w:rsidRPr="00A530FF">
              <w:rPr>
                <w:b/>
                <w:sz w:val="22"/>
                <w:szCs w:val="22"/>
                <w:lang w:val="hu-HU"/>
              </w:rPr>
              <w:t>tömeg</w:t>
            </w:r>
          </w:p>
          <w:p w:rsidR="00AC6ECE" w:rsidRPr="00A530FF" w:rsidRDefault="00AC6ECE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(kg)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Teljes napi adag</w:t>
            </w:r>
          </w:p>
          <w:p w:rsidR="00AC6ECE" w:rsidRPr="00A530FF" w:rsidRDefault="00AC6ECE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(mg)</w:t>
            </w:r>
          </w:p>
        </w:tc>
        <w:tc>
          <w:tcPr>
            <w:tcW w:w="2520" w:type="dxa"/>
            <w:tcBorders>
              <w:right w:val="single" w:sz="4" w:space="0" w:color="000000"/>
            </w:tcBorders>
          </w:tcPr>
          <w:p w:rsidR="00AC6ECE" w:rsidRPr="00A530FF" w:rsidRDefault="00AC6ECE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Egyszeri adag (mg)</w:t>
            </w:r>
          </w:p>
          <w:p w:rsidR="00AC6ECE" w:rsidRPr="00A530FF" w:rsidRDefault="00AC6ECE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(napi háromszor)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Tabletták száma</w:t>
            </w:r>
          </w:p>
          <w:p w:rsidR="00AC6ECE" w:rsidRPr="00A530FF" w:rsidRDefault="00AC6ECE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(napi háromszor)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1500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500</w:t>
            </w:r>
          </w:p>
        </w:tc>
        <w:tc>
          <w:tcPr>
            <w:tcW w:w="2610" w:type="dxa"/>
            <w:tcBorders>
              <w:top w:val="single" w:sz="4" w:space="0" w:color="000000"/>
            </w:tcBorders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2250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750</w:t>
            </w:r>
          </w:p>
        </w:tc>
        <w:tc>
          <w:tcPr>
            <w:tcW w:w="261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3000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1000</w:t>
            </w:r>
          </w:p>
        </w:tc>
        <w:tc>
          <w:tcPr>
            <w:tcW w:w="261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3750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1250</w:t>
            </w:r>
          </w:p>
        </w:tc>
        <w:tc>
          <w:tcPr>
            <w:tcW w:w="261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2,5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4500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1500</w:t>
            </w:r>
          </w:p>
        </w:tc>
        <w:tc>
          <w:tcPr>
            <w:tcW w:w="261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3,0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70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5250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1750</w:t>
            </w:r>
          </w:p>
        </w:tc>
        <w:tc>
          <w:tcPr>
            <w:tcW w:w="261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3,5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80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6000</w:t>
            </w:r>
          </w:p>
        </w:tc>
        <w:tc>
          <w:tcPr>
            <w:tcW w:w="252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2000</w:t>
            </w:r>
          </w:p>
        </w:tc>
        <w:tc>
          <w:tcPr>
            <w:tcW w:w="2610" w:type="dxa"/>
          </w:tcPr>
          <w:p w:rsidR="00AC6ECE" w:rsidRPr="00A530FF" w:rsidRDefault="00AC6ECE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4,0</w:t>
            </w:r>
          </w:p>
        </w:tc>
      </w:tr>
      <w:tr w:rsidR="00930597">
        <w:tc>
          <w:tcPr>
            <w:tcW w:w="1800" w:type="dxa"/>
          </w:tcPr>
          <w:p w:rsidR="00AC6ECE" w:rsidRPr="00A530FF" w:rsidRDefault="00AC6ECE" w:rsidP="00AC6ECE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90</w:t>
            </w:r>
          </w:p>
        </w:tc>
        <w:tc>
          <w:tcPr>
            <w:tcW w:w="2520" w:type="dxa"/>
          </w:tcPr>
          <w:p w:rsidR="00AC6ECE" w:rsidRPr="00A530FF" w:rsidRDefault="00AC6ECE" w:rsidP="00AC6ECE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6750</w:t>
            </w:r>
          </w:p>
        </w:tc>
        <w:tc>
          <w:tcPr>
            <w:tcW w:w="2520" w:type="dxa"/>
          </w:tcPr>
          <w:p w:rsidR="00AC6ECE" w:rsidRPr="00A530FF" w:rsidRDefault="00AC6ECE" w:rsidP="00AC6ECE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2250</w:t>
            </w:r>
          </w:p>
        </w:tc>
        <w:tc>
          <w:tcPr>
            <w:tcW w:w="2610" w:type="dxa"/>
          </w:tcPr>
          <w:p w:rsidR="00AC6ECE" w:rsidRPr="00A530FF" w:rsidRDefault="00AC6ECE" w:rsidP="00AC6ECE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4,5</w:t>
            </w:r>
          </w:p>
        </w:tc>
      </w:tr>
    </w:tbl>
    <w:p w:rsidR="00AC6ECE" w:rsidRDefault="00AC6ECE">
      <w:pPr>
        <w:rPr>
          <w:sz w:val="22"/>
          <w:szCs w:val="22"/>
          <w:lang w:val="hu-HU"/>
        </w:rPr>
      </w:pPr>
    </w:p>
    <w:p w:rsidR="00A055DC" w:rsidRDefault="00A055DC" w:rsidP="000D64AF">
      <w:pPr>
        <w:pStyle w:val="BodyText"/>
        <w:keepNext/>
        <w:tabs>
          <w:tab w:val="clear" w:pos="567"/>
        </w:tabs>
        <w:spacing w:line="240" w:lineRule="auto"/>
        <w:jc w:val="left"/>
        <w:rPr>
          <w:b/>
          <w:i/>
          <w:szCs w:val="22"/>
          <w:lang w:val="hu-HU"/>
        </w:rPr>
      </w:pPr>
      <w:r w:rsidRPr="00A055DC">
        <w:rPr>
          <w:b/>
          <w:i/>
          <w:szCs w:val="22"/>
          <w:lang w:val="hu-HU"/>
        </w:rPr>
        <w:t xml:space="preserve">Ferriprox </w:t>
      </w:r>
      <w:r>
        <w:rPr>
          <w:b/>
          <w:i/>
          <w:szCs w:val="22"/>
          <w:lang w:val="hu-HU"/>
        </w:rPr>
        <w:t>10</w:t>
      </w:r>
      <w:r w:rsidRPr="00A055DC">
        <w:rPr>
          <w:b/>
          <w:i/>
          <w:szCs w:val="22"/>
          <w:lang w:val="hu-HU"/>
        </w:rPr>
        <w:t>00</w:t>
      </w:r>
      <w:r w:rsidR="000D64AF">
        <w:rPr>
          <w:b/>
          <w:i/>
          <w:szCs w:val="22"/>
          <w:lang w:val="hu-HU"/>
        </w:rPr>
        <w:t> </w:t>
      </w:r>
      <w:r w:rsidRPr="00A055DC">
        <w:rPr>
          <w:b/>
          <w:i/>
          <w:szCs w:val="22"/>
          <w:lang w:val="hu-HU"/>
        </w:rPr>
        <w:t>mg filmtabletta adagolási táblázata</w:t>
      </w:r>
    </w:p>
    <w:p w:rsidR="00A055DC" w:rsidRPr="00A530FF" w:rsidRDefault="00A055DC" w:rsidP="0055462C">
      <w:pPr>
        <w:pStyle w:val="BodyText"/>
        <w:keepNext/>
        <w:tabs>
          <w:tab w:val="clear" w:pos="567"/>
        </w:tabs>
        <w:spacing w:line="240" w:lineRule="auto"/>
        <w:jc w:val="left"/>
        <w:rPr>
          <w:b/>
          <w:szCs w:val="22"/>
          <w:lang w:val="hu-HU"/>
        </w:rPr>
      </w:pP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9"/>
        <w:gridCol w:w="2247"/>
        <w:gridCol w:w="1658"/>
        <w:gridCol w:w="1658"/>
        <w:gridCol w:w="1658"/>
      </w:tblGrid>
      <w:tr w:rsidR="00930597" w:rsidTr="00555B13">
        <w:tc>
          <w:tcPr>
            <w:tcW w:w="1959" w:type="dxa"/>
            <w:vMerge w:val="restart"/>
          </w:tcPr>
          <w:p w:rsidR="00A055DC" w:rsidRPr="00A530FF" w:rsidRDefault="00A055DC" w:rsidP="0055462C">
            <w:pPr>
              <w:keepNext/>
              <w:tabs>
                <w:tab w:val="left" w:pos="72"/>
                <w:tab w:val="left" w:pos="162"/>
                <w:tab w:val="left" w:pos="432"/>
                <w:tab w:val="left" w:pos="702"/>
              </w:tabs>
              <w:ind w:left="-648" w:right="-558"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Testtömeg</w:t>
            </w:r>
          </w:p>
          <w:p w:rsidR="00A055DC" w:rsidRPr="00A530FF" w:rsidRDefault="00A055DC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(kg)</w:t>
            </w:r>
          </w:p>
        </w:tc>
        <w:tc>
          <w:tcPr>
            <w:tcW w:w="2247" w:type="dxa"/>
            <w:vMerge w:val="restart"/>
          </w:tcPr>
          <w:p w:rsidR="00A055DC" w:rsidRPr="00A530FF" w:rsidRDefault="00A055DC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Teljes napi adag</w:t>
            </w:r>
          </w:p>
          <w:p w:rsidR="00A055DC" w:rsidRPr="00A530FF" w:rsidRDefault="00A055DC" w:rsidP="0055462C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(mg)</w:t>
            </w:r>
          </w:p>
        </w:tc>
        <w:tc>
          <w:tcPr>
            <w:tcW w:w="4974" w:type="dxa"/>
            <w:gridSpan w:val="3"/>
          </w:tcPr>
          <w:p w:rsidR="00A055DC" w:rsidRPr="00A530FF" w:rsidRDefault="00A055DC" w:rsidP="000D64AF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1000</w:t>
            </w:r>
            <w:r w:rsidR="000D64AF">
              <w:rPr>
                <w:b/>
                <w:sz w:val="22"/>
                <w:szCs w:val="22"/>
                <w:lang w:val="hu-HU"/>
              </w:rPr>
              <w:t> </w:t>
            </w:r>
            <w:r w:rsidRPr="00A530FF">
              <w:rPr>
                <w:b/>
                <w:sz w:val="22"/>
                <w:szCs w:val="22"/>
                <w:lang w:val="hu-HU"/>
              </w:rPr>
              <w:t>mg-os tabletták száma*</w:t>
            </w:r>
          </w:p>
        </w:tc>
      </w:tr>
      <w:tr w:rsidR="00930597" w:rsidTr="00555B13">
        <w:tc>
          <w:tcPr>
            <w:tcW w:w="1959" w:type="dxa"/>
            <w:vMerge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</w:p>
        </w:tc>
        <w:tc>
          <w:tcPr>
            <w:tcW w:w="2247" w:type="dxa"/>
            <w:vMerge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Reggel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Délben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Este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1500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0,5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0,5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0,5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2250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0,5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3000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3750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4500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70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5250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80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6000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</w:tr>
      <w:tr w:rsidR="00930597" w:rsidTr="00555B13">
        <w:tc>
          <w:tcPr>
            <w:tcW w:w="1959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90</w:t>
            </w:r>
          </w:p>
        </w:tc>
        <w:tc>
          <w:tcPr>
            <w:tcW w:w="2247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6750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2,5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2,0</w:t>
            </w:r>
          </w:p>
        </w:tc>
        <w:tc>
          <w:tcPr>
            <w:tcW w:w="1658" w:type="dxa"/>
          </w:tcPr>
          <w:p w:rsidR="00A055DC" w:rsidRPr="00A530FF" w:rsidRDefault="00A055DC" w:rsidP="0055462C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2,5</w:t>
            </w:r>
          </w:p>
        </w:tc>
      </w:tr>
    </w:tbl>
    <w:p w:rsidR="00A055DC" w:rsidRPr="00A530FF" w:rsidRDefault="00A055DC" w:rsidP="00A055DC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*a tabletták száma a legközelebbi fél tablettára kerekítve</w:t>
      </w:r>
    </w:p>
    <w:p w:rsidR="00A055DC" w:rsidRPr="00A530FF" w:rsidRDefault="00A055DC" w:rsidP="00A055DC">
      <w:pPr>
        <w:rPr>
          <w:sz w:val="22"/>
          <w:szCs w:val="22"/>
          <w:lang w:val="hu-HU"/>
        </w:rPr>
      </w:pPr>
    </w:p>
    <w:p w:rsidR="00DA1F84" w:rsidRPr="00A530FF" w:rsidRDefault="00AC6ECE" w:rsidP="0015056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100</w:t>
      </w:r>
      <w:r w:rsidR="00150565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mg/test</w:t>
      </w:r>
      <w:r w:rsidR="00CC3EBF" w:rsidRPr="00A530FF">
        <w:rPr>
          <w:sz w:val="22"/>
          <w:szCs w:val="22"/>
          <w:lang w:val="hu-HU"/>
        </w:rPr>
        <w:t>tömeg</w:t>
      </w:r>
      <w:r w:rsidRPr="00A530FF">
        <w:rPr>
          <w:sz w:val="22"/>
          <w:szCs w:val="22"/>
          <w:lang w:val="hu-HU"/>
        </w:rPr>
        <w:t>k</w:t>
      </w:r>
      <w:r w:rsidR="008C3179">
        <w:rPr>
          <w:sz w:val="22"/>
          <w:szCs w:val="22"/>
          <w:lang w:val="hu-HU"/>
        </w:rPr>
        <w:t>ilo</w:t>
      </w:r>
      <w:r w:rsidRPr="00A530FF">
        <w:rPr>
          <w:sz w:val="22"/>
          <w:szCs w:val="22"/>
          <w:lang w:val="hu-HU"/>
        </w:rPr>
        <w:t>g</w:t>
      </w:r>
      <w:r w:rsidR="008C3179">
        <w:rPr>
          <w:sz w:val="22"/>
          <w:szCs w:val="22"/>
          <w:lang w:val="hu-HU"/>
        </w:rPr>
        <w:t>ramm</w:t>
      </w:r>
      <w:r w:rsidRPr="00A530FF">
        <w:rPr>
          <w:sz w:val="22"/>
          <w:szCs w:val="22"/>
          <w:lang w:val="hu-HU"/>
        </w:rPr>
        <w:t xml:space="preserve"> feletti napi összdózis nem javasolt a </w:t>
      </w:r>
      <w:r w:rsidR="00CC3EBF" w:rsidRPr="00A530FF">
        <w:rPr>
          <w:sz w:val="22"/>
          <w:szCs w:val="22"/>
          <w:lang w:val="hu-HU"/>
        </w:rPr>
        <w:t>mellékhatások</w:t>
      </w:r>
      <w:r w:rsidRPr="00A530FF">
        <w:rPr>
          <w:sz w:val="22"/>
          <w:szCs w:val="22"/>
          <w:lang w:val="hu-HU"/>
        </w:rPr>
        <w:t xml:space="preserve"> esetlegesen fokozott kockázata miatt</w:t>
      </w:r>
      <w:r w:rsidR="00DA1F84" w:rsidRPr="00A530FF">
        <w:rPr>
          <w:sz w:val="22"/>
          <w:szCs w:val="22"/>
          <w:lang w:val="hu-HU"/>
        </w:rPr>
        <w:t xml:space="preserve"> (lásd 4.4, 4.8 és 4.9 pont).</w:t>
      </w:r>
    </w:p>
    <w:p w:rsidR="00DA1F84" w:rsidRPr="00A530FF" w:rsidRDefault="00DA1F84">
      <w:pPr>
        <w:rPr>
          <w:strike/>
          <w:sz w:val="22"/>
          <w:szCs w:val="22"/>
          <w:lang w:val="hu-HU"/>
        </w:rPr>
      </w:pPr>
    </w:p>
    <w:p w:rsidR="00A055DC" w:rsidRPr="00A055DC" w:rsidRDefault="00A055DC" w:rsidP="0055462C">
      <w:pPr>
        <w:keepNext/>
        <w:rPr>
          <w:i/>
          <w:sz w:val="22"/>
          <w:szCs w:val="22"/>
          <w:lang w:val="hu-HU"/>
        </w:rPr>
      </w:pPr>
      <w:r w:rsidRPr="00A055DC">
        <w:rPr>
          <w:i/>
          <w:sz w:val="22"/>
          <w:szCs w:val="22"/>
          <w:lang w:val="hu-HU"/>
        </w:rPr>
        <w:t>Adagolás beállítása</w:t>
      </w:r>
    </w:p>
    <w:p w:rsidR="00DE2BF9" w:rsidRDefault="00DE2BF9" w:rsidP="00AC6ECE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Ferripox-nak a szervezetben a vas csökkentésére gyakorolt hatását közvetlenül befolyásolja a </w:t>
      </w:r>
      <w:r w:rsidR="00775720" w:rsidRPr="00A530FF">
        <w:rPr>
          <w:sz w:val="22"/>
          <w:szCs w:val="22"/>
          <w:lang w:val="hu-HU"/>
        </w:rPr>
        <w:t xml:space="preserve">dózis és a </w:t>
      </w:r>
      <w:r w:rsidRPr="00A530FF">
        <w:rPr>
          <w:sz w:val="22"/>
          <w:szCs w:val="22"/>
          <w:lang w:val="hu-HU"/>
        </w:rPr>
        <w:t xml:space="preserve">vastúlterhelés mértéke. A Ferripox terápia elkezdése után </w:t>
      </w:r>
      <w:r w:rsidR="00CE2DF6" w:rsidRPr="00A530FF">
        <w:rPr>
          <w:sz w:val="22"/>
          <w:szCs w:val="22"/>
          <w:lang w:val="hu-HU"/>
        </w:rPr>
        <w:t>a kelát-ion adagolás</w:t>
      </w:r>
      <w:r w:rsidR="00527F3C" w:rsidRPr="00A530FF">
        <w:rPr>
          <w:sz w:val="22"/>
          <w:szCs w:val="22"/>
          <w:lang w:val="hu-HU"/>
        </w:rPr>
        <w:t>nak</w:t>
      </w:r>
      <w:r w:rsidR="00CE2DF6" w:rsidRPr="00A530FF">
        <w:rPr>
          <w:sz w:val="22"/>
          <w:szCs w:val="22"/>
          <w:lang w:val="hu-HU"/>
        </w:rPr>
        <w:t xml:space="preserve"> </w:t>
      </w:r>
      <w:r w:rsidR="00C075A6" w:rsidRPr="00A530FF">
        <w:rPr>
          <w:sz w:val="22"/>
          <w:szCs w:val="22"/>
          <w:lang w:val="hu-HU"/>
        </w:rPr>
        <w:t xml:space="preserve">a </w:t>
      </w:r>
      <w:r w:rsidR="00CE2DF6" w:rsidRPr="00A530FF">
        <w:rPr>
          <w:sz w:val="22"/>
          <w:szCs w:val="22"/>
          <w:lang w:val="hu-HU"/>
        </w:rPr>
        <w:t xml:space="preserve">szervezet </w:t>
      </w:r>
      <w:r w:rsidR="000D1971" w:rsidRPr="00A530FF">
        <w:rPr>
          <w:sz w:val="22"/>
          <w:szCs w:val="22"/>
          <w:lang w:val="hu-HU"/>
        </w:rPr>
        <w:t xml:space="preserve">vasháztartásának </w:t>
      </w:r>
      <w:r w:rsidR="00C075A6" w:rsidRPr="00A530FF">
        <w:rPr>
          <w:sz w:val="22"/>
          <w:szCs w:val="22"/>
          <w:lang w:val="hu-HU"/>
        </w:rPr>
        <w:t>szabályozás</w:t>
      </w:r>
      <w:r w:rsidR="00527F3C" w:rsidRPr="00A530FF">
        <w:rPr>
          <w:sz w:val="22"/>
          <w:szCs w:val="22"/>
          <w:lang w:val="hu-HU"/>
        </w:rPr>
        <w:t>a során mutatott</w:t>
      </w:r>
      <w:r w:rsidR="00C075A6" w:rsidRPr="00A530FF">
        <w:rPr>
          <w:sz w:val="22"/>
          <w:szCs w:val="22"/>
          <w:lang w:val="hu-HU"/>
        </w:rPr>
        <w:t xml:space="preserve"> hosszú távú hat</w:t>
      </w:r>
      <w:r w:rsidR="00527F3C" w:rsidRPr="00A530FF">
        <w:rPr>
          <w:sz w:val="22"/>
          <w:szCs w:val="22"/>
          <w:lang w:val="hu-HU"/>
        </w:rPr>
        <w:t>ásos</w:t>
      </w:r>
      <w:r w:rsidR="00C075A6" w:rsidRPr="00A530FF">
        <w:rPr>
          <w:sz w:val="22"/>
          <w:szCs w:val="22"/>
          <w:lang w:val="hu-HU"/>
        </w:rPr>
        <w:t xml:space="preserve">ságának értékelése céljából </w:t>
      </w:r>
      <w:r w:rsidRPr="00A530FF">
        <w:rPr>
          <w:sz w:val="22"/>
          <w:szCs w:val="22"/>
          <w:lang w:val="hu-HU"/>
        </w:rPr>
        <w:t>a s</w:t>
      </w:r>
      <w:r w:rsidR="00E43478">
        <w:rPr>
          <w:sz w:val="22"/>
          <w:szCs w:val="22"/>
          <w:lang w:val="hu-HU"/>
        </w:rPr>
        <w:t>zé</w:t>
      </w:r>
      <w:r w:rsidRPr="00A530FF">
        <w:rPr>
          <w:sz w:val="22"/>
          <w:szCs w:val="22"/>
          <w:lang w:val="hu-HU"/>
        </w:rPr>
        <w:t>rumferritin</w:t>
      </w:r>
      <w:r w:rsidR="00527F3C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koncentráció vagy a szervezet vasterhelés</w:t>
      </w:r>
      <w:r w:rsidR="00774454" w:rsidRPr="00A530FF">
        <w:rPr>
          <w:sz w:val="22"/>
          <w:szCs w:val="22"/>
          <w:lang w:val="hu-HU"/>
        </w:rPr>
        <w:t>é</w:t>
      </w:r>
      <w:r w:rsidRPr="00A530FF">
        <w:rPr>
          <w:sz w:val="22"/>
          <w:szCs w:val="22"/>
          <w:lang w:val="hu-HU"/>
        </w:rPr>
        <w:t>t kimutató</w:t>
      </w:r>
      <w:r w:rsidR="00774454" w:rsidRPr="00A530FF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</w:t>
      </w:r>
      <w:r w:rsidR="00774454" w:rsidRPr="00A530FF">
        <w:rPr>
          <w:sz w:val="22"/>
          <w:szCs w:val="22"/>
          <w:lang w:val="hu-HU"/>
        </w:rPr>
        <w:t>egyéb</w:t>
      </w:r>
      <w:r w:rsidRPr="00A530FF">
        <w:rPr>
          <w:sz w:val="22"/>
          <w:szCs w:val="22"/>
          <w:lang w:val="hu-HU"/>
        </w:rPr>
        <w:t xml:space="preserve"> indikátorok két-háromhavonta történő </w:t>
      </w:r>
      <w:r w:rsidR="00774454" w:rsidRPr="00A530FF">
        <w:rPr>
          <w:sz w:val="22"/>
          <w:szCs w:val="22"/>
          <w:lang w:val="hu-HU"/>
        </w:rPr>
        <w:t>értékelése</w:t>
      </w:r>
      <w:r w:rsidR="00527F3C" w:rsidRPr="00A530FF">
        <w:rPr>
          <w:sz w:val="22"/>
          <w:szCs w:val="22"/>
          <w:lang w:val="hu-HU"/>
        </w:rPr>
        <w:t xml:space="preserve"> ajánlott</w:t>
      </w:r>
      <w:r w:rsidRPr="00A530FF">
        <w:rPr>
          <w:sz w:val="22"/>
          <w:szCs w:val="22"/>
          <w:lang w:val="hu-HU"/>
        </w:rPr>
        <w:t xml:space="preserve">. A dózist az adott beteg </w:t>
      </w:r>
      <w:r w:rsidR="000A4CB9" w:rsidRPr="00A530FF">
        <w:rPr>
          <w:sz w:val="22"/>
          <w:szCs w:val="22"/>
          <w:lang w:val="hu-HU"/>
        </w:rPr>
        <w:t>kezelésre adott válaszreakciójának</w:t>
      </w:r>
      <w:r w:rsidRPr="00A530FF">
        <w:rPr>
          <w:sz w:val="22"/>
          <w:szCs w:val="22"/>
          <w:lang w:val="hu-HU"/>
        </w:rPr>
        <w:t xml:space="preserve"> és a terápiás céloknak (a szervezet vasterhelés</w:t>
      </w:r>
      <w:r w:rsidR="00B069B3" w:rsidRPr="00A530FF">
        <w:rPr>
          <w:sz w:val="22"/>
          <w:szCs w:val="22"/>
          <w:lang w:val="hu-HU"/>
        </w:rPr>
        <w:t>ének</w:t>
      </w:r>
      <w:r w:rsidRPr="00A530FF">
        <w:rPr>
          <w:sz w:val="22"/>
          <w:szCs w:val="22"/>
          <w:lang w:val="hu-HU"/>
        </w:rPr>
        <w:t xml:space="preserve"> fenntartása vagy csökkentése) megfelelően kell beállítani. A </w:t>
      </w:r>
      <w:r w:rsidR="00BF3BB2" w:rsidRPr="00A530FF">
        <w:rPr>
          <w:sz w:val="22"/>
          <w:szCs w:val="22"/>
          <w:lang w:val="hu-HU"/>
        </w:rPr>
        <w:t>deferipron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terápia megszakítását akkor kell megfontolni, ha a s</w:t>
      </w:r>
      <w:r w:rsidR="00E43478">
        <w:rPr>
          <w:sz w:val="22"/>
          <w:szCs w:val="22"/>
          <w:lang w:val="hu-HU"/>
        </w:rPr>
        <w:t>zé</w:t>
      </w:r>
      <w:r w:rsidRPr="00A530FF">
        <w:rPr>
          <w:sz w:val="22"/>
          <w:szCs w:val="22"/>
          <w:lang w:val="hu-HU"/>
        </w:rPr>
        <w:t>rumferritin</w:t>
      </w:r>
      <w:r w:rsidR="00BF3BB2" w:rsidRPr="00A530FF">
        <w:rPr>
          <w:sz w:val="22"/>
          <w:szCs w:val="22"/>
          <w:lang w:val="hu-HU"/>
        </w:rPr>
        <w:t>szintek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500</w:t>
      </w:r>
      <w:r w:rsidR="00600BEF" w:rsidRPr="00A530FF">
        <w:rPr>
          <w:sz w:val="22"/>
          <w:szCs w:val="22"/>
          <w:lang w:val="hu-HU"/>
        </w:rPr>
        <w:t> </w:t>
      </w:r>
      <w:r w:rsidR="00E43478">
        <w:rPr>
          <w:sz w:val="22"/>
          <w:szCs w:val="22"/>
          <w:lang w:val="hu-HU"/>
        </w:rPr>
        <w:t>mikrogramm</w:t>
      </w:r>
      <w:r w:rsidRPr="00A530FF">
        <w:rPr>
          <w:sz w:val="22"/>
          <w:szCs w:val="22"/>
          <w:lang w:val="hu-HU"/>
        </w:rPr>
        <w:t xml:space="preserve">/l </w:t>
      </w:r>
      <w:r w:rsidR="00BF3BB2" w:rsidRPr="00A530FF">
        <w:rPr>
          <w:sz w:val="22"/>
          <w:szCs w:val="22"/>
          <w:lang w:val="hu-HU"/>
        </w:rPr>
        <w:t>alá esnek</w:t>
      </w:r>
      <w:r w:rsidRPr="00A530FF">
        <w:rPr>
          <w:sz w:val="22"/>
          <w:szCs w:val="22"/>
          <w:lang w:val="hu-HU"/>
        </w:rPr>
        <w:t>.</w:t>
      </w:r>
    </w:p>
    <w:p w:rsidR="00A055DC" w:rsidRDefault="00A055DC" w:rsidP="00AC6ECE">
      <w:pPr>
        <w:rPr>
          <w:sz w:val="22"/>
          <w:szCs w:val="22"/>
          <w:lang w:val="hu-HU"/>
        </w:rPr>
      </w:pPr>
    </w:p>
    <w:p w:rsidR="00A055DC" w:rsidRPr="00A055DC" w:rsidRDefault="005315EE" w:rsidP="0055462C">
      <w:pPr>
        <w:keepNext/>
        <w:rPr>
          <w:i/>
          <w:sz w:val="22"/>
          <w:szCs w:val="22"/>
          <w:lang w:val="hu-HU"/>
        </w:rPr>
      </w:pPr>
      <w:r w:rsidRPr="005315EE">
        <w:rPr>
          <w:i/>
          <w:sz w:val="22"/>
          <w:szCs w:val="22"/>
          <w:lang w:val="hu-HU"/>
        </w:rPr>
        <w:t>Dózis módosítása más vaskelátorokkal való együttes alkalmazás esetén</w:t>
      </w:r>
    </w:p>
    <w:p w:rsidR="00E24EFB" w:rsidRPr="00E24EFB" w:rsidRDefault="00E24EFB" w:rsidP="000D64AF">
      <w:pPr>
        <w:rPr>
          <w:sz w:val="22"/>
          <w:szCs w:val="22"/>
          <w:lang w:val="hu-HU"/>
        </w:rPr>
      </w:pPr>
      <w:r w:rsidRPr="00E24EFB">
        <w:rPr>
          <w:sz w:val="22"/>
          <w:szCs w:val="22"/>
          <w:lang w:val="hu-HU"/>
        </w:rPr>
        <w:t>Azoknál a betegeknél, akiknél a monoterápia elégtelen, a Ferriprox a deferoxaminnal együtt standard dózisban (75</w:t>
      </w:r>
      <w:r w:rsidR="000D64AF">
        <w:rPr>
          <w:sz w:val="22"/>
          <w:szCs w:val="22"/>
          <w:lang w:val="hu-HU"/>
        </w:rPr>
        <w:t> </w:t>
      </w:r>
      <w:r w:rsidRPr="00E24EFB">
        <w:rPr>
          <w:sz w:val="22"/>
          <w:szCs w:val="22"/>
          <w:lang w:val="hu-HU"/>
        </w:rPr>
        <w:t>mg/kg/nap) adható, de nem haladhatja meg a 100</w:t>
      </w:r>
      <w:r w:rsidR="000D64AF">
        <w:rPr>
          <w:sz w:val="22"/>
          <w:szCs w:val="22"/>
          <w:lang w:val="hu-HU"/>
        </w:rPr>
        <w:t> </w:t>
      </w:r>
      <w:r w:rsidRPr="00E24EFB">
        <w:rPr>
          <w:sz w:val="22"/>
          <w:szCs w:val="22"/>
          <w:lang w:val="hu-HU"/>
        </w:rPr>
        <w:t>mg/kg/nap mennyiséget.</w:t>
      </w:r>
    </w:p>
    <w:p w:rsidR="00E24EFB" w:rsidRPr="00E24EFB" w:rsidRDefault="00E24EFB" w:rsidP="00E24EFB">
      <w:pPr>
        <w:rPr>
          <w:sz w:val="22"/>
          <w:szCs w:val="22"/>
          <w:lang w:val="hu-HU"/>
        </w:rPr>
      </w:pPr>
    </w:p>
    <w:p w:rsidR="00E24EFB" w:rsidRPr="00E24EFB" w:rsidRDefault="00E24EFB" w:rsidP="00C640B8">
      <w:pPr>
        <w:rPr>
          <w:sz w:val="22"/>
          <w:szCs w:val="22"/>
          <w:lang w:val="hu-HU"/>
        </w:rPr>
      </w:pPr>
      <w:r w:rsidRPr="00E24EFB">
        <w:rPr>
          <w:sz w:val="22"/>
          <w:szCs w:val="22"/>
          <w:lang w:val="hu-HU"/>
        </w:rPr>
        <w:t>A vas által kiváltott szívelégtelenség esetén a Ferriprox</w:t>
      </w:r>
      <w:r w:rsidR="00AD0BA6">
        <w:rPr>
          <w:sz w:val="22"/>
          <w:szCs w:val="22"/>
          <w:lang w:val="hu-HU"/>
        </w:rPr>
        <w:noBreakHyphen/>
        <w:t>ot</w:t>
      </w:r>
      <w:r w:rsidRPr="00E24EFB">
        <w:rPr>
          <w:sz w:val="22"/>
          <w:szCs w:val="22"/>
          <w:lang w:val="hu-HU"/>
        </w:rPr>
        <w:t xml:space="preserve"> 75</w:t>
      </w:r>
      <w:r w:rsidR="00AD0BA6">
        <w:rPr>
          <w:sz w:val="22"/>
          <w:szCs w:val="22"/>
          <w:lang w:val="hu-HU"/>
        </w:rPr>
        <w:noBreakHyphen/>
      </w:r>
      <w:r w:rsidRPr="00E24EFB">
        <w:rPr>
          <w:sz w:val="22"/>
          <w:szCs w:val="22"/>
          <w:lang w:val="hu-HU"/>
        </w:rPr>
        <w:t>100</w:t>
      </w:r>
      <w:r w:rsidR="00C640B8">
        <w:rPr>
          <w:sz w:val="22"/>
          <w:szCs w:val="22"/>
          <w:lang w:val="hu-HU"/>
        </w:rPr>
        <w:t> </w:t>
      </w:r>
      <w:r w:rsidRPr="00E24EFB">
        <w:rPr>
          <w:sz w:val="22"/>
          <w:szCs w:val="22"/>
          <w:lang w:val="hu-HU"/>
        </w:rPr>
        <w:t>mg/kg/nap adag</w:t>
      </w:r>
      <w:r w:rsidR="00AD0BA6">
        <w:rPr>
          <w:sz w:val="22"/>
          <w:szCs w:val="22"/>
          <w:lang w:val="hu-HU"/>
        </w:rPr>
        <w:t>ban kell adni</w:t>
      </w:r>
      <w:r w:rsidRPr="00E24EFB">
        <w:rPr>
          <w:sz w:val="22"/>
          <w:szCs w:val="22"/>
          <w:lang w:val="hu-HU"/>
        </w:rPr>
        <w:t xml:space="preserve"> a deferoxamin</w:t>
      </w:r>
      <w:r w:rsidR="00E43478">
        <w:rPr>
          <w:sz w:val="22"/>
          <w:szCs w:val="22"/>
          <w:lang w:val="hu-HU"/>
        </w:rPr>
        <w:t>-</w:t>
      </w:r>
      <w:r w:rsidRPr="00E24EFB">
        <w:rPr>
          <w:sz w:val="22"/>
          <w:szCs w:val="22"/>
          <w:lang w:val="hu-HU"/>
        </w:rPr>
        <w:t>terápi</w:t>
      </w:r>
      <w:r w:rsidR="00AD0BA6">
        <w:rPr>
          <w:sz w:val="22"/>
          <w:szCs w:val="22"/>
          <w:lang w:val="hu-HU"/>
        </w:rPr>
        <w:t>a mellé</w:t>
      </w:r>
      <w:r w:rsidRPr="00E24EFB">
        <w:rPr>
          <w:sz w:val="22"/>
          <w:szCs w:val="22"/>
          <w:lang w:val="hu-HU"/>
        </w:rPr>
        <w:t xml:space="preserve">. </w:t>
      </w:r>
      <w:r w:rsidR="00AD0BA6">
        <w:rPr>
          <w:sz w:val="22"/>
          <w:szCs w:val="22"/>
          <w:lang w:val="hu-HU"/>
        </w:rPr>
        <w:t>Olvassa el</w:t>
      </w:r>
      <w:r w:rsidRPr="00E24EFB">
        <w:rPr>
          <w:sz w:val="22"/>
          <w:szCs w:val="22"/>
          <w:lang w:val="hu-HU"/>
        </w:rPr>
        <w:t xml:space="preserve"> a deferoxamin </w:t>
      </w:r>
      <w:r w:rsidR="00BE4077">
        <w:rPr>
          <w:sz w:val="22"/>
          <w:szCs w:val="22"/>
          <w:lang w:val="hu-HU"/>
        </w:rPr>
        <w:t>a</w:t>
      </w:r>
      <w:r w:rsidRPr="00E24EFB">
        <w:rPr>
          <w:sz w:val="22"/>
          <w:szCs w:val="22"/>
          <w:lang w:val="hu-HU"/>
        </w:rPr>
        <w:t>lkalmazási előírását.</w:t>
      </w:r>
    </w:p>
    <w:p w:rsidR="00E24EFB" w:rsidRPr="00E24EFB" w:rsidRDefault="00E24EFB" w:rsidP="00E24EFB">
      <w:pPr>
        <w:rPr>
          <w:sz w:val="22"/>
          <w:szCs w:val="22"/>
          <w:lang w:val="hu-HU"/>
        </w:rPr>
      </w:pPr>
    </w:p>
    <w:p w:rsidR="00A055DC" w:rsidRPr="00A530FF" w:rsidRDefault="00E24EFB" w:rsidP="007706D4">
      <w:pPr>
        <w:rPr>
          <w:sz w:val="22"/>
          <w:szCs w:val="22"/>
          <w:lang w:val="hu-HU"/>
        </w:rPr>
      </w:pPr>
      <w:r w:rsidRPr="00E24EFB">
        <w:rPr>
          <w:sz w:val="22"/>
          <w:szCs w:val="22"/>
          <w:lang w:val="hu-HU"/>
        </w:rPr>
        <w:t>Vaskelátorokkal való egyidejű alkalmazása a</w:t>
      </w:r>
      <w:r w:rsidR="00AD0BA6">
        <w:rPr>
          <w:sz w:val="22"/>
          <w:szCs w:val="22"/>
          <w:lang w:val="hu-HU"/>
        </w:rPr>
        <w:t xml:space="preserve"> vas</w:t>
      </w:r>
      <w:r w:rsidRPr="00E24EFB">
        <w:rPr>
          <w:sz w:val="22"/>
          <w:szCs w:val="22"/>
          <w:lang w:val="hu-HU"/>
        </w:rPr>
        <w:t xml:space="preserve"> túlzott </w:t>
      </w:r>
      <w:r w:rsidR="00AD0BA6">
        <w:rPr>
          <w:sz w:val="22"/>
          <w:szCs w:val="22"/>
          <w:lang w:val="hu-HU"/>
        </w:rPr>
        <w:t xml:space="preserve">mennyiségben történő </w:t>
      </w:r>
      <w:r w:rsidRPr="00E24EFB">
        <w:rPr>
          <w:sz w:val="22"/>
          <w:szCs w:val="22"/>
          <w:lang w:val="hu-HU"/>
        </w:rPr>
        <w:t>eltávolítás</w:t>
      </w:r>
      <w:r w:rsidR="00AD0BA6">
        <w:rPr>
          <w:sz w:val="22"/>
          <w:szCs w:val="22"/>
          <w:lang w:val="hu-HU"/>
        </w:rPr>
        <w:t>ának</w:t>
      </w:r>
      <w:r w:rsidRPr="00E24EFB">
        <w:rPr>
          <w:sz w:val="22"/>
          <w:szCs w:val="22"/>
          <w:lang w:val="hu-HU"/>
        </w:rPr>
        <w:t xml:space="preserve"> veszélye miatt nem javasolt azoknál a betegeknél, akiknek a szérumferritinszintje nem éri el az 500</w:t>
      </w:r>
      <w:r w:rsidR="00AD0BA6">
        <w:rPr>
          <w:sz w:val="22"/>
          <w:szCs w:val="22"/>
          <w:lang w:val="hu-HU"/>
        </w:rPr>
        <w:t> </w:t>
      </w:r>
      <w:r w:rsidR="00E43478">
        <w:rPr>
          <w:sz w:val="22"/>
          <w:szCs w:val="22"/>
          <w:lang w:val="hu-HU"/>
        </w:rPr>
        <w:t>mikrogramm</w:t>
      </w:r>
      <w:r w:rsidRPr="00E24EFB">
        <w:rPr>
          <w:sz w:val="22"/>
          <w:szCs w:val="22"/>
          <w:lang w:val="hu-HU"/>
        </w:rPr>
        <w:t>/l értéket.</w:t>
      </w:r>
    </w:p>
    <w:p w:rsidR="00A055DC" w:rsidRPr="00A530FF" w:rsidRDefault="00A055DC" w:rsidP="00AC6ECE">
      <w:pPr>
        <w:rPr>
          <w:sz w:val="22"/>
          <w:szCs w:val="22"/>
          <w:lang w:val="hu-HU"/>
        </w:rPr>
      </w:pPr>
    </w:p>
    <w:p w:rsidR="00AC6ECE" w:rsidRPr="00A530FF" w:rsidRDefault="00684360" w:rsidP="00193A5D">
      <w:pPr>
        <w:keepNext/>
        <w:rPr>
          <w:i/>
          <w:sz w:val="22"/>
          <w:szCs w:val="22"/>
          <w:lang w:val="hu-HU"/>
        </w:rPr>
      </w:pPr>
      <w:r w:rsidRPr="00684360">
        <w:rPr>
          <w:i/>
          <w:sz w:val="22"/>
          <w:szCs w:val="22"/>
          <w:lang w:val="hu-HU"/>
        </w:rPr>
        <w:t>Gyermekek és serdülők</w:t>
      </w:r>
    </w:p>
    <w:p w:rsidR="00DA1F84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6 és 10 év közötti gyermekeknél történő alkalmazásával kapcsolatban kevés adat áll rendelkezésre, és nincs semmilyen adat a deferipron 6 éven aluli gyermekeknél történő alkalmazására vonatkozóan.</w:t>
      </w:r>
    </w:p>
    <w:p w:rsidR="005358FA" w:rsidRPr="00A530FF" w:rsidRDefault="005358FA">
      <w:pPr>
        <w:rPr>
          <w:sz w:val="22"/>
          <w:szCs w:val="22"/>
          <w:lang w:val="hu-HU"/>
        </w:rPr>
      </w:pPr>
    </w:p>
    <w:p w:rsidR="005358FA" w:rsidRPr="00B324E5" w:rsidRDefault="005358FA" w:rsidP="005358FA">
      <w:pPr>
        <w:keepNext/>
        <w:rPr>
          <w:i/>
          <w:iCs/>
          <w:sz w:val="22"/>
          <w:szCs w:val="22"/>
          <w:lang w:val="hu-HU"/>
        </w:rPr>
      </w:pPr>
      <w:r w:rsidRPr="00B324E5">
        <w:rPr>
          <w:i/>
          <w:iCs/>
          <w:sz w:val="22"/>
          <w:szCs w:val="22"/>
          <w:lang w:val="hu-HU"/>
        </w:rPr>
        <w:t>Vesekárosodás</w:t>
      </w:r>
    </w:p>
    <w:p w:rsidR="005358FA" w:rsidRPr="005358FA" w:rsidRDefault="005358FA" w:rsidP="005358FA">
      <w:pPr>
        <w:rPr>
          <w:sz w:val="22"/>
          <w:szCs w:val="22"/>
          <w:lang w:val="hu-HU"/>
        </w:rPr>
      </w:pPr>
      <w:r w:rsidRPr="005358FA">
        <w:rPr>
          <w:sz w:val="22"/>
          <w:szCs w:val="22"/>
          <w:lang w:val="hu-HU"/>
        </w:rPr>
        <w:t xml:space="preserve">Nincs szükség a dózis </w:t>
      </w:r>
      <w:r w:rsidR="00884D41">
        <w:rPr>
          <w:sz w:val="22"/>
          <w:szCs w:val="22"/>
          <w:lang w:val="hu-HU"/>
        </w:rPr>
        <w:t>módosítására</w:t>
      </w:r>
      <w:r w:rsidRPr="005358FA">
        <w:rPr>
          <w:sz w:val="22"/>
          <w:szCs w:val="22"/>
          <w:lang w:val="hu-HU"/>
        </w:rPr>
        <w:t xml:space="preserve"> az enyhe, közepesen súlyos vagy súlyos vesekárosodásban szenvedő betegek esetében (lásd 5.2 pont). A Ferriprox biztonságossága és farmakokinetikája a végstádiumú vesebetegségben szenvedő betegeknél nem ismert.</w:t>
      </w:r>
    </w:p>
    <w:p w:rsidR="005358FA" w:rsidRPr="005358FA" w:rsidRDefault="005358FA" w:rsidP="005358FA">
      <w:pPr>
        <w:rPr>
          <w:sz w:val="22"/>
          <w:szCs w:val="22"/>
          <w:lang w:val="hu-HU"/>
        </w:rPr>
      </w:pPr>
    </w:p>
    <w:p w:rsidR="005358FA" w:rsidRPr="00B324E5" w:rsidRDefault="005358FA" w:rsidP="005358FA">
      <w:pPr>
        <w:keepNext/>
        <w:rPr>
          <w:i/>
          <w:iCs/>
          <w:sz w:val="22"/>
          <w:szCs w:val="22"/>
          <w:lang w:val="hu-HU"/>
        </w:rPr>
      </w:pPr>
      <w:r w:rsidRPr="00B324E5">
        <w:rPr>
          <w:i/>
          <w:iCs/>
          <w:sz w:val="22"/>
          <w:szCs w:val="22"/>
          <w:lang w:val="hu-HU"/>
        </w:rPr>
        <w:t>Májkárosodás</w:t>
      </w:r>
    </w:p>
    <w:p w:rsidR="00150565" w:rsidRDefault="005358FA" w:rsidP="005358FA">
      <w:pPr>
        <w:rPr>
          <w:sz w:val="22"/>
          <w:szCs w:val="22"/>
          <w:lang w:val="hu-HU"/>
        </w:rPr>
      </w:pPr>
      <w:r w:rsidRPr="005358FA">
        <w:rPr>
          <w:sz w:val="22"/>
          <w:szCs w:val="22"/>
          <w:lang w:val="hu-HU"/>
        </w:rPr>
        <w:t xml:space="preserve">Nincs szükség a dózis </w:t>
      </w:r>
      <w:r w:rsidR="00884D41">
        <w:rPr>
          <w:sz w:val="22"/>
          <w:szCs w:val="22"/>
          <w:lang w:val="hu-HU"/>
        </w:rPr>
        <w:t>módosítására</w:t>
      </w:r>
      <w:r w:rsidRPr="005358FA">
        <w:rPr>
          <w:sz w:val="22"/>
          <w:szCs w:val="22"/>
          <w:lang w:val="hu-HU"/>
        </w:rPr>
        <w:t xml:space="preserve"> az enyhe vagy közepesen súlyos májkárosodásban szenvedő betegek esetében (lásd 5.2 pont). A Ferriprox biztonságossága és farmakokinetikája a súlyos májkárosodásban szenvedő betegeknél nem ismert.</w:t>
      </w:r>
    </w:p>
    <w:p w:rsidR="005358FA" w:rsidRPr="00A530FF" w:rsidRDefault="005358FA" w:rsidP="005358FA">
      <w:pPr>
        <w:rPr>
          <w:sz w:val="22"/>
          <w:szCs w:val="22"/>
          <w:lang w:val="hu-HU"/>
        </w:rPr>
      </w:pPr>
    </w:p>
    <w:p w:rsidR="00AC6ECE" w:rsidRPr="00A530FF" w:rsidRDefault="00AC6ECE" w:rsidP="00193A5D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A</w:t>
      </w:r>
      <w:r w:rsidR="00FA06C6" w:rsidRPr="00A530FF">
        <w:rPr>
          <w:sz w:val="22"/>
          <w:szCs w:val="22"/>
          <w:u w:val="single"/>
          <w:lang w:val="hu-HU"/>
        </w:rPr>
        <w:t>z a</w:t>
      </w:r>
      <w:r w:rsidR="00203E95" w:rsidRPr="00A530FF">
        <w:rPr>
          <w:sz w:val="22"/>
          <w:szCs w:val="22"/>
          <w:u w:val="single"/>
          <w:lang w:val="hu-HU"/>
        </w:rPr>
        <w:t>lkalmazás módja</w:t>
      </w:r>
    </w:p>
    <w:p w:rsidR="00AC6ECE" w:rsidRPr="00A530FF" w:rsidRDefault="00AC6ECE" w:rsidP="00AC6ECE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Szájon át történő alkalmazásra.</w:t>
      </w:r>
    </w:p>
    <w:p w:rsidR="00AC6ECE" w:rsidRPr="00A530FF" w:rsidRDefault="00AC6ECE" w:rsidP="00AC6ECE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numPr>
          <w:ilvl w:val="1"/>
          <w:numId w:val="17"/>
        </w:numPr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Ellenjavallatok</w:t>
      </w:r>
    </w:p>
    <w:p w:rsidR="00DA1F84" w:rsidRPr="00A530FF" w:rsidRDefault="00DA1F84" w:rsidP="00193A5D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150565" w:rsidP="00833600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A készítmény hatóanyagával vagy</w:t>
      </w:r>
      <w:r w:rsidR="004B7356" w:rsidRPr="00A530FF">
        <w:rPr>
          <w:sz w:val="22"/>
          <w:szCs w:val="22"/>
          <w:lang w:val="hu-HU"/>
        </w:rPr>
        <w:t xml:space="preserve"> a 6.1 pontban felsorolt </w:t>
      </w:r>
      <w:r w:rsidR="00DA1F84" w:rsidRPr="00A530FF">
        <w:rPr>
          <w:sz w:val="22"/>
          <w:szCs w:val="22"/>
          <w:lang w:val="hu-HU"/>
        </w:rPr>
        <w:t>bármely segédanyagával szembeni túlérzékenység.</w:t>
      </w:r>
    </w:p>
    <w:p w:rsidR="00DA1F84" w:rsidRPr="00A530FF" w:rsidRDefault="00150565" w:rsidP="00833600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Kórelőzményben ismétlődő neutropeniás epizódok.</w:t>
      </w:r>
    </w:p>
    <w:p w:rsidR="00DA1F84" w:rsidRPr="00A530FF" w:rsidRDefault="00150565" w:rsidP="00833600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Kórelőzményben szereplő agranulocytosis.</w:t>
      </w:r>
    </w:p>
    <w:p w:rsidR="00DA1F84" w:rsidRPr="00A530FF" w:rsidRDefault="00150565" w:rsidP="00833600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Terhesség (lásd 4.6 pont).</w:t>
      </w:r>
    </w:p>
    <w:p w:rsidR="00AC6ECE" w:rsidRPr="00A530FF" w:rsidRDefault="00150565" w:rsidP="00833600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AC6ECE" w:rsidRPr="00A530FF">
        <w:rPr>
          <w:sz w:val="22"/>
          <w:szCs w:val="22"/>
          <w:lang w:val="hu-HU"/>
        </w:rPr>
        <w:t>Szoptatás (lásd 4.6 pont).</w:t>
      </w:r>
    </w:p>
    <w:p w:rsidR="00DA1F84" w:rsidRPr="00A530FF" w:rsidRDefault="00150565" w:rsidP="00833600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Mivel a deferipron kiváltotta neutropenia mechanizmusa tisztázatlan, a beteg nem szedhet olyan gyógyszereket, amelyekről ismert, hogy neutropeniát okoznak, vagy olyanokat, amelyek agranulocytosist idézhetnek elő (lásd 4.5 pont).</w:t>
      </w:r>
    </w:p>
    <w:p w:rsidR="00DA1F84" w:rsidRPr="00A530FF" w:rsidRDefault="00DA1F84">
      <w:pPr>
        <w:pStyle w:val="EndnoteText"/>
        <w:tabs>
          <w:tab w:val="left" w:pos="567"/>
        </w:tabs>
        <w:rPr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4.4</w:t>
      </w:r>
      <w:r w:rsidRPr="00A530FF">
        <w:rPr>
          <w:b/>
          <w:sz w:val="22"/>
          <w:szCs w:val="22"/>
          <w:lang w:val="hu-HU"/>
        </w:rPr>
        <w:tab/>
        <w:t>Különleges figyelmeztetések és az alkalmazással kapcsolatos óvintézkedések</w:t>
      </w: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2E5E59" w:rsidRDefault="00DA1F84" w:rsidP="00193A5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iCs/>
          <w:sz w:val="22"/>
          <w:szCs w:val="22"/>
          <w:u w:val="single"/>
          <w:lang w:val="hu-HU"/>
        </w:rPr>
      </w:pPr>
      <w:r w:rsidRPr="002E5E59">
        <w:rPr>
          <w:iCs/>
          <w:sz w:val="22"/>
          <w:szCs w:val="22"/>
          <w:u w:val="single"/>
          <w:shd w:val="pct70" w:color="FFFFFF" w:fill="auto"/>
          <w:lang w:val="hu-HU"/>
        </w:rPr>
        <w:t>Neutropenia/Agranulocytosis</w:t>
      </w:r>
    </w:p>
    <w:p w:rsidR="00DA1F84" w:rsidRPr="002E5E59" w:rsidRDefault="00DA1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b/>
          <w:sz w:val="22"/>
          <w:szCs w:val="22"/>
          <w:lang w:val="hu-HU"/>
        </w:rPr>
      </w:pPr>
      <w:r w:rsidRPr="002E5E59">
        <w:rPr>
          <w:b/>
          <w:sz w:val="22"/>
          <w:szCs w:val="22"/>
          <w:lang w:val="hu-HU"/>
        </w:rPr>
        <w:t>A deferipron neutropeniát, így agranulocytosist is okozhat</w:t>
      </w:r>
      <w:r w:rsidR="001C3689" w:rsidRPr="002E5E59">
        <w:rPr>
          <w:b/>
          <w:sz w:val="22"/>
          <w:szCs w:val="22"/>
          <w:lang w:val="hu-HU"/>
        </w:rPr>
        <w:t xml:space="preserve"> </w:t>
      </w:r>
      <w:r w:rsidR="001C3689" w:rsidRPr="00F75EF0">
        <w:rPr>
          <w:b/>
          <w:bCs/>
          <w:sz w:val="22"/>
          <w:szCs w:val="22"/>
          <w:lang w:val="hu"/>
        </w:rPr>
        <w:t>(lásd 4.8 pont „Egyes kiválasztott mellékhatások leírása”)</w:t>
      </w:r>
      <w:r w:rsidRPr="002E5E59">
        <w:rPr>
          <w:b/>
          <w:sz w:val="22"/>
          <w:szCs w:val="22"/>
          <w:lang w:val="hu-HU"/>
        </w:rPr>
        <w:t xml:space="preserve">. </w:t>
      </w:r>
      <w:r w:rsidR="001C3689" w:rsidRPr="00F75EF0">
        <w:rPr>
          <w:b/>
          <w:bCs/>
          <w:sz w:val="22"/>
          <w:szCs w:val="22"/>
          <w:lang w:val="hu"/>
        </w:rPr>
        <w:t>A terápia első évében a beteg abszolút neutrofilszámát (ANC) hetente kell ellenőrizni. Azoknál a betegeknél, akiknél a neutrofilszám csökkenése miatt a terápia első évében a Ferriprox</w:t>
      </w:r>
      <w:r w:rsidR="002E5E59">
        <w:rPr>
          <w:b/>
          <w:bCs/>
          <w:sz w:val="22"/>
          <w:szCs w:val="22"/>
          <w:lang w:val="hu"/>
        </w:rPr>
        <w:t>-</w:t>
      </w:r>
      <w:r w:rsidR="001C3689" w:rsidRPr="00F75EF0">
        <w:rPr>
          <w:b/>
          <w:bCs/>
          <w:sz w:val="22"/>
          <w:szCs w:val="22"/>
          <w:lang w:val="hu"/>
        </w:rPr>
        <w:t>kezelés</w:t>
      </w:r>
      <w:r w:rsidR="002E5E59">
        <w:rPr>
          <w:b/>
          <w:bCs/>
          <w:sz w:val="22"/>
          <w:szCs w:val="22"/>
          <w:lang w:val="hu"/>
        </w:rPr>
        <w:t>t</w:t>
      </w:r>
      <w:r w:rsidR="001C3689" w:rsidRPr="00F75EF0">
        <w:rPr>
          <w:b/>
          <w:bCs/>
          <w:sz w:val="22"/>
          <w:szCs w:val="22"/>
          <w:lang w:val="hu"/>
        </w:rPr>
        <w:t xml:space="preserve"> nem szakították meg, az ANC-ellenőrzés a deferipron</w:t>
      </w:r>
      <w:r w:rsidR="002E5E59">
        <w:rPr>
          <w:b/>
          <w:bCs/>
          <w:sz w:val="22"/>
          <w:szCs w:val="22"/>
          <w:lang w:val="hu"/>
        </w:rPr>
        <w:t>-</w:t>
      </w:r>
      <w:r w:rsidR="001C3689" w:rsidRPr="00F75EF0">
        <w:rPr>
          <w:b/>
          <w:bCs/>
          <w:sz w:val="22"/>
          <w:szCs w:val="22"/>
          <w:lang w:val="hu"/>
        </w:rPr>
        <w:t>kezelés után egy év elteltével meghosszabbítható a beteg vérátömlesztési intervallumára (2–4 hetenként).</w:t>
      </w:r>
    </w:p>
    <w:p w:rsidR="00DA1F84" w:rsidRPr="00563B49" w:rsidRDefault="00DA1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</w:p>
    <w:p w:rsidR="001C3689" w:rsidRPr="00563B49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  <w:r w:rsidRPr="007C25BB">
        <w:rPr>
          <w:sz w:val="22"/>
          <w:szCs w:val="22"/>
          <w:lang w:val="hu-HU"/>
        </w:rPr>
        <w:t>A 12 hónapos Ferriprox</w:t>
      </w:r>
      <w:r w:rsidR="002E5E59">
        <w:rPr>
          <w:sz w:val="22"/>
          <w:szCs w:val="22"/>
          <w:lang w:val="hu-HU"/>
        </w:rPr>
        <w:t>-</w:t>
      </w:r>
      <w:r w:rsidRPr="002E5E59">
        <w:rPr>
          <w:sz w:val="22"/>
          <w:szCs w:val="22"/>
          <w:lang w:val="hu-HU"/>
        </w:rPr>
        <w:t>terápia után a transzfúziós látogatások idején a heti ANC-ellenőrzésről való áttérést az egyes betegeknél egyénenként kell meghat</w:t>
      </w:r>
      <w:r w:rsidRPr="00563B49">
        <w:rPr>
          <w:sz w:val="22"/>
          <w:szCs w:val="22"/>
          <w:lang w:val="hu-HU"/>
        </w:rPr>
        <w:t>ározni, annak alapján, hogy az orvos hogyan értékeli a beteg hozzáállását a terápia során szükséges kockázatminimalizálási intézkedésekhez (lásd 4.4 pont alább).</w:t>
      </w:r>
    </w:p>
    <w:p w:rsidR="001C3689" w:rsidRPr="007C25BB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</w:p>
    <w:p w:rsidR="001C3689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  <w:r w:rsidRPr="000A7900">
        <w:rPr>
          <w:sz w:val="22"/>
          <w:szCs w:val="22"/>
          <w:lang w:val="hu-HU"/>
        </w:rPr>
        <w:t>A klinikai vizsgálatokban a heti ellenőrzés hatékonynak bizonyult a neutropeniás</w:t>
      </w:r>
      <w:r w:rsidR="00BE4077">
        <w:rPr>
          <w:sz w:val="22"/>
          <w:szCs w:val="22"/>
          <w:lang w:val="hu-HU"/>
        </w:rPr>
        <w:t>,</w:t>
      </w:r>
      <w:r w:rsidRPr="000A7900">
        <w:rPr>
          <w:sz w:val="22"/>
          <w:szCs w:val="22"/>
          <w:lang w:val="hu-HU"/>
        </w:rPr>
        <w:t xml:space="preserve"> illetve agra</w:t>
      </w:r>
      <w:r w:rsidRPr="00A10D70">
        <w:rPr>
          <w:sz w:val="22"/>
          <w:szCs w:val="22"/>
          <w:lang w:val="hu-HU"/>
        </w:rPr>
        <w:t>nulocytosisos esetek felismerésére. Az agranulocytosis és a neutropenia általában megszűnik a Ferriprox</w:t>
      </w:r>
      <w:r w:rsidR="00115B76">
        <w:rPr>
          <w:sz w:val="22"/>
          <w:szCs w:val="22"/>
          <w:lang w:val="hu-HU"/>
        </w:rPr>
        <w:t>-</w:t>
      </w:r>
      <w:r w:rsidRPr="00115B76">
        <w:rPr>
          <w:sz w:val="22"/>
          <w:szCs w:val="22"/>
          <w:lang w:val="hu-HU"/>
        </w:rPr>
        <w:t>kezelés abbahagyása után, de beszámoltak agranulocitytosis okozta halálesetekről. Ha a betegnél fertőzés alakul ki a deferipron</w:t>
      </w:r>
      <w:r w:rsidR="00115B76">
        <w:rPr>
          <w:sz w:val="22"/>
          <w:szCs w:val="22"/>
          <w:lang w:val="hu-HU"/>
        </w:rPr>
        <w:t>-</w:t>
      </w:r>
      <w:r w:rsidRPr="00115B76">
        <w:rPr>
          <w:sz w:val="22"/>
          <w:szCs w:val="22"/>
          <w:lang w:val="hu-HU"/>
        </w:rPr>
        <w:t>kezelés közben, a terápiát azonnal meg kell szakítani és a neutrofilszámot haladéktalanul ellenőrizni kell. A neutrofilszámot ezután gyakrabban kell ellenőrizni.</w:t>
      </w:r>
    </w:p>
    <w:p w:rsidR="008D22ED" w:rsidRDefault="008D22ED" w:rsidP="008D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</w:p>
    <w:p w:rsidR="008D22ED" w:rsidRPr="008D22ED" w:rsidRDefault="008D22ED" w:rsidP="008D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  <w:r w:rsidRPr="008D22ED">
        <w:rPr>
          <w:b/>
          <w:bCs/>
          <w:sz w:val="22"/>
          <w:szCs w:val="22"/>
          <w:lang w:val="hu-HU"/>
        </w:rPr>
        <w:t>A beteg figyelmét fel kell hívni arra, hogy azonnal jelentkezzen orvosánál, ha fertőzésre utaló jeleket észlel, mint pl. láz, torokfájás vagy influenzaszerű tünetek. Ha a beteg fertőzést tapasztal, a deferipron-kezelést azonnal meg kell szakítani.</w:t>
      </w:r>
    </w:p>
    <w:p w:rsidR="00B324E5" w:rsidRDefault="00B324E5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neutropenia kezelésének módját </w:t>
      </w:r>
      <w:r w:rsidR="00676178">
        <w:rPr>
          <w:sz w:val="22"/>
          <w:szCs w:val="22"/>
          <w:lang w:val="hu-HU"/>
        </w:rPr>
        <w:t xml:space="preserve">az </w:t>
      </w:r>
      <w:r w:rsidRPr="00A530FF">
        <w:rPr>
          <w:sz w:val="22"/>
          <w:szCs w:val="22"/>
          <w:lang w:val="hu-HU"/>
        </w:rPr>
        <w:t>alábbiakban vázoljuk. Ajánlott egy ilyen kezelési protokoll összeállítása, mielőtt a beteg deferipron-terápiája megkezdődne.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t>Deferipron-kezelés nem alkalmazható ha a beteg neutropeniás.</w:t>
      </w:r>
      <w:r w:rsidRPr="00A530FF">
        <w:rPr>
          <w:b/>
          <w:szCs w:val="22"/>
          <w:lang w:val="hu-HU"/>
        </w:rPr>
        <w:t xml:space="preserve"> </w:t>
      </w:r>
      <w:r w:rsidRPr="00A530FF">
        <w:rPr>
          <w:szCs w:val="22"/>
          <w:lang w:val="hu-HU"/>
        </w:rPr>
        <w:t>Az agranulocytosis és a neutropenia kockázata nagyobb, ha az ANC kiindulási értéke kevesebb mint 1,5</w:t>
      </w:r>
      <w:r w:rsidR="00676178">
        <w:rPr>
          <w:szCs w:val="22"/>
          <w:lang w:val="hu-HU"/>
        </w:rPr>
        <w:t>×</w:t>
      </w:r>
      <w:r w:rsidRPr="00A530FF">
        <w:rPr>
          <w:szCs w:val="22"/>
          <w:lang w:val="hu-HU"/>
        </w:rPr>
        <w:t>10</w:t>
      </w:r>
      <w:r w:rsidRPr="00A530FF">
        <w:rPr>
          <w:szCs w:val="22"/>
          <w:vertAlign w:val="superscript"/>
          <w:lang w:val="hu-HU"/>
        </w:rPr>
        <w:t>9</w:t>
      </w:r>
      <w:r w:rsidRPr="00A530FF">
        <w:rPr>
          <w:szCs w:val="22"/>
          <w:lang w:val="hu-HU"/>
        </w:rPr>
        <w:t>/l.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193A5D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Neutropenia esetén</w:t>
      </w:r>
      <w:r w:rsidR="0035726F">
        <w:rPr>
          <w:iCs/>
          <w:sz w:val="22"/>
          <w:szCs w:val="22"/>
          <w:u w:val="single"/>
          <w:lang w:val="hu-HU"/>
        </w:rPr>
        <w:t xml:space="preserve"> </w:t>
      </w:r>
      <w:r w:rsidR="0035726F" w:rsidRPr="00A076D1">
        <w:rPr>
          <w:sz w:val="22"/>
          <w:szCs w:val="22"/>
          <w:u w:val="single"/>
          <w:lang w:val="hu"/>
        </w:rPr>
        <w:t>(ANC &lt; 1,5</w:t>
      </w:r>
      <w:r w:rsidR="00676178">
        <w:rPr>
          <w:sz w:val="22"/>
          <w:szCs w:val="22"/>
          <w:u w:val="single"/>
          <w:lang w:val="hu"/>
        </w:rPr>
        <w:t>×</w:t>
      </w:r>
      <w:r w:rsidR="0035726F" w:rsidRPr="00A076D1">
        <w:rPr>
          <w:sz w:val="22"/>
          <w:szCs w:val="22"/>
          <w:u w:val="single"/>
          <w:lang w:val="hu"/>
        </w:rPr>
        <w:t>10</w:t>
      </w:r>
      <w:r w:rsidR="0035726F" w:rsidRPr="00A076D1">
        <w:rPr>
          <w:sz w:val="22"/>
          <w:szCs w:val="22"/>
          <w:u w:val="single"/>
          <w:vertAlign w:val="superscript"/>
          <w:lang w:val="hu"/>
        </w:rPr>
        <w:t>9</w:t>
      </w:r>
      <w:r w:rsidR="0035726F" w:rsidRPr="00A076D1">
        <w:rPr>
          <w:sz w:val="22"/>
          <w:szCs w:val="22"/>
          <w:u w:val="single"/>
          <w:lang w:val="hu"/>
        </w:rPr>
        <w:t>/l és &gt; 0,5</w:t>
      </w:r>
      <w:r w:rsidR="00676178">
        <w:rPr>
          <w:sz w:val="22"/>
          <w:szCs w:val="22"/>
          <w:u w:val="single"/>
          <w:lang w:val="hu"/>
        </w:rPr>
        <w:t>×</w:t>
      </w:r>
      <w:r w:rsidR="0035726F" w:rsidRPr="00A076D1">
        <w:rPr>
          <w:sz w:val="22"/>
          <w:szCs w:val="22"/>
          <w:u w:val="single"/>
          <w:lang w:val="hu"/>
        </w:rPr>
        <w:t>10</w:t>
      </w:r>
      <w:r w:rsidR="0035726F" w:rsidRPr="00A076D1">
        <w:rPr>
          <w:sz w:val="22"/>
          <w:szCs w:val="22"/>
          <w:u w:val="single"/>
          <w:vertAlign w:val="superscript"/>
          <w:lang w:val="hu"/>
        </w:rPr>
        <w:t>9</w:t>
      </w:r>
      <w:r w:rsidR="0035726F" w:rsidRPr="00A076D1">
        <w:rPr>
          <w:sz w:val="22"/>
          <w:szCs w:val="22"/>
          <w:u w:val="single"/>
          <w:lang w:val="hu"/>
        </w:rPr>
        <w:t>/l)</w:t>
      </w:r>
      <w:r w:rsidRPr="00A530FF">
        <w:rPr>
          <w:iCs/>
          <w:sz w:val="22"/>
          <w:szCs w:val="22"/>
          <w:u w:val="single"/>
          <w:lang w:val="hu-HU"/>
        </w:rPr>
        <w:t>: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Utasítsa a beteget, hogy azonnal hagyja abba a deferipron és minden más olyan gyógyszer szedését, amely neutropeniát okozhat. Javasolni kell a betegnek, hogy kerülje </w:t>
      </w:r>
      <w:r w:rsidR="00676178">
        <w:rPr>
          <w:sz w:val="22"/>
          <w:szCs w:val="22"/>
          <w:lang w:val="hu-HU"/>
        </w:rPr>
        <w:t xml:space="preserve">a </w:t>
      </w:r>
      <w:r w:rsidRPr="00A530FF">
        <w:rPr>
          <w:sz w:val="22"/>
          <w:szCs w:val="22"/>
          <w:lang w:val="hu-HU"/>
        </w:rPr>
        <w:t>személyes érintkezést másokkal, csökkentve ezáltal a fertőzés kockázatát. A diagnózist követően azonnal teljes vérvizsgálatot kell végezni, és ellenőrizni kell a magvas vörösvérsejtekkel korrigált fehérvérsejt-, és neutrofil- és thrombocytaszámot. Ezeket a vizsgálatokat naponta meg kell ismételni. A neutropeniából való felépülés után ajánlott további három héten át hetente ellenőrizni a teljes vérképet, a fehérvérsejt-, a neutrofil- és a thrombocytaszámot, hogy meggyőződjünk arról, hogy a csontvelő sejtképzése teljes mértékben helyreállt. Bármilyen fertőzésre utaló jel, így neutropenia jelentkezése esetén a szükséges tenyésztési és diagnosztikai vizsgálatokat el kell végezni, és a megfelelő terápiás kezelést el</w:t>
      </w:r>
      <w:r w:rsidR="00676178">
        <w:rPr>
          <w:sz w:val="22"/>
          <w:szCs w:val="22"/>
          <w:lang w:val="hu-HU"/>
        </w:rPr>
        <w:t xml:space="preserve"> kell </w:t>
      </w:r>
      <w:r w:rsidRPr="00A530FF">
        <w:rPr>
          <w:sz w:val="22"/>
          <w:szCs w:val="22"/>
          <w:lang w:val="hu-HU"/>
        </w:rPr>
        <w:t>kezdeni.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35726F" w:rsidP="00193A5D">
      <w:pPr>
        <w:keepNext/>
        <w:rPr>
          <w:iCs/>
          <w:sz w:val="22"/>
          <w:szCs w:val="22"/>
          <w:u w:val="single"/>
          <w:lang w:val="hu-HU"/>
        </w:rPr>
      </w:pPr>
      <w:r w:rsidRPr="00A076D1">
        <w:rPr>
          <w:sz w:val="22"/>
          <w:szCs w:val="22"/>
          <w:u w:val="single"/>
          <w:lang w:val="hu"/>
        </w:rPr>
        <w:t>Agranulocytosis esetén (ANC &lt; 0,5</w:t>
      </w:r>
      <w:r w:rsidR="00676178">
        <w:rPr>
          <w:sz w:val="22"/>
          <w:szCs w:val="22"/>
          <w:u w:val="single"/>
          <w:lang w:val="hu"/>
        </w:rPr>
        <w:t>×</w:t>
      </w:r>
      <w:r w:rsidRPr="00A076D1">
        <w:rPr>
          <w:sz w:val="22"/>
          <w:szCs w:val="22"/>
          <w:u w:val="single"/>
          <w:lang w:val="hu"/>
        </w:rPr>
        <w:t>10</w:t>
      </w:r>
      <w:r w:rsidRPr="00A076D1">
        <w:rPr>
          <w:sz w:val="22"/>
          <w:szCs w:val="22"/>
          <w:u w:val="single"/>
          <w:vertAlign w:val="superscript"/>
          <w:lang w:val="hu"/>
        </w:rPr>
        <w:t>9</w:t>
      </w:r>
      <w:r w:rsidRPr="00A076D1">
        <w:rPr>
          <w:sz w:val="22"/>
          <w:szCs w:val="22"/>
          <w:u w:val="single"/>
          <w:lang w:val="hu"/>
        </w:rPr>
        <w:t>/l)</w:t>
      </w:r>
      <w:r w:rsidR="00DA1F84" w:rsidRPr="00A530FF">
        <w:rPr>
          <w:iCs/>
          <w:sz w:val="22"/>
          <w:szCs w:val="22"/>
          <w:u w:val="single"/>
          <w:lang w:val="hu-HU"/>
        </w:rPr>
        <w:t>: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fentiek szerint kell eljárni, és a pozitív diagnózis napján a megfelelő terápiát, pl. granulocyta kolóniastimuláló faktor alkalmazás</w:t>
      </w:r>
      <w:r w:rsidR="00563B49">
        <w:rPr>
          <w:sz w:val="22"/>
          <w:szCs w:val="22"/>
          <w:lang w:val="hu-HU"/>
        </w:rPr>
        <w:t>a,</w:t>
      </w:r>
      <w:r w:rsidRPr="00A530FF">
        <w:rPr>
          <w:sz w:val="22"/>
          <w:szCs w:val="22"/>
          <w:lang w:val="hu-HU"/>
        </w:rPr>
        <w:t xml:space="preserve"> meg kell kezdeni</w:t>
      </w:r>
      <w:r w:rsidR="00563B49">
        <w:rPr>
          <w:sz w:val="22"/>
          <w:szCs w:val="22"/>
          <w:lang w:val="hu-HU"/>
        </w:rPr>
        <w:t>, majd</w:t>
      </w:r>
      <w:r w:rsidRPr="00A530FF">
        <w:rPr>
          <w:sz w:val="22"/>
          <w:szCs w:val="22"/>
          <w:lang w:val="hu-HU"/>
        </w:rPr>
        <w:t xml:space="preserve"> naponta alkalmaz</w:t>
      </w:r>
      <w:r w:rsidR="00563B49">
        <w:rPr>
          <w:sz w:val="22"/>
          <w:szCs w:val="22"/>
          <w:lang w:val="hu-HU"/>
        </w:rPr>
        <w:t>ni</w:t>
      </w:r>
      <w:r w:rsidRPr="00A530FF">
        <w:rPr>
          <w:sz w:val="22"/>
          <w:szCs w:val="22"/>
          <w:lang w:val="hu-HU"/>
        </w:rPr>
        <w:t xml:space="preserve"> a tünet(ek) megszűnéséig. Védelme érdekében </w:t>
      </w:r>
      <w:r w:rsidR="00563B49" w:rsidRPr="00A530FF">
        <w:rPr>
          <w:sz w:val="22"/>
          <w:szCs w:val="22"/>
          <w:lang w:val="hu-HU"/>
        </w:rPr>
        <w:t xml:space="preserve">a beteget </w:t>
      </w:r>
      <w:r w:rsidRPr="00A530FF">
        <w:rPr>
          <w:sz w:val="22"/>
          <w:szCs w:val="22"/>
          <w:lang w:val="hu-HU"/>
        </w:rPr>
        <w:t xml:space="preserve">el kell különíteni, illetve ha orvosilag indokolt, kórházba </w:t>
      </w:r>
      <w:r w:rsidR="00563B49">
        <w:rPr>
          <w:sz w:val="22"/>
          <w:szCs w:val="22"/>
          <w:lang w:val="hu-HU"/>
        </w:rPr>
        <w:t xml:space="preserve">kell </w:t>
      </w:r>
      <w:r w:rsidRPr="00A530FF">
        <w:rPr>
          <w:sz w:val="22"/>
          <w:szCs w:val="22"/>
          <w:lang w:val="hu-HU"/>
        </w:rPr>
        <w:t>utalni.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kezelés ismételt megkezdésének hatásairól kevés adat áll rendelkezésre. Ezért neutropenia esetén a kezelés újbóli megkezdése nem javasolt. Agranulocytosis esetén a kezelés újrakezdése ellenjavallott.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Rákkeltő hatás/mutagén hatás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genotoxicitási eredmények alapján a deferipron rákkeltő hatása nem zárható ki (lásd 5.3 pont).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97009" w:rsidP="00193A5D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 xml:space="preserve">A </w:t>
      </w:r>
      <w:r w:rsidR="00DA1F84" w:rsidRPr="00A530FF">
        <w:rPr>
          <w:iCs/>
          <w:sz w:val="22"/>
          <w:szCs w:val="22"/>
          <w:u w:val="single"/>
          <w:lang w:val="hu-HU"/>
        </w:rPr>
        <w:t>plazma Zn</w:t>
      </w:r>
      <w:r w:rsidR="00DA1F84" w:rsidRPr="00A530FF">
        <w:rPr>
          <w:iCs/>
          <w:sz w:val="22"/>
          <w:szCs w:val="22"/>
          <w:u w:val="single"/>
          <w:vertAlign w:val="superscript"/>
          <w:lang w:val="hu-HU"/>
        </w:rPr>
        <w:t>2+</w:t>
      </w:r>
      <w:r w:rsidR="00563B49">
        <w:rPr>
          <w:iCs/>
          <w:sz w:val="22"/>
          <w:szCs w:val="22"/>
          <w:u w:val="single"/>
          <w:lang w:val="hu-HU"/>
        </w:rPr>
        <w:t>-</w:t>
      </w:r>
      <w:r w:rsidR="00DA1F84" w:rsidRPr="00A530FF">
        <w:rPr>
          <w:iCs/>
          <w:sz w:val="22"/>
          <w:szCs w:val="22"/>
          <w:u w:val="single"/>
          <w:lang w:val="hu-HU"/>
        </w:rPr>
        <w:t>koncentrációja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Javasolt a plazma Zn</w:t>
      </w:r>
      <w:r w:rsidRPr="00A530FF">
        <w:rPr>
          <w:sz w:val="22"/>
          <w:szCs w:val="22"/>
          <w:vertAlign w:val="superscript"/>
          <w:lang w:val="hu-HU"/>
        </w:rPr>
        <w:t>2+</w:t>
      </w:r>
      <w:r w:rsidR="00563B49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szintjének ellenőrzése, illetve hiány esetén pótlása.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HIV-pozitív illetve egyéb immunkompromittált állapotban lévő betegek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áll rendelkezésre adat a deferipron alkalmazásáról HIV-pozitív vagy egyéb immunkompromittált állapotban lévő betegek esetében. Mivel a deferipron neutropeniát és agranulocytosist okozhat, immunkompromittált állapotban lévő betegek esetében csak akkor alkalmazható a kezelést, ha a várható potenciális előnyök nagyobbak, mint a kezelés potenciális kockázata.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Vese- vagy májkárosodás, májfibrózis</w:t>
      </w:r>
    </w:p>
    <w:p w:rsidR="00DA1F84" w:rsidRPr="00A530FF" w:rsidRDefault="00DA1F84" w:rsidP="00EC17FF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Nem állnak rendelkezésre adatok deferipron alkalmazására </w:t>
      </w:r>
      <w:r w:rsidRPr="00EC17FF">
        <w:rPr>
          <w:sz w:val="22"/>
          <w:szCs w:val="22"/>
          <w:lang w:val="hu-HU"/>
        </w:rPr>
        <w:t xml:space="preserve">vonatkozóan </w:t>
      </w:r>
      <w:r w:rsidR="00EC17FF" w:rsidRPr="00EC17FF">
        <w:rPr>
          <w:sz w:val="22"/>
          <w:szCs w:val="22"/>
          <w:lang w:val="hu-HU"/>
        </w:rPr>
        <w:t xml:space="preserve">a végstádiumú vesebetegségben vagy súlyos májkárosodásban szenvedő betegeknél (lásd 5.2 pont). </w:t>
      </w:r>
      <w:r w:rsidR="00EC17FF" w:rsidRPr="00EC17FF">
        <w:rPr>
          <w:sz w:val="22"/>
          <w:szCs w:val="22"/>
          <w:lang w:val="hu"/>
        </w:rPr>
        <w:t xml:space="preserve">Végstádiumú vesebetegségben vagy súlyos májkárosodásban szenvedő betegeknél </w:t>
      </w:r>
      <w:r w:rsidRPr="00A530FF">
        <w:rPr>
          <w:sz w:val="22"/>
          <w:szCs w:val="22"/>
          <w:lang w:val="hu-HU"/>
        </w:rPr>
        <w:t>elővigyázatossággal kell eljárni. A deferipron</w:t>
      </w:r>
      <w:r w:rsidR="00EC17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terápia alatt folyamatosan ellenőrizni kell az ilyen betegek vese- és májműködését. Amennyiben állandó növekedés figyelhető meg a szérum alanin</w:t>
      </w:r>
      <w:r w:rsidR="00C94B2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aminotranszferáz</w:t>
      </w:r>
      <w:r w:rsidR="00C94B2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 xml:space="preserve"> (AL</w:t>
      </w:r>
      <w:r w:rsidR="00C94B2F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T</w:t>
      </w:r>
      <w:r w:rsidR="00563B49">
        <w:rPr>
          <w:sz w:val="22"/>
          <w:szCs w:val="22"/>
          <w:lang w:val="hu-HU"/>
        </w:rPr>
        <w:t>, SGPT</w:t>
      </w:r>
      <w:r w:rsidRPr="00A530FF">
        <w:rPr>
          <w:sz w:val="22"/>
          <w:szCs w:val="22"/>
          <w:lang w:val="hu-HU"/>
        </w:rPr>
        <w:t>) szintjében, fontolóra kell venni a deferipron-terápia felfüggesztését.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Thalessaemiás betegek esetében kapcsolat áll fenn a májfibrózis valamint a vastúlterhelés és/vagy hepatitis C között. Különös figyelmet kell fordítani a hepatitis C-ben szenvedő betegek optimális vaskelációjának biztosítására. Ilyen betegeknél javasolt a máj hisztológiai elváltozásának gondos megfigyelése.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A vizelet elszíneződése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Tájékoztatni kell a betegeket, hogy vizeletük pirosas-barnásra színeződhet a vas-deferipron komplex kiválasztása következtében.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316F9F" w:rsidP="00193A5D">
      <w:pPr>
        <w:keepNext/>
        <w:rPr>
          <w:iCs/>
          <w:sz w:val="22"/>
          <w:szCs w:val="22"/>
          <w:u w:val="single"/>
          <w:lang w:val="hu-HU"/>
        </w:rPr>
      </w:pPr>
      <w:r>
        <w:rPr>
          <w:iCs/>
          <w:sz w:val="22"/>
          <w:szCs w:val="22"/>
          <w:u w:val="single"/>
          <w:lang w:val="hu-HU"/>
        </w:rPr>
        <w:t>N</w:t>
      </w:r>
      <w:r w:rsidR="00DA1F84" w:rsidRPr="00A530FF">
        <w:rPr>
          <w:iCs/>
          <w:sz w:val="22"/>
          <w:szCs w:val="22"/>
          <w:u w:val="single"/>
          <w:lang w:val="hu-HU"/>
        </w:rPr>
        <w:t>eurológiai rendellenességek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Neurológiai rendellenességeket észleltek olyan gyermekeknél, akiket több éven át a javasolt </w:t>
      </w:r>
      <w:r w:rsidR="00316F9F" w:rsidRPr="00316F9F">
        <w:rPr>
          <w:sz w:val="22"/>
          <w:szCs w:val="22"/>
          <w:lang w:val="hu-HU"/>
        </w:rPr>
        <w:t xml:space="preserve">maximális </w:t>
      </w:r>
      <w:r w:rsidRPr="00A530FF">
        <w:rPr>
          <w:sz w:val="22"/>
          <w:szCs w:val="22"/>
          <w:lang w:val="hu-HU"/>
        </w:rPr>
        <w:t>dózis két és félszeresével kezeltek</w:t>
      </w:r>
      <w:r w:rsidR="00316F9F" w:rsidRPr="00316F9F">
        <w:rPr>
          <w:sz w:val="22"/>
          <w:szCs w:val="22"/>
          <w:lang w:val="hu-HU"/>
        </w:rPr>
        <w:t>, de olyanoknál is, akiket standard dózisú deferipronnal kezeltek</w:t>
      </w:r>
      <w:r w:rsidRPr="00A530FF">
        <w:rPr>
          <w:sz w:val="22"/>
          <w:szCs w:val="22"/>
          <w:lang w:val="hu-HU"/>
        </w:rPr>
        <w:t>. Felhívjuk a gyógyszert felíró orvosok figyelmét, hogy a 100 mg/testtömegkilogramm/nap feletti dózisok alkalmazása nem javasolt</w:t>
      </w:r>
      <w:r w:rsidR="00316F9F" w:rsidRPr="00316F9F">
        <w:rPr>
          <w:sz w:val="22"/>
          <w:szCs w:val="22"/>
          <w:lang w:val="hu-HU"/>
        </w:rPr>
        <w:t xml:space="preserve">. A deferipron alkalmazását </w:t>
      </w:r>
      <w:r w:rsidR="000C0D0B">
        <w:rPr>
          <w:sz w:val="22"/>
          <w:szCs w:val="22"/>
          <w:lang w:val="hu-HU"/>
        </w:rPr>
        <w:t>abba</w:t>
      </w:r>
      <w:r w:rsidR="00316F9F" w:rsidRPr="00316F9F">
        <w:rPr>
          <w:sz w:val="22"/>
          <w:szCs w:val="22"/>
          <w:lang w:val="hu-HU"/>
        </w:rPr>
        <w:t xml:space="preserve"> kell </w:t>
      </w:r>
      <w:r w:rsidR="000C0D0B">
        <w:rPr>
          <w:sz w:val="22"/>
          <w:szCs w:val="22"/>
          <w:lang w:val="hu-HU"/>
        </w:rPr>
        <w:t>hagyni</w:t>
      </w:r>
      <w:r w:rsidR="00316F9F" w:rsidRPr="00316F9F">
        <w:rPr>
          <w:sz w:val="22"/>
          <w:szCs w:val="22"/>
          <w:lang w:val="hu-HU"/>
        </w:rPr>
        <w:t>, ha neurológiai rendellenességeket észlelnek</w:t>
      </w:r>
      <w:r w:rsidRPr="00A530FF">
        <w:rPr>
          <w:sz w:val="22"/>
          <w:szCs w:val="22"/>
          <w:lang w:val="hu-HU"/>
        </w:rPr>
        <w:t xml:space="preserve"> (lásd 4.8 és 4.9 pont).</w:t>
      </w:r>
    </w:p>
    <w:p w:rsidR="00B86235" w:rsidRPr="00B86235" w:rsidRDefault="00B86235" w:rsidP="00B86235">
      <w:pPr>
        <w:tabs>
          <w:tab w:val="left" w:pos="567"/>
        </w:tabs>
        <w:rPr>
          <w:sz w:val="22"/>
          <w:szCs w:val="22"/>
          <w:lang w:val="hu-HU"/>
        </w:rPr>
      </w:pPr>
    </w:p>
    <w:p w:rsidR="00B86235" w:rsidRPr="00B86235" w:rsidRDefault="0031302E" w:rsidP="0031302E">
      <w:pPr>
        <w:keepNext/>
        <w:tabs>
          <w:tab w:val="left" w:pos="567"/>
        </w:tabs>
        <w:rPr>
          <w:sz w:val="22"/>
          <w:szCs w:val="22"/>
          <w:u w:val="single"/>
          <w:lang w:val="hu-HU"/>
        </w:rPr>
      </w:pPr>
      <w:r w:rsidRPr="0031302E">
        <w:rPr>
          <w:sz w:val="22"/>
          <w:szCs w:val="22"/>
          <w:u w:val="single"/>
          <w:lang w:val="hu-HU"/>
        </w:rPr>
        <w:t>Együttes alkalmazása más vaskelátorokkal</w:t>
      </w:r>
    </w:p>
    <w:p w:rsidR="00DA1F84" w:rsidRPr="00B86235" w:rsidRDefault="0031302E" w:rsidP="007706D4">
      <w:pPr>
        <w:tabs>
          <w:tab w:val="left" w:pos="567"/>
        </w:tabs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 xml:space="preserve">A kombinált kezelést eseti elbírálás alapján kell </w:t>
      </w:r>
      <w:r w:rsidR="00E946C7">
        <w:rPr>
          <w:sz w:val="22"/>
          <w:szCs w:val="22"/>
          <w:lang w:val="hu-HU"/>
        </w:rPr>
        <w:t>mérlegelni</w:t>
      </w:r>
      <w:r w:rsidRPr="0031302E">
        <w:rPr>
          <w:sz w:val="22"/>
          <w:szCs w:val="22"/>
          <w:lang w:val="hu-HU"/>
        </w:rPr>
        <w:t xml:space="preserve">. A terápiára adott választ rendszeresen értékelni kell, és a </w:t>
      </w:r>
      <w:r w:rsidR="00E946C7">
        <w:rPr>
          <w:sz w:val="22"/>
          <w:szCs w:val="22"/>
          <w:lang w:val="hu-HU"/>
        </w:rPr>
        <w:t>nemkívánatos események</w:t>
      </w:r>
      <w:r w:rsidRPr="0031302E">
        <w:rPr>
          <w:sz w:val="22"/>
          <w:szCs w:val="22"/>
          <w:lang w:val="hu-HU"/>
        </w:rPr>
        <w:t xml:space="preserve"> előfordulását szorosan </w:t>
      </w:r>
      <w:r w:rsidR="00E946C7">
        <w:rPr>
          <w:sz w:val="22"/>
          <w:szCs w:val="22"/>
          <w:lang w:val="hu-HU"/>
        </w:rPr>
        <w:t>monitorozni</w:t>
      </w:r>
      <w:r w:rsidRPr="0031302E">
        <w:rPr>
          <w:sz w:val="22"/>
          <w:szCs w:val="22"/>
          <w:lang w:val="hu-HU"/>
        </w:rPr>
        <w:t xml:space="preserve"> kell. A deferipronnal kombinált deferoxamin</w:t>
      </w:r>
      <w:r w:rsidR="007C25BB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 xml:space="preserve">kezeléseknél </w:t>
      </w:r>
      <w:r w:rsidR="00E946C7">
        <w:rPr>
          <w:sz w:val="22"/>
          <w:szCs w:val="22"/>
          <w:lang w:val="hu-HU"/>
        </w:rPr>
        <w:t xml:space="preserve">(agranulocytosis okozta) </w:t>
      </w:r>
      <w:r w:rsidRPr="0031302E">
        <w:rPr>
          <w:sz w:val="22"/>
          <w:szCs w:val="22"/>
          <w:lang w:val="hu-HU"/>
        </w:rPr>
        <w:t xml:space="preserve">halálesetek és életveszélyes helyzetek is előfordultak. A deferoxaminnal kombinált terápia nem ajánlott, ha a monoterápia </w:t>
      </w:r>
      <w:r w:rsidR="007C25BB">
        <w:rPr>
          <w:sz w:val="22"/>
          <w:szCs w:val="22"/>
          <w:lang w:val="hu-HU"/>
        </w:rPr>
        <w:t xml:space="preserve">– </w:t>
      </w:r>
      <w:r w:rsidRPr="0031302E">
        <w:rPr>
          <w:sz w:val="22"/>
          <w:szCs w:val="22"/>
          <w:lang w:val="hu-HU"/>
        </w:rPr>
        <w:t>az egyik kelátképzővel</w:t>
      </w:r>
      <w:r w:rsidR="007C25BB">
        <w:rPr>
          <w:sz w:val="22"/>
          <w:szCs w:val="22"/>
          <w:lang w:val="hu-HU"/>
        </w:rPr>
        <w:t xml:space="preserve"> –</w:t>
      </w:r>
      <w:r w:rsidRPr="0031302E">
        <w:rPr>
          <w:sz w:val="22"/>
          <w:szCs w:val="22"/>
          <w:lang w:val="hu-HU"/>
        </w:rPr>
        <w:t xml:space="preserve"> is megfelelő</w:t>
      </w:r>
      <w:r w:rsidR="007C25BB">
        <w:rPr>
          <w:sz w:val="22"/>
          <w:szCs w:val="22"/>
          <w:lang w:val="hu-HU"/>
        </w:rPr>
        <w:t xml:space="preserve"> eredményt ad</w:t>
      </w:r>
      <w:r w:rsidR="00E946C7">
        <w:rPr>
          <w:sz w:val="22"/>
          <w:szCs w:val="22"/>
          <w:lang w:val="hu-HU"/>
        </w:rPr>
        <w:t>,</w:t>
      </w:r>
      <w:r w:rsidRPr="0031302E">
        <w:rPr>
          <w:sz w:val="22"/>
          <w:szCs w:val="22"/>
          <w:lang w:val="hu-HU"/>
        </w:rPr>
        <w:t xml:space="preserve"> vagy ha a szérumferritinszint 500</w:t>
      </w:r>
      <w:r w:rsidR="007706D4">
        <w:rPr>
          <w:sz w:val="22"/>
          <w:szCs w:val="22"/>
          <w:lang w:val="hu-HU"/>
        </w:rPr>
        <w:t> </w:t>
      </w:r>
      <w:r w:rsidR="007C25BB">
        <w:rPr>
          <w:sz w:val="22"/>
          <w:szCs w:val="22"/>
          <w:lang w:val="hu-HU"/>
        </w:rPr>
        <w:t>mikrogramm</w:t>
      </w:r>
      <w:r w:rsidRPr="0031302E">
        <w:rPr>
          <w:sz w:val="22"/>
          <w:szCs w:val="22"/>
          <w:lang w:val="hu-HU"/>
        </w:rPr>
        <w:t>/l alá esik. A Ferriprox és defera</w:t>
      </w:r>
      <w:r w:rsidR="00E946C7">
        <w:rPr>
          <w:sz w:val="22"/>
          <w:szCs w:val="22"/>
          <w:lang w:val="hu-HU"/>
        </w:rPr>
        <w:t>z</w:t>
      </w:r>
      <w:r w:rsidRPr="0031302E">
        <w:rPr>
          <w:sz w:val="22"/>
          <w:szCs w:val="22"/>
          <w:lang w:val="hu-HU"/>
        </w:rPr>
        <w:t>irox kombinált alkalmazására vonatkozóan csak korlátozott mennyiségű adat áll rendelkezésre, és az ilyen kombináció alkalmazás</w:t>
      </w:r>
      <w:r w:rsidR="00E946C7">
        <w:rPr>
          <w:sz w:val="22"/>
          <w:szCs w:val="22"/>
          <w:lang w:val="hu-HU"/>
        </w:rPr>
        <w:t>ának</w:t>
      </w:r>
      <w:r w:rsidRPr="0031302E">
        <w:rPr>
          <w:sz w:val="22"/>
          <w:szCs w:val="22"/>
          <w:lang w:val="hu-HU"/>
        </w:rPr>
        <w:t xml:space="preserve"> </w:t>
      </w:r>
      <w:r w:rsidR="00E946C7">
        <w:rPr>
          <w:sz w:val="22"/>
          <w:szCs w:val="22"/>
          <w:lang w:val="hu-HU"/>
        </w:rPr>
        <w:t>mérlegelésekor</w:t>
      </w:r>
      <w:r w:rsidRPr="0031302E">
        <w:rPr>
          <w:sz w:val="22"/>
          <w:szCs w:val="22"/>
          <w:lang w:val="hu-HU"/>
        </w:rPr>
        <w:t xml:space="preserve"> </w:t>
      </w:r>
      <w:r w:rsidR="007C25BB">
        <w:rPr>
          <w:sz w:val="22"/>
          <w:szCs w:val="22"/>
          <w:lang w:val="hu-HU"/>
        </w:rPr>
        <w:t>körültekintéssel</w:t>
      </w:r>
      <w:r w:rsidR="007C25BB" w:rsidRPr="0031302E">
        <w:rPr>
          <w:sz w:val="22"/>
          <w:szCs w:val="22"/>
          <w:lang w:val="hu-HU"/>
        </w:rPr>
        <w:t xml:space="preserve"> </w:t>
      </w:r>
      <w:r w:rsidRPr="0031302E">
        <w:rPr>
          <w:sz w:val="22"/>
          <w:szCs w:val="22"/>
          <w:lang w:val="hu-HU"/>
        </w:rPr>
        <w:t>kell eljárni.</w:t>
      </w:r>
    </w:p>
    <w:p w:rsidR="00B86235" w:rsidRPr="00B86235" w:rsidRDefault="00B86235" w:rsidP="00B86235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4.5</w:t>
      </w:r>
      <w:r w:rsidRPr="00A530FF">
        <w:rPr>
          <w:b/>
          <w:sz w:val="22"/>
          <w:szCs w:val="22"/>
          <w:lang w:val="hu-HU"/>
        </w:rPr>
        <w:tab/>
        <w:t>Gyógyszerkölcsönhatások és egyéb interakciók</w:t>
      </w:r>
    </w:p>
    <w:p w:rsidR="00DA1F84" w:rsidRPr="00A530FF" w:rsidRDefault="00DA1F84" w:rsidP="00193A5D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AC6ECE" w:rsidRPr="00A530FF" w:rsidRDefault="00CA17AF" w:rsidP="00AC6ECE">
      <w:pPr>
        <w:pStyle w:val="BodyTextIndent"/>
        <w:ind w:left="0"/>
        <w:rPr>
          <w:szCs w:val="22"/>
          <w:lang w:val="hu-HU"/>
        </w:rPr>
      </w:pPr>
      <w:r w:rsidRPr="00A530FF">
        <w:rPr>
          <w:szCs w:val="22"/>
          <w:lang w:val="hu-HU"/>
        </w:rPr>
        <w:t>A</w:t>
      </w:r>
      <w:r w:rsidR="00AC6ECE" w:rsidRPr="00A530FF">
        <w:rPr>
          <w:szCs w:val="22"/>
          <w:lang w:val="hu-HU"/>
        </w:rPr>
        <w:t xml:space="preserve"> deferipron kiváltotta neutropenia tisztázatlan</w:t>
      </w:r>
      <w:r w:rsidRPr="00A530FF">
        <w:rPr>
          <w:szCs w:val="22"/>
          <w:lang w:val="hu-HU"/>
        </w:rPr>
        <w:t xml:space="preserve"> mechanizmusa miatt</w:t>
      </w:r>
      <w:r w:rsidR="00AC6ECE" w:rsidRPr="00A530FF">
        <w:rPr>
          <w:szCs w:val="22"/>
          <w:lang w:val="hu-HU"/>
        </w:rPr>
        <w:t>, a beteg</w:t>
      </w:r>
      <w:r w:rsidRPr="00A530FF">
        <w:rPr>
          <w:szCs w:val="22"/>
          <w:lang w:val="hu-HU"/>
        </w:rPr>
        <w:t>eknek tilos</w:t>
      </w:r>
      <w:r w:rsidR="00AC6ECE" w:rsidRPr="00A530FF">
        <w:rPr>
          <w:szCs w:val="22"/>
          <w:lang w:val="hu-HU"/>
        </w:rPr>
        <w:t xml:space="preserve"> olyan gyógyszereket</w:t>
      </w:r>
      <w:r w:rsidRPr="00A530FF">
        <w:rPr>
          <w:szCs w:val="22"/>
          <w:lang w:val="hu-HU"/>
        </w:rPr>
        <w:t xml:space="preserve"> szedniük</w:t>
      </w:r>
      <w:r w:rsidR="00AC6ECE" w:rsidRPr="00A530FF">
        <w:rPr>
          <w:szCs w:val="22"/>
          <w:lang w:val="hu-HU"/>
        </w:rPr>
        <w:t>, amelyekről ismert, hogy neutropeniát okoznak, vagy olyanokat, amelyek agranulocytosist idézhetnek elő (lásd 4.3 pont).</w:t>
      </w:r>
    </w:p>
    <w:p w:rsidR="00AC6ECE" w:rsidRPr="00A530FF" w:rsidRDefault="00AC6ECE" w:rsidP="00AC6ECE">
      <w:pPr>
        <w:pStyle w:val="BodyTextIndent"/>
        <w:ind w:left="0"/>
        <w:rPr>
          <w:szCs w:val="22"/>
          <w:lang w:val="hu-HU"/>
        </w:rPr>
      </w:pPr>
    </w:p>
    <w:p w:rsidR="00DA1F84" w:rsidRPr="00A530FF" w:rsidRDefault="00B86235">
      <w:pPr>
        <w:tabs>
          <w:tab w:val="left" w:pos="567"/>
        </w:tabs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</w:t>
      </w:r>
      <w:r w:rsidR="00DA1F84" w:rsidRPr="00A530FF">
        <w:rPr>
          <w:sz w:val="22"/>
          <w:szCs w:val="22"/>
          <w:lang w:val="hu-HU"/>
        </w:rPr>
        <w:t xml:space="preserve">ivel a deferipron fém-kationokhoz kötődik, fennáll a lehetősége a deferipron és a három vegyértékű kationt tartalmazó gyógyszerek, pl. alumíniumtartalmú antacidumok közötti kölcsönhatásnak. Ezért nem </w:t>
      </w:r>
      <w:r w:rsidR="009E71C9" w:rsidRPr="00A530FF">
        <w:rPr>
          <w:sz w:val="22"/>
          <w:szCs w:val="22"/>
          <w:lang w:val="hu-HU"/>
        </w:rPr>
        <w:t xml:space="preserve">javasolt </w:t>
      </w:r>
      <w:r w:rsidR="00DA1F84" w:rsidRPr="00A530FF">
        <w:rPr>
          <w:sz w:val="22"/>
          <w:szCs w:val="22"/>
          <w:lang w:val="hu-HU"/>
        </w:rPr>
        <w:t>alumíniumtartalmú antacidumok és deferipron egy</w:t>
      </w:r>
      <w:r w:rsidR="000A7900">
        <w:rPr>
          <w:sz w:val="22"/>
          <w:szCs w:val="22"/>
          <w:lang w:val="hu-HU"/>
        </w:rPr>
        <w:t xml:space="preserve"> </w:t>
      </w:r>
      <w:r w:rsidR="00DA1F84" w:rsidRPr="00A530FF">
        <w:rPr>
          <w:sz w:val="22"/>
          <w:szCs w:val="22"/>
          <w:lang w:val="hu-HU"/>
        </w:rPr>
        <w:t xml:space="preserve">időben történő </w:t>
      </w:r>
      <w:r w:rsidR="009E71C9" w:rsidRPr="00A530FF">
        <w:rPr>
          <w:sz w:val="22"/>
          <w:szCs w:val="22"/>
          <w:lang w:val="hu-HU"/>
        </w:rPr>
        <w:t>bevétele</w:t>
      </w:r>
      <w:r w:rsidR="00DA1F84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és a C-vitamin együttes alkalmazhatóságának biztonságát tudományosan nem vizsgálták. A deferipron és a C-vitamin között létrejövő ismert, nemkívánatos kölcsönhatások miatt a deferipron és a C-vitamin együttes alkalmazásánál körültekintően kell eljárni.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4.6</w:t>
      </w:r>
      <w:r w:rsidRPr="00A530FF">
        <w:rPr>
          <w:b/>
          <w:sz w:val="22"/>
          <w:szCs w:val="22"/>
          <w:lang w:val="hu-HU"/>
        </w:rPr>
        <w:tab/>
      </w:r>
      <w:r w:rsidR="00D97009" w:rsidRPr="00A530FF">
        <w:rPr>
          <w:b/>
          <w:sz w:val="22"/>
          <w:szCs w:val="22"/>
          <w:lang w:val="hu-HU"/>
        </w:rPr>
        <w:t>Termékenység, t</w:t>
      </w:r>
      <w:r w:rsidRPr="00A530FF">
        <w:rPr>
          <w:b/>
          <w:sz w:val="22"/>
          <w:szCs w:val="22"/>
          <w:lang w:val="hu-HU"/>
        </w:rPr>
        <w:t>erhesség és szoptatás</w:t>
      </w:r>
    </w:p>
    <w:p w:rsidR="00DA1F84" w:rsidRPr="00A530FF" w:rsidRDefault="00DA1F84" w:rsidP="00193A5D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iCs/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Terhesség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iCs/>
          <w:sz w:val="22"/>
          <w:szCs w:val="22"/>
          <w:lang w:val="hu-HU"/>
        </w:rPr>
        <w:t xml:space="preserve">Terhes nőkön történő alkalmazásra nincs megfelelő adat a deferipron tekintetében. </w:t>
      </w:r>
      <w:r w:rsidRPr="00A530FF">
        <w:rPr>
          <w:sz w:val="22"/>
          <w:szCs w:val="22"/>
          <w:lang w:val="hu-HU"/>
        </w:rPr>
        <w:t>Az állatokon végzett kísérletek reprodukciós toxicitást mutattak (lásd 5.3 pont). Ember</w:t>
      </w:r>
      <w:r w:rsidR="000A7900">
        <w:rPr>
          <w:sz w:val="22"/>
          <w:szCs w:val="22"/>
          <w:lang w:val="hu-HU"/>
        </w:rPr>
        <w:t>ekre vonatkozó</w:t>
      </w:r>
      <w:r w:rsidRPr="00A530FF">
        <w:rPr>
          <w:sz w:val="22"/>
          <w:szCs w:val="22"/>
          <w:lang w:val="hu-HU"/>
        </w:rPr>
        <w:t xml:space="preserve"> potenciális veszély nem ismert.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AC6ECE" w:rsidRPr="00A530FF" w:rsidRDefault="00713D70" w:rsidP="00865F53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f</w:t>
      </w:r>
      <w:r w:rsidR="00AC6ECE" w:rsidRPr="00A530FF">
        <w:rPr>
          <w:szCs w:val="22"/>
          <w:lang w:val="hu-HU"/>
        </w:rPr>
        <w:t>ogamzóképes nők</w:t>
      </w:r>
      <w:r w:rsidRPr="00A530FF">
        <w:rPr>
          <w:szCs w:val="22"/>
          <w:lang w:val="hu-HU"/>
        </w:rPr>
        <w:t>et tájékoztatni</w:t>
      </w:r>
      <w:r w:rsidR="00AC6ECE" w:rsidRPr="00A530FF">
        <w:rPr>
          <w:szCs w:val="22"/>
          <w:lang w:val="hu-HU"/>
        </w:rPr>
        <w:t xml:space="preserve"> kell</w:t>
      </w:r>
      <w:r w:rsidRPr="00A530FF">
        <w:rPr>
          <w:szCs w:val="22"/>
          <w:lang w:val="hu-HU"/>
        </w:rPr>
        <w:t xml:space="preserve">, hogy </w:t>
      </w:r>
      <w:r w:rsidR="00D91D4D" w:rsidRPr="00A530FF">
        <w:rPr>
          <w:szCs w:val="22"/>
          <w:lang w:val="hu-HU"/>
        </w:rPr>
        <w:t xml:space="preserve">a </w:t>
      </w:r>
      <w:r w:rsidRPr="00A530FF">
        <w:rPr>
          <w:szCs w:val="22"/>
          <w:lang w:val="hu-HU"/>
        </w:rPr>
        <w:t xml:space="preserve">gyógyszer klasztogén és teratogén tulajdonságai miatt </w:t>
      </w:r>
      <w:r w:rsidR="00D91D4D" w:rsidRPr="00A530FF">
        <w:rPr>
          <w:szCs w:val="22"/>
          <w:lang w:val="hu-HU"/>
        </w:rPr>
        <w:t>kerüljék el a terhességet</w:t>
      </w:r>
      <w:r w:rsidR="00AC6ECE" w:rsidRPr="00A530FF">
        <w:rPr>
          <w:szCs w:val="22"/>
          <w:lang w:val="hu-HU"/>
        </w:rPr>
        <w:t xml:space="preserve">. Az ilyen nőknek javasolni kell </w:t>
      </w:r>
      <w:r w:rsidR="000A7900">
        <w:rPr>
          <w:szCs w:val="22"/>
          <w:lang w:val="hu-HU"/>
        </w:rPr>
        <w:t xml:space="preserve">valamilyen </w:t>
      </w:r>
      <w:r w:rsidR="00AC6ECE" w:rsidRPr="00A530FF">
        <w:rPr>
          <w:szCs w:val="22"/>
          <w:lang w:val="hu-HU"/>
        </w:rPr>
        <w:t xml:space="preserve">fogamzásgátló módszer alkalmazását, valamint javasolni kell a deferipron szedésének azonnali abbahagyását, amennyiben terhesek lesznek vagy terhességet terveznek (lásd 4.3 </w:t>
      </w:r>
      <w:r w:rsidR="00A54385" w:rsidRPr="00A530FF">
        <w:rPr>
          <w:szCs w:val="22"/>
          <w:lang w:val="hu-HU"/>
        </w:rPr>
        <w:t>pont</w:t>
      </w:r>
      <w:r w:rsidR="00AC6ECE" w:rsidRPr="00A530FF">
        <w:rPr>
          <w:szCs w:val="22"/>
          <w:lang w:val="hu-HU"/>
        </w:rPr>
        <w:t>).</w:t>
      </w:r>
    </w:p>
    <w:p w:rsidR="00AC6ECE" w:rsidRPr="00A530FF" w:rsidRDefault="00AC6ECE" w:rsidP="00AC6ECE">
      <w:pPr>
        <w:pStyle w:val="BodyText"/>
        <w:rPr>
          <w:szCs w:val="22"/>
          <w:lang w:val="hu-HU"/>
        </w:rPr>
      </w:pPr>
    </w:p>
    <w:p w:rsidR="00AC6ECE" w:rsidRPr="00A530FF" w:rsidRDefault="00AC6ECE" w:rsidP="00193A5D">
      <w:pPr>
        <w:pStyle w:val="BodyText"/>
        <w:keepNext/>
        <w:rPr>
          <w:iCs/>
          <w:szCs w:val="22"/>
          <w:u w:val="single"/>
          <w:lang w:val="hu-HU"/>
        </w:rPr>
      </w:pPr>
      <w:r w:rsidRPr="00A530FF">
        <w:rPr>
          <w:iCs/>
          <w:szCs w:val="22"/>
          <w:u w:val="single"/>
          <w:lang w:val="hu-HU"/>
        </w:rPr>
        <w:t>Szoptatás</w:t>
      </w:r>
    </w:p>
    <w:p w:rsidR="00AC6ECE" w:rsidRPr="00A530FF" w:rsidRDefault="00AC6ECE" w:rsidP="006C031F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Nem ismert, hogy a deferipron kiválasztódik-e az emberi tejbe. Nem végeztek pr</w:t>
      </w:r>
      <w:r w:rsidR="000A7900">
        <w:rPr>
          <w:szCs w:val="22"/>
          <w:lang w:val="hu-HU"/>
        </w:rPr>
        <w:t>a</w:t>
      </w:r>
      <w:r w:rsidRPr="00A530FF">
        <w:rPr>
          <w:szCs w:val="22"/>
          <w:lang w:val="hu-HU"/>
        </w:rPr>
        <w:t>enat</w:t>
      </w:r>
      <w:r w:rsidR="000A7900">
        <w:rPr>
          <w:szCs w:val="22"/>
          <w:lang w:val="hu-HU"/>
        </w:rPr>
        <w:t>a</w:t>
      </w:r>
      <w:r w:rsidRPr="00A530FF">
        <w:rPr>
          <w:szCs w:val="22"/>
          <w:lang w:val="hu-HU"/>
        </w:rPr>
        <w:t>lis és postnat</w:t>
      </w:r>
      <w:r w:rsidR="000A7900">
        <w:rPr>
          <w:szCs w:val="22"/>
          <w:lang w:val="hu-HU"/>
        </w:rPr>
        <w:t>a</w:t>
      </w:r>
      <w:r w:rsidRPr="00A530FF">
        <w:rPr>
          <w:szCs w:val="22"/>
          <w:lang w:val="hu-HU"/>
        </w:rPr>
        <w:t>lis reprodukciós vizsgálatokat</w:t>
      </w:r>
      <w:r w:rsidR="00B20051" w:rsidRPr="00A530FF">
        <w:rPr>
          <w:szCs w:val="22"/>
          <w:lang w:val="hu-HU"/>
        </w:rPr>
        <w:t xml:space="preserve"> állatokon</w:t>
      </w:r>
      <w:r w:rsidRPr="00A530FF">
        <w:rPr>
          <w:szCs w:val="22"/>
          <w:lang w:val="hu-HU"/>
        </w:rPr>
        <w:t xml:space="preserve">. Tilos a deferipron alkalmazása szoptató anyáknál. Ha a kezelés elkerülhetetlen, a szoptatást abba kell hagyni (lásd 4.3 </w:t>
      </w:r>
      <w:r w:rsidR="00A54385" w:rsidRPr="00A530FF">
        <w:rPr>
          <w:szCs w:val="22"/>
          <w:lang w:val="hu-HU"/>
        </w:rPr>
        <w:t>pont</w:t>
      </w:r>
      <w:r w:rsidRPr="00A530FF">
        <w:rPr>
          <w:szCs w:val="22"/>
          <w:lang w:val="hu-HU"/>
        </w:rPr>
        <w:t>).</w:t>
      </w:r>
    </w:p>
    <w:p w:rsidR="00DA1F84" w:rsidRPr="00A530FF" w:rsidRDefault="00DA1F84">
      <w:pPr>
        <w:pStyle w:val="EndnoteText"/>
        <w:tabs>
          <w:tab w:val="left" w:pos="567"/>
        </w:tabs>
        <w:rPr>
          <w:szCs w:val="22"/>
          <w:lang w:val="hu-HU"/>
        </w:rPr>
      </w:pPr>
    </w:p>
    <w:p w:rsidR="00D97009" w:rsidRPr="00A530FF" w:rsidRDefault="00D97009" w:rsidP="00D97009">
      <w:pPr>
        <w:pStyle w:val="EndnoteText"/>
        <w:keepNext/>
        <w:tabs>
          <w:tab w:val="left" w:pos="567"/>
        </w:tabs>
        <w:rPr>
          <w:szCs w:val="22"/>
          <w:u w:val="single"/>
          <w:lang w:val="hu-HU"/>
        </w:rPr>
      </w:pPr>
      <w:r w:rsidRPr="00A530FF">
        <w:rPr>
          <w:szCs w:val="22"/>
          <w:u w:val="single"/>
          <w:lang w:val="hu-HU"/>
        </w:rPr>
        <w:t>Termékenység</w:t>
      </w:r>
    </w:p>
    <w:p w:rsidR="0028371D" w:rsidRPr="00A530FF" w:rsidRDefault="00670BDF">
      <w:pPr>
        <w:pStyle w:val="EndnoteText"/>
        <w:tabs>
          <w:tab w:val="left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t>Állatok</w:t>
      </w:r>
      <w:r w:rsidR="0028371D" w:rsidRPr="00A530FF">
        <w:rPr>
          <w:szCs w:val="22"/>
          <w:lang w:val="hu-HU"/>
        </w:rPr>
        <w:t>nál</w:t>
      </w:r>
      <w:r w:rsidRPr="00A530FF">
        <w:rPr>
          <w:szCs w:val="22"/>
          <w:lang w:val="hu-HU"/>
        </w:rPr>
        <w:t xml:space="preserve"> nem észleltek a termékenységre vagy a korai embrionális fejlődésre gyakorolt hatásokat (lásd 5.3 pont).</w:t>
      </w:r>
    </w:p>
    <w:p w:rsidR="00D97009" w:rsidRPr="00A530FF" w:rsidRDefault="00D97009">
      <w:pPr>
        <w:pStyle w:val="EndnoteText"/>
        <w:tabs>
          <w:tab w:val="left" w:pos="567"/>
        </w:tabs>
        <w:rPr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4.7</w:t>
      </w:r>
      <w:r w:rsidRPr="00A530FF">
        <w:rPr>
          <w:b/>
          <w:sz w:val="22"/>
          <w:szCs w:val="22"/>
          <w:lang w:val="hu-HU"/>
        </w:rPr>
        <w:tab/>
        <w:t xml:space="preserve">A készítmény hatásai a gépjárművezetéshez és </w:t>
      </w:r>
      <w:r w:rsidR="003707EE" w:rsidRPr="00A530FF">
        <w:rPr>
          <w:b/>
          <w:sz w:val="22"/>
          <w:szCs w:val="22"/>
          <w:lang w:val="hu-HU"/>
        </w:rPr>
        <w:t xml:space="preserve">a </w:t>
      </w:r>
      <w:r w:rsidRPr="00A530FF">
        <w:rPr>
          <w:b/>
          <w:sz w:val="22"/>
          <w:szCs w:val="22"/>
          <w:lang w:val="hu-HU"/>
        </w:rPr>
        <w:t xml:space="preserve">gépek </w:t>
      </w:r>
      <w:r w:rsidR="00FF08C9" w:rsidRPr="00A530FF">
        <w:rPr>
          <w:b/>
          <w:sz w:val="22"/>
          <w:szCs w:val="22"/>
          <w:lang w:val="hu-HU"/>
        </w:rPr>
        <w:t xml:space="preserve">kezeléséhez </w:t>
      </w:r>
      <w:r w:rsidRPr="00A530FF">
        <w:rPr>
          <w:b/>
          <w:sz w:val="22"/>
          <w:szCs w:val="22"/>
          <w:lang w:val="hu-HU"/>
        </w:rPr>
        <w:t>szükséges képességekre</w:t>
      </w:r>
    </w:p>
    <w:p w:rsidR="00DA1F84" w:rsidRPr="00A530FF" w:rsidRDefault="00DA1F84" w:rsidP="00193A5D">
      <w:pPr>
        <w:pStyle w:val="EndnoteText"/>
        <w:keepNext/>
        <w:tabs>
          <w:tab w:val="left" w:pos="567"/>
        </w:tabs>
        <w:rPr>
          <w:szCs w:val="22"/>
          <w:lang w:val="hu-HU"/>
        </w:rPr>
      </w:pPr>
    </w:p>
    <w:p w:rsidR="00DA1F84" w:rsidRPr="00A530FF" w:rsidRDefault="00D97009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530C5C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4.8</w:t>
      </w:r>
      <w:r w:rsidRPr="00A530FF">
        <w:rPr>
          <w:b/>
          <w:sz w:val="22"/>
          <w:szCs w:val="22"/>
          <w:lang w:val="hu-HU"/>
        </w:rPr>
        <w:tab/>
        <w:t>Nemkívánatos hatások, mellékhatások</w:t>
      </w:r>
    </w:p>
    <w:p w:rsidR="00DA1F84" w:rsidRPr="00A530FF" w:rsidRDefault="00DA1F84" w:rsidP="00530C5C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5B54B0" w:rsidRPr="00A530FF" w:rsidRDefault="005B54B0" w:rsidP="000A32DE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A biztonságossági profil összefoglalása</w:t>
      </w:r>
    </w:p>
    <w:p w:rsidR="005C41A6" w:rsidRDefault="009339C8" w:rsidP="00194619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Klinikai vizsgálatokban a </w:t>
      </w:r>
      <w:r w:rsidR="00BF3BB2" w:rsidRPr="00A530FF">
        <w:rPr>
          <w:szCs w:val="22"/>
          <w:lang w:val="hu-HU"/>
        </w:rPr>
        <w:t>deferipron</w:t>
      </w:r>
      <w:r w:rsidR="00600BEF" w:rsidRPr="00A530FF">
        <w:rPr>
          <w:szCs w:val="22"/>
          <w:lang w:val="hu-HU"/>
        </w:rPr>
        <w:noBreakHyphen/>
      </w:r>
      <w:r w:rsidRPr="00A530FF">
        <w:rPr>
          <w:szCs w:val="22"/>
          <w:lang w:val="hu-HU"/>
        </w:rPr>
        <w:t xml:space="preserve">terápia során jelentett leggyakoribb </w:t>
      </w:r>
      <w:r w:rsidR="00EF3BB9" w:rsidRPr="00A530FF">
        <w:rPr>
          <w:szCs w:val="22"/>
          <w:lang w:val="hu-HU"/>
        </w:rPr>
        <w:t>mellékhatások</w:t>
      </w:r>
      <w:r w:rsidRPr="00A530FF">
        <w:rPr>
          <w:szCs w:val="22"/>
          <w:lang w:val="hu-HU"/>
        </w:rPr>
        <w:t xml:space="preserve"> a betegek több mint 10%</w:t>
      </w:r>
      <w:r w:rsidR="00600BEF" w:rsidRPr="00A530FF">
        <w:rPr>
          <w:szCs w:val="22"/>
          <w:lang w:val="hu-HU"/>
        </w:rPr>
        <w:noBreakHyphen/>
      </w:r>
      <w:r w:rsidR="00A10D70">
        <w:rPr>
          <w:szCs w:val="22"/>
          <w:lang w:val="hu-HU"/>
        </w:rPr>
        <w:t>á</w:t>
      </w:r>
      <w:r w:rsidRPr="00A530FF">
        <w:rPr>
          <w:szCs w:val="22"/>
          <w:lang w:val="hu-HU"/>
        </w:rPr>
        <w:t xml:space="preserve">nál jelentett hányinger, hányás, hasi fájdalom és </w:t>
      </w:r>
      <w:r w:rsidR="005C3D6F" w:rsidRPr="00A530FF">
        <w:rPr>
          <w:szCs w:val="22"/>
          <w:lang w:val="hu-HU"/>
        </w:rPr>
        <w:t>chromaturia</w:t>
      </w:r>
      <w:r w:rsidRPr="00A530FF">
        <w:rPr>
          <w:szCs w:val="22"/>
          <w:lang w:val="hu-HU"/>
        </w:rPr>
        <w:t xml:space="preserve"> volt</w:t>
      </w:r>
      <w:r w:rsidR="00600BEF" w:rsidRPr="00A530FF">
        <w:rPr>
          <w:szCs w:val="22"/>
          <w:lang w:val="hu-HU"/>
        </w:rPr>
        <w:t>ak</w:t>
      </w:r>
      <w:r w:rsidRPr="00A530FF">
        <w:rPr>
          <w:szCs w:val="22"/>
          <w:lang w:val="hu-HU"/>
        </w:rPr>
        <w:t xml:space="preserve">. A </w:t>
      </w:r>
      <w:r w:rsidR="00BF3BB2" w:rsidRPr="00A530FF">
        <w:rPr>
          <w:szCs w:val="22"/>
          <w:lang w:val="hu-HU"/>
        </w:rPr>
        <w:t>deferipron</w:t>
      </w:r>
      <w:r w:rsidRPr="00A530FF">
        <w:rPr>
          <w:szCs w:val="22"/>
          <w:lang w:val="hu-HU"/>
        </w:rPr>
        <w:t>nal folytatott klinikai vizsgálatok</w:t>
      </w:r>
      <w:r w:rsidR="00A10D70">
        <w:rPr>
          <w:szCs w:val="22"/>
          <w:lang w:val="hu-HU"/>
        </w:rPr>
        <w:t xml:space="preserve"> során</w:t>
      </w:r>
      <w:r w:rsidRPr="00A530FF">
        <w:rPr>
          <w:szCs w:val="22"/>
          <w:lang w:val="hu-HU"/>
        </w:rPr>
        <w:t xml:space="preserve"> jelentett legsúlyosabb </w:t>
      </w:r>
      <w:r w:rsidR="00600BEF" w:rsidRPr="00A530FF">
        <w:rPr>
          <w:szCs w:val="22"/>
          <w:lang w:val="hu-HU"/>
        </w:rPr>
        <w:t>mellékhatás</w:t>
      </w:r>
      <w:r w:rsidRPr="00A530FF">
        <w:rPr>
          <w:szCs w:val="22"/>
          <w:lang w:val="hu-HU"/>
        </w:rPr>
        <w:t xml:space="preserve"> az agranulocytosis volt, a meghatározás szerint az abszolút neutrophilszám </w:t>
      </w:r>
      <w:r w:rsidR="005C3D6F" w:rsidRPr="00A530FF">
        <w:rPr>
          <w:szCs w:val="22"/>
          <w:lang w:val="hu-HU"/>
        </w:rPr>
        <w:t>kevesebb mint</w:t>
      </w:r>
      <w:r w:rsidRPr="00A530FF">
        <w:rPr>
          <w:szCs w:val="22"/>
          <w:lang w:val="hu-HU"/>
        </w:rPr>
        <w:t xml:space="preserve"> 0,5</w:t>
      </w:r>
      <w:r w:rsidR="005C3D6F" w:rsidRPr="00A530FF">
        <w:rPr>
          <w:szCs w:val="22"/>
          <w:lang w:val="hu-HU"/>
        </w:rPr>
        <w:t> × </w:t>
      </w:r>
      <w:r w:rsidRPr="00A530FF">
        <w:rPr>
          <w:szCs w:val="22"/>
          <w:lang w:val="hu-HU"/>
        </w:rPr>
        <w:t>10</w:t>
      </w:r>
      <w:r w:rsidRPr="00A530FF">
        <w:rPr>
          <w:szCs w:val="22"/>
          <w:vertAlign w:val="superscript"/>
          <w:lang w:val="hu-HU"/>
        </w:rPr>
        <w:t>9</w:t>
      </w:r>
      <w:r w:rsidRPr="00A530FF">
        <w:rPr>
          <w:szCs w:val="22"/>
          <w:lang w:val="hu-HU"/>
        </w:rPr>
        <w:t>/l, ez a betegek kb. 1%</w:t>
      </w:r>
      <w:r w:rsidR="00600BEF" w:rsidRPr="00A530FF">
        <w:rPr>
          <w:szCs w:val="22"/>
          <w:lang w:val="hu-HU"/>
        </w:rPr>
        <w:noBreakHyphen/>
      </w:r>
      <w:r w:rsidR="009D4B5F" w:rsidRPr="00A530FF">
        <w:rPr>
          <w:szCs w:val="22"/>
          <w:lang w:val="hu-HU"/>
        </w:rPr>
        <w:t>á</w:t>
      </w:r>
      <w:r w:rsidRPr="00A530FF">
        <w:rPr>
          <w:szCs w:val="22"/>
          <w:lang w:val="hu-HU"/>
        </w:rPr>
        <w:t xml:space="preserve">nál fordult elő. </w:t>
      </w:r>
      <w:r w:rsidR="00AA30DC" w:rsidRPr="00A530FF">
        <w:rPr>
          <w:szCs w:val="22"/>
          <w:lang w:val="hu-HU"/>
        </w:rPr>
        <w:t>K</w:t>
      </w:r>
      <w:r w:rsidRPr="00A530FF">
        <w:rPr>
          <w:szCs w:val="22"/>
          <w:lang w:val="hu-HU"/>
        </w:rPr>
        <w:t xml:space="preserve">evésbé súlyos </w:t>
      </w:r>
      <w:r w:rsidR="00AA30DC" w:rsidRPr="00A530FF">
        <w:rPr>
          <w:szCs w:val="22"/>
          <w:lang w:val="hu-HU"/>
        </w:rPr>
        <w:t xml:space="preserve">neutropeniát </w:t>
      </w:r>
      <w:r w:rsidRPr="00A530FF">
        <w:rPr>
          <w:szCs w:val="22"/>
          <w:lang w:val="hu-HU"/>
        </w:rPr>
        <w:t>a betegek kb. 5%</w:t>
      </w:r>
      <w:r w:rsidR="00600BEF" w:rsidRPr="00A530FF">
        <w:rPr>
          <w:szCs w:val="22"/>
          <w:lang w:val="hu-HU"/>
        </w:rPr>
        <w:noBreakHyphen/>
      </w:r>
      <w:r w:rsidR="009D4B5F" w:rsidRPr="00A530FF">
        <w:rPr>
          <w:szCs w:val="22"/>
          <w:lang w:val="hu-HU"/>
        </w:rPr>
        <w:t>á</w:t>
      </w:r>
      <w:r w:rsidRPr="00A530FF">
        <w:rPr>
          <w:szCs w:val="22"/>
          <w:lang w:val="hu-HU"/>
        </w:rPr>
        <w:t>nál jelentett</w:t>
      </w:r>
      <w:r w:rsidR="00AA30DC" w:rsidRPr="00A530FF">
        <w:rPr>
          <w:szCs w:val="22"/>
          <w:lang w:val="hu-HU"/>
        </w:rPr>
        <w:t>e</w:t>
      </w:r>
      <w:r w:rsidRPr="00A530FF">
        <w:rPr>
          <w:szCs w:val="22"/>
          <w:lang w:val="hu-HU"/>
        </w:rPr>
        <w:t>k.</w:t>
      </w:r>
    </w:p>
    <w:p w:rsidR="00186D01" w:rsidRPr="00A530FF" w:rsidRDefault="00186D01" w:rsidP="00194619">
      <w:pPr>
        <w:pStyle w:val="BodyText"/>
        <w:jc w:val="left"/>
        <w:rPr>
          <w:szCs w:val="22"/>
          <w:lang w:val="hu-HU"/>
        </w:rPr>
      </w:pPr>
    </w:p>
    <w:p w:rsidR="005B54B0" w:rsidRPr="00A530FF" w:rsidRDefault="005B54B0" w:rsidP="000A32DE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u w:val="single"/>
          <w:lang w:val="hu-HU"/>
        </w:rPr>
        <w:t>A mellékhatások táblázatos felsorolása</w:t>
      </w:r>
    </w:p>
    <w:p w:rsidR="00D97009" w:rsidRPr="00A530FF" w:rsidRDefault="00D97009" w:rsidP="000A32DE">
      <w:pPr>
        <w:pStyle w:val="BodyText"/>
        <w:keepNext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Mellékhatások gyakorisága: </w:t>
      </w:r>
      <w:r w:rsidRPr="00A530FF">
        <w:rPr>
          <w:noProof/>
          <w:szCs w:val="22"/>
          <w:lang w:val="hu-HU"/>
        </w:rPr>
        <w:t>nagyon gyakori (≥1/10)</w:t>
      </w:r>
      <w:r w:rsidRPr="00A530FF">
        <w:rPr>
          <w:szCs w:val="22"/>
          <w:lang w:val="hu-HU"/>
        </w:rPr>
        <w:t xml:space="preserve">, </w:t>
      </w:r>
      <w:r w:rsidRPr="00A530FF">
        <w:rPr>
          <w:noProof/>
          <w:szCs w:val="22"/>
          <w:lang w:val="hu-HU"/>
        </w:rPr>
        <w:t>gyakori (≥1/100 – &lt;1/10)</w:t>
      </w:r>
      <w:r w:rsidR="00150A9F" w:rsidRPr="00A530FF">
        <w:rPr>
          <w:noProof/>
          <w:szCs w:val="22"/>
          <w:lang w:val="hu-HU"/>
        </w:rPr>
        <w:t xml:space="preserve">, </w:t>
      </w:r>
      <w:r w:rsidR="00150A9F" w:rsidRPr="00A530FF">
        <w:rPr>
          <w:szCs w:val="22"/>
          <w:lang w:val="hu-HU"/>
        </w:rPr>
        <w:t>nem ismert (</w:t>
      </w:r>
      <w:r w:rsidR="00150A9F" w:rsidRPr="00A530FF">
        <w:rPr>
          <w:noProof/>
          <w:szCs w:val="22"/>
          <w:lang w:val="hu-HU"/>
        </w:rPr>
        <w:t xml:space="preserve">a </w:t>
      </w:r>
      <w:r w:rsidR="00A10D70">
        <w:rPr>
          <w:noProof/>
          <w:szCs w:val="22"/>
          <w:lang w:val="hu-HU"/>
        </w:rPr>
        <w:t xml:space="preserve">gyakoriság a </w:t>
      </w:r>
      <w:r w:rsidR="00150A9F" w:rsidRPr="00A530FF">
        <w:rPr>
          <w:noProof/>
          <w:szCs w:val="22"/>
          <w:lang w:val="hu-HU"/>
        </w:rPr>
        <w:t>rendelkezésre álló adatokból nem állapítható meg</w:t>
      </w:r>
      <w:r w:rsidR="00150A9F" w:rsidRPr="00A530FF">
        <w:rPr>
          <w:szCs w:val="22"/>
          <w:lang w:val="hu-HU"/>
        </w:rPr>
        <w:t>)</w:t>
      </w:r>
      <w:r w:rsidRPr="00A530FF">
        <w:rPr>
          <w:szCs w:val="22"/>
          <w:lang w:val="hu-HU"/>
        </w:rPr>
        <w:t>.</w:t>
      </w:r>
    </w:p>
    <w:p w:rsidR="00D97009" w:rsidRPr="00A530FF" w:rsidRDefault="00D97009" w:rsidP="00D97009">
      <w:pPr>
        <w:keepNext/>
        <w:rPr>
          <w:b/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0"/>
        <w:gridCol w:w="1893"/>
        <w:gridCol w:w="2113"/>
        <w:gridCol w:w="1903"/>
      </w:tblGrid>
      <w:tr w:rsidR="00930597" w:rsidTr="00C429EA">
        <w:tc>
          <w:tcPr>
            <w:tcW w:w="3447" w:type="dxa"/>
            <w:shd w:val="clear" w:color="auto" w:fill="auto"/>
          </w:tcPr>
          <w:p w:rsidR="00C429EA" w:rsidRPr="00A530FF" w:rsidRDefault="00C429EA" w:rsidP="00530C5C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SZERVRENDSZERENKÉNTI CSOPORTOSÍTÁS</w:t>
            </w:r>
          </w:p>
        </w:tc>
        <w:tc>
          <w:tcPr>
            <w:tcW w:w="2069" w:type="dxa"/>
            <w:shd w:val="clear" w:color="auto" w:fill="auto"/>
          </w:tcPr>
          <w:p w:rsidR="00C429EA" w:rsidRPr="00A530FF" w:rsidRDefault="00C429EA" w:rsidP="00530C5C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NAGYON GYAKORI (</w:t>
            </w:r>
            <w:r w:rsidRPr="00A530FF">
              <w:rPr>
                <w:noProof/>
                <w:sz w:val="22"/>
                <w:szCs w:val="22"/>
                <w:lang w:val="hu-HU"/>
              </w:rPr>
              <w:t>≥</w:t>
            </w:r>
            <w:r w:rsidRPr="00A530FF">
              <w:rPr>
                <w:b/>
                <w:sz w:val="22"/>
                <w:szCs w:val="22"/>
                <w:lang w:val="hu-HU"/>
              </w:rPr>
              <w:t>1/10)</w:t>
            </w:r>
          </w:p>
        </w:tc>
        <w:tc>
          <w:tcPr>
            <w:tcW w:w="2232" w:type="dxa"/>
            <w:shd w:val="clear" w:color="auto" w:fill="auto"/>
          </w:tcPr>
          <w:p w:rsidR="00C429EA" w:rsidRPr="00A530FF" w:rsidRDefault="00C429EA" w:rsidP="00530C5C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GYAKORI (</w:t>
            </w:r>
            <w:r w:rsidRPr="00A530FF">
              <w:rPr>
                <w:noProof/>
                <w:sz w:val="22"/>
                <w:szCs w:val="22"/>
                <w:lang w:val="hu-HU"/>
              </w:rPr>
              <w:t>≥</w:t>
            </w:r>
            <w:r w:rsidRPr="00A530FF">
              <w:rPr>
                <w:b/>
                <w:sz w:val="22"/>
                <w:szCs w:val="22"/>
                <w:lang w:val="hu-HU"/>
              </w:rPr>
              <w:t>1/100 – &lt;1/10)</w:t>
            </w:r>
          </w:p>
        </w:tc>
        <w:tc>
          <w:tcPr>
            <w:tcW w:w="1541" w:type="dxa"/>
            <w:shd w:val="clear" w:color="auto" w:fill="auto"/>
          </w:tcPr>
          <w:p w:rsidR="00C429EA" w:rsidRPr="00A530FF" w:rsidRDefault="00C429EA" w:rsidP="00530C5C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GYAKORISÁGA NEM ISMERT</w:t>
            </w: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Vérképzőszervi és nyirokrendszeri betegségek és tünetek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Neutropenia</w:t>
            </w:r>
          </w:p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Agranulocytosis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Immunrendszeri betegségek és tünetek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D07F9A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 xml:space="preserve">Túlérzékenységi </w:t>
            </w:r>
            <w:r w:rsidR="00D07F9A" w:rsidRPr="00A530FF">
              <w:rPr>
                <w:bCs/>
                <w:sz w:val="22"/>
                <w:szCs w:val="22"/>
                <w:lang w:val="hu-HU"/>
              </w:rPr>
              <w:t>reakciók</w:t>
            </w: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Anyagcsere- és táplálkozási betegségek és tünetek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Fokozott étvágy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Idegrendszeri betegségek és tünetek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Fejfájás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Emésztőrendszeri betegségek és tünetek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Émelygés</w:t>
            </w:r>
          </w:p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Hasi fájdalom</w:t>
            </w:r>
          </w:p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Hányás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Hasmenés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 bőr és a bőr alatti szövet betegségei és tünetei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C429EA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Kiütés</w:t>
            </w:r>
          </w:p>
          <w:p w:rsidR="00C429EA" w:rsidRPr="00A530FF" w:rsidRDefault="00C429EA" w:rsidP="00C429EA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Csalánkiütés</w:t>
            </w: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 csont- és izomrendszer, valamint a kötőszövet betegségei és tünetei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Ízületi fájdalom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Vese- és húgyúti betegségek és tünetek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Chromaturia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Általános tünetek, az alkalmazás helyén fellépő reakciók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Fáradékonyság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530C5C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C429EA"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4773A1">
            <w:pPr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 xml:space="preserve">Laboratóriumi </w:t>
            </w:r>
            <w:r w:rsidRPr="00A530FF">
              <w:rPr>
                <w:sz w:val="22"/>
                <w:szCs w:val="22"/>
                <w:lang w:val="hu-HU"/>
              </w:rPr>
              <w:t xml:space="preserve">és egyéb </w:t>
            </w:r>
            <w:r w:rsidRPr="00A530FF">
              <w:rPr>
                <w:bCs/>
                <w:sz w:val="22"/>
                <w:szCs w:val="22"/>
                <w:lang w:val="hu-HU"/>
              </w:rPr>
              <w:t>vizsgálatok eredményei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4773A1">
            <w:pPr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A10D70">
            <w:pPr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Emelkedett májenzimértékek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4773A1">
            <w:pPr>
              <w:rPr>
                <w:bCs/>
                <w:sz w:val="22"/>
                <w:szCs w:val="22"/>
                <w:lang w:val="hu-HU"/>
              </w:rPr>
            </w:pPr>
          </w:p>
        </w:tc>
      </w:tr>
    </w:tbl>
    <w:p w:rsidR="00D97009" w:rsidRPr="00A530FF" w:rsidRDefault="00D97009" w:rsidP="00D97009">
      <w:pPr>
        <w:rPr>
          <w:b/>
          <w:sz w:val="22"/>
          <w:szCs w:val="22"/>
          <w:lang w:val="hu-HU"/>
        </w:rPr>
      </w:pPr>
    </w:p>
    <w:p w:rsidR="00070024" w:rsidRPr="00A530FF" w:rsidRDefault="00093CC0" w:rsidP="0055462C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Egyes k</w:t>
      </w:r>
      <w:r w:rsidR="00070024" w:rsidRPr="00A530FF">
        <w:rPr>
          <w:sz w:val="22"/>
          <w:szCs w:val="22"/>
          <w:u w:val="single"/>
          <w:lang w:val="hu-HU"/>
        </w:rPr>
        <w:t>i</w:t>
      </w:r>
      <w:r w:rsidRPr="00A530FF">
        <w:rPr>
          <w:sz w:val="22"/>
          <w:szCs w:val="22"/>
          <w:u w:val="single"/>
          <w:lang w:val="hu-HU"/>
        </w:rPr>
        <w:t>választott</w:t>
      </w:r>
      <w:r w:rsidR="00070024" w:rsidRPr="00A530FF">
        <w:rPr>
          <w:sz w:val="22"/>
          <w:szCs w:val="22"/>
          <w:u w:val="single"/>
          <w:lang w:val="hu-HU"/>
        </w:rPr>
        <w:t xml:space="preserve"> mellékhatások leírása</w:t>
      </w:r>
    </w:p>
    <w:p w:rsidR="00DA1F84" w:rsidRPr="00A530FF" w:rsidRDefault="00DA1F84" w:rsidP="00626DC2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deferipron klinikai vizsgálatai során feljegyzett legsúlyosabb mellékhatás </w:t>
      </w:r>
      <w:r w:rsidR="00626DC2" w:rsidRPr="00A530FF">
        <w:rPr>
          <w:sz w:val="22"/>
          <w:szCs w:val="22"/>
          <w:lang w:val="hu-HU"/>
        </w:rPr>
        <w:t>1,1</w:t>
      </w:r>
      <w:r w:rsidRPr="00A530FF">
        <w:rPr>
          <w:sz w:val="22"/>
          <w:szCs w:val="22"/>
          <w:lang w:val="hu-HU"/>
        </w:rPr>
        <w:t>%-os (0,</w:t>
      </w:r>
      <w:r w:rsidR="00626DC2" w:rsidRPr="00A530FF">
        <w:rPr>
          <w:sz w:val="22"/>
          <w:szCs w:val="22"/>
          <w:lang w:val="hu-HU"/>
        </w:rPr>
        <w:t>6</w:t>
      </w:r>
      <w:r w:rsidR="00A10D70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eset/100</w:t>
      </w:r>
      <w:r w:rsidR="00114522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kezelési betegév) előfordulási gyakorisággal az agranulocytosis (neutrofilszám &lt;0,5</w:t>
      </w:r>
      <w:r w:rsidR="00A10D70">
        <w:rPr>
          <w:sz w:val="22"/>
          <w:szCs w:val="22"/>
          <w:lang w:val="hu-HU"/>
        </w:rPr>
        <w:t>×</w:t>
      </w:r>
      <w:r w:rsidRPr="00A530FF">
        <w:rPr>
          <w:sz w:val="22"/>
          <w:szCs w:val="22"/>
          <w:lang w:val="hu-HU"/>
        </w:rPr>
        <w:t>10</w:t>
      </w:r>
      <w:r w:rsidRPr="00A530FF">
        <w:rPr>
          <w:sz w:val="22"/>
          <w:szCs w:val="22"/>
          <w:vertAlign w:val="superscript"/>
          <w:lang w:val="hu-HU"/>
        </w:rPr>
        <w:t>9</w:t>
      </w:r>
      <w:r w:rsidRPr="00A530FF">
        <w:rPr>
          <w:sz w:val="22"/>
          <w:szCs w:val="22"/>
          <w:lang w:val="hu-HU"/>
        </w:rPr>
        <w:t>/l) volt (lásd 4.4</w:t>
      </w:r>
      <w:r w:rsidR="00A10D70">
        <w:rPr>
          <w:sz w:val="22"/>
          <w:szCs w:val="22"/>
          <w:lang w:val="hu-HU"/>
        </w:rPr>
        <w:t xml:space="preserve"> pont</w:t>
      </w:r>
      <w:r w:rsidRPr="00A530FF">
        <w:rPr>
          <w:sz w:val="22"/>
          <w:szCs w:val="22"/>
          <w:lang w:val="hu-HU"/>
        </w:rPr>
        <w:t xml:space="preserve">). </w:t>
      </w:r>
      <w:r w:rsidR="0035726F" w:rsidRPr="00A076D1">
        <w:rPr>
          <w:sz w:val="22"/>
          <w:szCs w:val="22"/>
          <w:lang w:val="hu"/>
        </w:rPr>
        <w:t>A szisztémás vastúlterhelésben szenvedő betegekkel végzett klinikai vizsgálatok összesített adatai szerint az agranulocytosisos esetek 63%-a a kezelés első hat hónapjában, 74%</w:t>
      </w:r>
      <w:r w:rsidR="00A10D70">
        <w:rPr>
          <w:sz w:val="22"/>
          <w:szCs w:val="22"/>
          <w:lang w:val="hu"/>
        </w:rPr>
        <w:t>-a</w:t>
      </w:r>
      <w:r w:rsidR="0035726F" w:rsidRPr="00A076D1">
        <w:rPr>
          <w:sz w:val="22"/>
          <w:szCs w:val="22"/>
          <w:lang w:val="hu"/>
        </w:rPr>
        <w:t xml:space="preserve"> az első évében és 26%-a az első év után jelentkezett. Az első agranulocytosisos epizód jelentkezésének mediánja 190 nap volt (tartomány</w:t>
      </w:r>
      <w:r w:rsidR="00A10D70">
        <w:rPr>
          <w:sz w:val="22"/>
          <w:szCs w:val="22"/>
          <w:lang w:val="hu"/>
        </w:rPr>
        <w:t>:</w:t>
      </w:r>
      <w:r w:rsidR="0035726F" w:rsidRPr="00A076D1">
        <w:rPr>
          <w:sz w:val="22"/>
          <w:szCs w:val="22"/>
          <w:lang w:val="hu"/>
        </w:rPr>
        <w:t xml:space="preserve"> 22 nap – 17,6 év), az időtartam mediánja pedig 10</w:t>
      </w:r>
      <w:r w:rsidR="00A10D70">
        <w:rPr>
          <w:sz w:val="22"/>
          <w:szCs w:val="22"/>
          <w:lang w:val="hu"/>
        </w:rPr>
        <w:t> </w:t>
      </w:r>
      <w:r w:rsidR="0035726F" w:rsidRPr="00A076D1">
        <w:rPr>
          <w:sz w:val="22"/>
          <w:szCs w:val="22"/>
          <w:lang w:val="hu"/>
        </w:rPr>
        <w:t>nap volt a klinikai vizsgálatok</w:t>
      </w:r>
      <w:r w:rsidR="00A10D70">
        <w:rPr>
          <w:sz w:val="22"/>
          <w:szCs w:val="22"/>
          <w:lang w:val="hu"/>
        </w:rPr>
        <w:t xml:space="preserve"> során</w:t>
      </w:r>
      <w:r w:rsidR="0035726F" w:rsidRPr="00A076D1">
        <w:rPr>
          <w:sz w:val="22"/>
          <w:szCs w:val="22"/>
          <w:lang w:val="hu"/>
        </w:rPr>
        <w:t>. A klinikai vizsgálatok és a forgalomba hozatalt követő visszajelzések tapasztalatai alapján az agranulocytosis bejelentett epizódjainak</w:t>
      </w:r>
      <w:r w:rsidR="0035726F">
        <w:rPr>
          <w:sz w:val="22"/>
          <w:szCs w:val="22"/>
          <w:lang w:val="hu"/>
        </w:rPr>
        <w:t xml:space="preserve"> 8,3%-a halálos kimenetelű volt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6C2342">
        <w:rPr>
          <w:sz w:val="22"/>
          <w:szCs w:val="22"/>
          <w:lang w:val="hu-HU"/>
        </w:rPr>
        <w:t>Deferipronnal</w:t>
      </w:r>
      <w:r w:rsidRPr="00A530FF">
        <w:rPr>
          <w:sz w:val="22"/>
          <w:szCs w:val="22"/>
          <w:lang w:val="hu-HU"/>
        </w:rPr>
        <w:t xml:space="preserve"> kezelt betegeknél feljegyeztek hasmenéses időszakokat, amelyek nagyobbrészt enyhék és átmeneti jellegűek voltak. Az emésztőszervrendszerre gyakorolt hatások gyakrabban jelentkeznek a terápia kezdetén és a legtöbb betegnél a terápia folytatása mellett is néhány hét alatt megszűnnek. Egyes betegeknél hatásos lehet a deferipron dózisának csökkentése, majd a korábbi adagra való visszaállítása. Ízületi fájdalmakat szintén feljegyeztek a deferipronnal kezelt betegeknél. Ezek az események az egy vagy több ízületre kiterjedő, enyhe fájdalomtól a bevérzéssel és komoly mozgáskorlátozással járó súlyos arthritisig terjedtek. Az enyhe arthropatiák általában átmeneti jellegűek.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A2696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májenzimek emelkedett </w:t>
      </w:r>
      <w:r w:rsidR="00AC4F3B" w:rsidRPr="00A530FF">
        <w:rPr>
          <w:sz w:val="22"/>
          <w:szCs w:val="22"/>
          <w:lang w:val="hu-HU"/>
        </w:rPr>
        <w:t>s</w:t>
      </w:r>
      <w:r w:rsidR="00C026CF" w:rsidRPr="00A530FF">
        <w:rPr>
          <w:sz w:val="22"/>
          <w:szCs w:val="22"/>
          <w:lang w:val="hu-HU"/>
        </w:rPr>
        <w:t>zé</w:t>
      </w:r>
      <w:r w:rsidR="00AC4F3B" w:rsidRPr="00A530FF">
        <w:rPr>
          <w:sz w:val="22"/>
          <w:szCs w:val="22"/>
          <w:lang w:val="hu-HU"/>
        </w:rPr>
        <w:t>rum</w:t>
      </w:r>
      <w:r w:rsidRPr="00A530FF">
        <w:rPr>
          <w:sz w:val="22"/>
          <w:szCs w:val="22"/>
          <w:lang w:val="hu-HU"/>
        </w:rPr>
        <w:t xml:space="preserve">szintjeit jelentették </w:t>
      </w:r>
      <w:r w:rsidR="00AC4F3B" w:rsidRPr="00A530FF">
        <w:rPr>
          <w:sz w:val="22"/>
          <w:szCs w:val="22"/>
          <w:lang w:val="hu-HU"/>
        </w:rPr>
        <w:t xml:space="preserve">néhány, </w:t>
      </w:r>
      <w:r w:rsidR="00BF3BB2" w:rsidRPr="00A530FF">
        <w:rPr>
          <w:sz w:val="22"/>
          <w:szCs w:val="22"/>
          <w:lang w:val="hu-HU"/>
        </w:rPr>
        <w:t>deferipron</w:t>
      </w:r>
      <w:r w:rsidR="00AC4F3B" w:rsidRPr="00A530FF">
        <w:rPr>
          <w:sz w:val="22"/>
          <w:szCs w:val="22"/>
          <w:lang w:val="hu-HU"/>
        </w:rPr>
        <w:t>t</w:t>
      </w:r>
      <w:r w:rsidRPr="00A530FF">
        <w:rPr>
          <w:sz w:val="22"/>
          <w:szCs w:val="22"/>
          <w:lang w:val="hu-HU"/>
        </w:rPr>
        <w:t xml:space="preserve"> </w:t>
      </w:r>
      <w:r w:rsidR="00AC4F3B" w:rsidRPr="00A530FF">
        <w:rPr>
          <w:sz w:val="22"/>
          <w:szCs w:val="22"/>
          <w:lang w:val="hu-HU"/>
        </w:rPr>
        <w:t>szedő</w:t>
      </w:r>
      <w:r w:rsidRPr="00A530FF">
        <w:rPr>
          <w:sz w:val="22"/>
          <w:szCs w:val="22"/>
          <w:lang w:val="hu-HU"/>
        </w:rPr>
        <w:t xml:space="preserve"> beteg esetén. </w:t>
      </w:r>
      <w:r w:rsidR="00DA1F84" w:rsidRPr="00A530FF">
        <w:rPr>
          <w:sz w:val="22"/>
          <w:szCs w:val="22"/>
          <w:lang w:val="hu-HU"/>
        </w:rPr>
        <w:t>A legtöbb beteg esetében az emelkedés aszimptomatikus és átmeneti jellegű volt, és az érték visszaállt az alapszintre a deferipron adagolásának megszüntetése vagy az adag csökkentése nélkül. (lásd 4.4 pont).</w:t>
      </w:r>
    </w:p>
    <w:p w:rsidR="00DA1F84" w:rsidRPr="00A530FF" w:rsidRDefault="00DA1F84">
      <w:pPr>
        <w:tabs>
          <w:tab w:val="left" w:pos="0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Néhány betegnél a fibrosis előrehaladása jelentkezett vastúlterheléssel vagy hepatitis C-vel összefüggésben.</w:t>
      </w:r>
    </w:p>
    <w:p w:rsidR="00DA1F84" w:rsidRPr="00A530FF" w:rsidRDefault="00DA1F84">
      <w:pPr>
        <w:tabs>
          <w:tab w:val="left" w:pos="567"/>
        </w:tabs>
        <w:ind w:left="562" w:hanging="562"/>
        <w:rPr>
          <w:sz w:val="22"/>
          <w:szCs w:val="22"/>
          <w:lang w:val="hu-HU"/>
        </w:rPr>
      </w:pPr>
    </w:p>
    <w:p w:rsidR="00DA1F84" w:rsidRPr="00A530FF" w:rsidRDefault="00DA1F84">
      <w:pPr>
        <w:pStyle w:val="InsideAddress"/>
        <w:keepLines w:val="0"/>
        <w:tabs>
          <w:tab w:val="left" w:pos="567"/>
        </w:tabs>
        <w:rPr>
          <w:rFonts w:ascii="Times New Roman" w:hAnsi="Times New Roman"/>
          <w:szCs w:val="22"/>
          <w:lang w:val="hu-HU"/>
        </w:rPr>
      </w:pPr>
      <w:r w:rsidRPr="00A530FF">
        <w:rPr>
          <w:rFonts w:ascii="Times New Roman" w:hAnsi="Times New Roman"/>
          <w:szCs w:val="22"/>
          <w:lang w:val="hu-HU"/>
        </w:rPr>
        <w:t>A betegek egy kis hányadánál a plazma alacsony cinktartalma összefüggésbe hozható a deferipronnal. Orális cinkpótló alkalmazásával a szint normalizálódott.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Neurológiai rendellenességeket (például kisagyi tüneteket, diplopiát, lateralis nystagmust, psychomotoros meglassulást, kézmozgásokat és axiális hypotoniát) figyeltek meg olyan gyermekeknél, akiknek több éven át szándékosan a javasolt maximális 100 mg/testtömegkilogramm/nap dózis két és félszeresét meghaladó dózisokat írtak fel. </w:t>
      </w:r>
      <w:r w:rsidR="00316F9F" w:rsidRPr="00316F9F">
        <w:rPr>
          <w:sz w:val="22"/>
          <w:szCs w:val="22"/>
          <w:lang w:val="hu-HU"/>
        </w:rPr>
        <w:t xml:space="preserve">A forgalomba hozatalt követően hypotonia, instabilitás, járásképtelenség és a végtag mozgásképtelenségével járó hypertonia epizódjait észlelték olyan gyermekeknél, akiket standard dózisú deferipronnal kezeltek. </w:t>
      </w:r>
      <w:r w:rsidRPr="00A530FF">
        <w:rPr>
          <w:sz w:val="22"/>
          <w:szCs w:val="22"/>
          <w:lang w:val="hu-HU"/>
        </w:rPr>
        <w:t>A neurológiai rendellenességek a deferipron szedésének megszakítását követően progresszív</w:t>
      </w:r>
      <w:r w:rsidR="006C2342">
        <w:rPr>
          <w:sz w:val="22"/>
          <w:szCs w:val="22"/>
          <w:lang w:val="hu-HU"/>
        </w:rPr>
        <w:t xml:space="preserve"> módon</w:t>
      </w:r>
      <w:r w:rsidRPr="00A530FF">
        <w:rPr>
          <w:sz w:val="22"/>
          <w:szCs w:val="22"/>
          <w:lang w:val="hu-HU"/>
        </w:rPr>
        <w:t xml:space="preserve"> visszafejlődtek (lásd 4.4 és 4.9 pont).</w:t>
      </w:r>
    </w:p>
    <w:p w:rsidR="00B86235" w:rsidRDefault="00B86235">
      <w:pPr>
        <w:rPr>
          <w:sz w:val="22"/>
          <w:szCs w:val="22"/>
          <w:lang w:val="hu-HU"/>
        </w:rPr>
      </w:pPr>
    </w:p>
    <w:p w:rsidR="0031302E" w:rsidRPr="0031302E" w:rsidRDefault="0031302E" w:rsidP="0031302E">
      <w:pPr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>A kombinált terápia (deferipron és deferoxamin) biztonság</w:t>
      </w:r>
      <w:r w:rsidR="00E946C7">
        <w:rPr>
          <w:sz w:val="22"/>
          <w:szCs w:val="22"/>
          <w:lang w:val="hu-HU"/>
        </w:rPr>
        <w:t>osság</w:t>
      </w:r>
      <w:r w:rsidRPr="0031302E">
        <w:rPr>
          <w:sz w:val="22"/>
          <w:szCs w:val="22"/>
          <w:lang w:val="hu-HU"/>
        </w:rPr>
        <w:t>i profilja, amelyet klinikai vizsgálatokból, a forgalomba hozatal utáni tapasztalatokból, illetve a publikált szakirodalomból lehet megismerni, összhangban volt a monoterápiára jellemző biztonság</w:t>
      </w:r>
      <w:r w:rsidR="00AF579D">
        <w:rPr>
          <w:sz w:val="22"/>
          <w:szCs w:val="22"/>
          <w:lang w:val="hu-HU"/>
        </w:rPr>
        <w:t>osság</w:t>
      </w:r>
      <w:r w:rsidRPr="0031302E">
        <w:rPr>
          <w:sz w:val="22"/>
          <w:szCs w:val="22"/>
          <w:lang w:val="hu-HU"/>
        </w:rPr>
        <w:t>i profillal.</w:t>
      </w:r>
    </w:p>
    <w:p w:rsidR="0031302E" w:rsidRPr="0031302E" w:rsidRDefault="0031302E" w:rsidP="0031302E">
      <w:pPr>
        <w:rPr>
          <w:sz w:val="22"/>
          <w:szCs w:val="22"/>
          <w:lang w:val="hu-HU"/>
        </w:rPr>
      </w:pPr>
    </w:p>
    <w:p w:rsidR="0031302E" w:rsidRPr="0031302E" w:rsidRDefault="0031302E" w:rsidP="008652E8">
      <w:pPr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>A klinikai vizsgálatok összegyűjtött biztonság</w:t>
      </w:r>
      <w:r w:rsidR="00AF579D">
        <w:rPr>
          <w:sz w:val="22"/>
          <w:szCs w:val="22"/>
          <w:lang w:val="hu-HU"/>
        </w:rPr>
        <w:t>osság</w:t>
      </w:r>
      <w:r w:rsidRPr="0031302E">
        <w:rPr>
          <w:sz w:val="22"/>
          <w:szCs w:val="22"/>
          <w:lang w:val="hu-HU"/>
        </w:rPr>
        <w:t>i adatbázisának adatai (1343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betegév Ferriprox</w:t>
      </w:r>
      <w:r w:rsidR="006C2342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>monoterápia</w:t>
      </w:r>
      <w:r w:rsidR="006C2342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>expozíció és 244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betegév Ferriprox</w:t>
      </w:r>
      <w:r w:rsidR="006C2342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 xml:space="preserve"> és deferoxamin</w:t>
      </w:r>
      <w:r w:rsidR="006C2342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>expozíció) statisztikailag szignifikáns (p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&lt;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0,05) különbséget jeleztek a mellékhatások előfordulási gyakoriságában a „Szívbetegségek és a szívvel kapcsolatos tünetek”, „A csont- és izomrendszer, valamint a kötőszövet betegségei és tünetei” és a „Vese- és húgyúti betegségek és tünetek” szervrendszereknél. „A csont- és izomrendszer, valamint a kötőszövet betegségei és tünetei” és a „Vese- és húgyúti betegségek és tünetek” előfordulása ritkább volt a kombinált terápia alatt, mint a monoterápia alatt, a „Szívbetegségek és a szívvel kapcsolatos tünetek” előfordulása pedig gyakoribb volt a kombinált terápia alatt, mint a monoterápia alatt. A „Szívbetegségek és a szívvel kapcsolatos tünetek” kombinált terápia alatti gyakoribb előfordulásának az oka valószínűleg az volt, hogy ezeknél a betegeknél eleve nagyobb volt a meglévő szívműködési zavarok előfordulása, mint a monoterápiában részesült betegeknél. A kombinált terápiában részesülő betegeknél a kardi</w:t>
      </w:r>
      <w:r w:rsidR="008F56AE">
        <w:rPr>
          <w:sz w:val="22"/>
          <w:szCs w:val="22"/>
          <w:lang w:val="hu-HU"/>
        </w:rPr>
        <w:t>ális</w:t>
      </w:r>
      <w:r w:rsidRPr="0031302E">
        <w:rPr>
          <w:sz w:val="22"/>
          <w:szCs w:val="22"/>
          <w:lang w:val="hu-HU"/>
        </w:rPr>
        <w:t xml:space="preserve"> események gondos </w:t>
      </w:r>
      <w:r w:rsidR="008F56AE">
        <w:rPr>
          <w:sz w:val="22"/>
          <w:szCs w:val="22"/>
          <w:lang w:val="hu-HU"/>
        </w:rPr>
        <w:t>monitorozása indokolt</w:t>
      </w:r>
      <w:r w:rsidRPr="0031302E">
        <w:rPr>
          <w:sz w:val="22"/>
          <w:szCs w:val="22"/>
          <w:lang w:val="hu-HU"/>
        </w:rPr>
        <w:t xml:space="preserve"> (lásd 4.4</w:t>
      </w:r>
      <w:r w:rsidR="00217412">
        <w:rPr>
          <w:sz w:val="22"/>
          <w:szCs w:val="22"/>
          <w:lang w:val="hu-HU"/>
        </w:rPr>
        <w:t> </w:t>
      </w:r>
      <w:r w:rsidR="008F56AE">
        <w:rPr>
          <w:sz w:val="22"/>
          <w:szCs w:val="22"/>
          <w:lang w:val="hu-HU"/>
        </w:rPr>
        <w:t>pont</w:t>
      </w:r>
      <w:r w:rsidRPr="0031302E">
        <w:rPr>
          <w:sz w:val="22"/>
          <w:szCs w:val="22"/>
          <w:lang w:val="hu-HU"/>
        </w:rPr>
        <w:t>).</w:t>
      </w:r>
    </w:p>
    <w:p w:rsidR="0031302E" w:rsidRPr="0031302E" w:rsidRDefault="0031302E" w:rsidP="0031302E">
      <w:pPr>
        <w:rPr>
          <w:sz w:val="22"/>
          <w:szCs w:val="22"/>
          <w:lang w:val="hu-HU"/>
        </w:rPr>
      </w:pPr>
    </w:p>
    <w:p w:rsidR="00612330" w:rsidRDefault="0031302E" w:rsidP="008652E8">
      <w:pPr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>A kombinált terápiával kezelt 18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gyermeknél és 97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felnőttnél tapasztalt mellékhatások előfordulásában nem volt szignifikáns különbség a két korcsoport között, kivéve az arthropathiát (11,1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% a gyerekeknél, nulla a felnőtteknél, p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=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0,02). A 100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betegév expozícióra adott reakciók hányadának értékelése azt mutatta, hogy csak a hasmenés aránya volt szignifikánsan magasabb a gyermekeknél (11,</w:t>
      </w:r>
      <w:r w:rsidR="006B0D4C">
        <w:rPr>
          <w:sz w:val="22"/>
          <w:szCs w:val="22"/>
          <w:lang w:val="hu-HU"/>
        </w:rPr>
        <w:t>1</w:t>
      </w:r>
      <w:r w:rsidRPr="0031302E">
        <w:rPr>
          <w:sz w:val="22"/>
          <w:szCs w:val="22"/>
          <w:lang w:val="hu-HU"/>
        </w:rPr>
        <w:t>), mint felnőtteknél (2,0, p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=</w:t>
      </w:r>
      <w:r w:rsidR="008652E8"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0,01).</w:t>
      </w:r>
    </w:p>
    <w:p w:rsidR="00B86235" w:rsidRPr="00A530FF" w:rsidRDefault="00B86235">
      <w:pPr>
        <w:rPr>
          <w:sz w:val="22"/>
          <w:szCs w:val="22"/>
          <w:lang w:val="hu-HU"/>
        </w:rPr>
      </w:pPr>
    </w:p>
    <w:p w:rsidR="00612330" w:rsidRPr="00A530FF" w:rsidRDefault="00612330" w:rsidP="003707EE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Feltételezett mellékhatások bejelentése</w:t>
      </w:r>
    </w:p>
    <w:p w:rsidR="00612330" w:rsidRPr="00A530FF" w:rsidRDefault="0061233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gyógyszer engedélyezését követően lényeges a feltételezett mellékhatások bejelentése, mert ez fontos eszköze annak, hogy a gyógyszer előny/kockázat profilját folyamatosan figyelemmel lehessen kísérni. Az egészségügyi szakembereket kérjük, hogy jelentsék be a feltételezett mellékhatásokat a hatóság részére az </w:t>
      </w:r>
      <w:hyperlink r:id="rId11" w:history="1">
        <w:r w:rsidR="00B86235" w:rsidRPr="00B86235">
          <w:rPr>
            <w:rStyle w:val="Hyperlink"/>
            <w:sz w:val="22"/>
            <w:highlight w:val="lightGray"/>
            <w:lang w:val="hu-HU"/>
          </w:rPr>
          <w:t>V. függelékben</w:t>
        </w:r>
      </w:hyperlink>
      <w:r w:rsidRPr="00A530FF">
        <w:rPr>
          <w:sz w:val="22"/>
          <w:szCs w:val="22"/>
          <w:highlight w:val="lightGray"/>
          <w:lang w:val="hu-HU"/>
        </w:rPr>
        <w:t xml:space="preserve"> található elérhetőségek valamelyikén keresztül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4773A1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4.9</w:t>
      </w:r>
      <w:r w:rsidRPr="00A530FF">
        <w:rPr>
          <w:b/>
          <w:sz w:val="22"/>
          <w:szCs w:val="22"/>
          <w:lang w:val="hu-HU"/>
        </w:rPr>
        <w:tab/>
        <w:t>Túladagolás</w:t>
      </w:r>
    </w:p>
    <w:p w:rsidR="00DA1F84" w:rsidRPr="00A530FF" w:rsidRDefault="00DA1F84" w:rsidP="004773A1">
      <w:pPr>
        <w:pStyle w:val="EndnoteText"/>
        <w:keepNext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akut túladagolás eseteiről nem számoltak be. Azonban neurológiai rendellenességeket (például kisagyi tüneteket, diplopiát, lateralis nystagmust, pszichomotoros meglassulást, kézmozgásokat és axiális hypotoniát)</w:t>
      </w:r>
      <w:r w:rsidR="008B5F74">
        <w:rPr>
          <w:sz w:val="22"/>
          <w:szCs w:val="22"/>
          <w:lang w:val="hu-HU"/>
        </w:rPr>
        <w:t xml:space="preserve"> észleltek</w:t>
      </w:r>
      <w:r w:rsidRPr="00A530FF">
        <w:rPr>
          <w:sz w:val="22"/>
          <w:szCs w:val="22"/>
          <w:lang w:val="hu-HU"/>
        </w:rPr>
        <w:t xml:space="preserve"> olyan gyermekeknél, akiknek több éven át szándékosan a javasolt maximális 100 mg/testtömegkilogramm/nap dózis két és félszeresét meghaladó dózisokat írtak fel. A neurológiai rendellenességek a deferipron szedésének megszakítását követően progresszív</w:t>
      </w:r>
      <w:r w:rsidR="008B5F74">
        <w:rPr>
          <w:sz w:val="22"/>
          <w:szCs w:val="22"/>
          <w:lang w:val="hu-HU"/>
        </w:rPr>
        <w:t xml:space="preserve"> módon</w:t>
      </w:r>
      <w:r w:rsidRPr="00A530FF">
        <w:rPr>
          <w:sz w:val="22"/>
          <w:szCs w:val="22"/>
          <w:lang w:val="hu-HU"/>
        </w:rPr>
        <w:t xml:space="preserve"> visszafejlődtek.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Túladagolás esetén szigorú klinikai felügyelet szükséges.</w:t>
      </w: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5.</w:t>
      </w:r>
      <w:r w:rsidRPr="00A530FF">
        <w:rPr>
          <w:b/>
          <w:caps/>
          <w:sz w:val="22"/>
          <w:szCs w:val="22"/>
          <w:lang w:val="hu-HU"/>
        </w:rPr>
        <w:tab/>
        <w:t>Farmakológiai tulajdonságok</w:t>
      </w: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5.1 </w:t>
      </w:r>
      <w:r w:rsidRPr="00A530FF">
        <w:rPr>
          <w:b/>
          <w:sz w:val="22"/>
          <w:szCs w:val="22"/>
          <w:lang w:val="hu-HU"/>
        </w:rPr>
        <w:tab/>
        <w:t>Farmakodinámiás tulajdonságok</w:t>
      </w:r>
    </w:p>
    <w:p w:rsidR="00DA1F84" w:rsidRPr="00A530FF" w:rsidRDefault="00DA1F84" w:rsidP="00193A5D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Farmakoterápiás csoport:</w:t>
      </w:r>
      <w:r w:rsidRPr="00A530FF">
        <w:rPr>
          <w:b/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Vassal kelátot képző anyagok, ATC kód:</w:t>
      </w:r>
      <w:r w:rsidRPr="00A530FF">
        <w:rPr>
          <w:b/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V03AC02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3018F4" w:rsidRPr="00A530FF" w:rsidRDefault="003018F4" w:rsidP="003018F4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Hatásmechanizmus</w:t>
      </w:r>
    </w:p>
    <w:p w:rsidR="00DA1F84" w:rsidRPr="00A530FF" w:rsidRDefault="00DA1F84" w:rsidP="003018F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hatóanyag deferipron (1,2-dimetil-3-hidroxi-4-piridon), amely a vashoz 3:1 mólarányban kötődő két</w:t>
      </w:r>
      <w:r w:rsidR="008B5F74">
        <w:rPr>
          <w:sz w:val="22"/>
          <w:szCs w:val="22"/>
          <w:lang w:val="hu-HU"/>
        </w:rPr>
        <w:t>fogú</w:t>
      </w:r>
      <w:r w:rsidRPr="00A530FF">
        <w:rPr>
          <w:sz w:val="22"/>
          <w:szCs w:val="22"/>
          <w:lang w:val="hu-HU"/>
        </w:rPr>
        <w:t xml:space="preserve"> ligand.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3018F4" w:rsidRPr="00A530FF" w:rsidRDefault="003018F4" w:rsidP="003018F4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Farmakodinámiás hatások</w:t>
      </w:r>
    </w:p>
    <w:p w:rsidR="00DA1F84" w:rsidRPr="00A530FF" w:rsidRDefault="00DA1F84" w:rsidP="00C640B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A530FF">
        <w:rPr>
          <w:rFonts w:ascii="Times New Roman" w:hAnsi="Times New Roman"/>
          <w:szCs w:val="22"/>
          <w:lang w:val="hu-HU"/>
        </w:rPr>
        <w:t xml:space="preserve">A klinikai vizsgálatok azt mutatták, hogy a </w:t>
      </w:r>
      <w:r w:rsidR="00E62E9E" w:rsidRPr="00A530FF">
        <w:rPr>
          <w:rFonts w:ascii="Times New Roman" w:hAnsi="Times New Roman"/>
          <w:szCs w:val="22"/>
          <w:lang w:val="hu-HU"/>
        </w:rPr>
        <w:t xml:space="preserve">Ferriprox </w:t>
      </w:r>
      <w:r w:rsidRPr="00A530FF">
        <w:rPr>
          <w:rFonts w:ascii="Times New Roman" w:hAnsi="Times New Roman"/>
          <w:szCs w:val="22"/>
          <w:lang w:val="hu-HU"/>
        </w:rPr>
        <w:t xml:space="preserve">hatásosan gyorsítja a vas kiürülését és napi háromszor 25 mg/testtömegkilogramm adagban képes megakadályozni a vas felhalmozódását, amint azt transzfúziófüggő thalassaemiás betegeknél a szérumferritin-tartalom vizsgálata jelezte. </w:t>
      </w:r>
      <w:r w:rsidR="006F2F11" w:rsidRPr="006F2F11">
        <w:rPr>
          <w:rFonts w:ascii="Times New Roman" w:hAnsi="Times New Roman"/>
          <w:szCs w:val="22"/>
          <w:lang w:val="hu-HU"/>
        </w:rPr>
        <w:t>A thalassaemi</w:t>
      </w:r>
      <w:r w:rsidR="00217412">
        <w:rPr>
          <w:rFonts w:ascii="Times New Roman" w:hAnsi="Times New Roman"/>
          <w:szCs w:val="22"/>
          <w:lang w:val="hu-HU"/>
        </w:rPr>
        <w:t>a major</w:t>
      </w:r>
      <w:r w:rsidR="006F2F11" w:rsidRPr="006F2F11">
        <w:rPr>
          <w:rFonts w:ascii="Times New Roman" w:hAnsi="Times New Roman"/>
          <w:szCs w:val="22"/>
          <w:lang w:val="hu-HU"/>
        </w:rPr>
        <w:t>ban szenvedő betegek vasegyensúly</w:t>
      </w:r>
      <w:r w:rsidR="008B5F74">
        <w:rPr>
          <w:rFonts w:ascii="Times New Roman" w:hAnsi="Times New Roman"/>
          <w:szCs w:val="22"/>
          <w:lang w:val="hu-HU"/>
        </w:rPr>
        <w:t>-</w:t>
      </w:r>
      <w:r w:rsidR="003A0EA9">
        <w:rPr>
          <w:rFonts w:ascii="Times New Roman" w:hAnsi="Times New Roman"/>
          <w:szCs w:val="22"/>
          <w:lang w:val="hu-HU"/>
        </w:rPr>
        <w:t>vizsgálatait</w:t>
      </w:r>
      <w:r w:rsidR="006F2F11" w:rsidRPr="006F2F11">
        <w:rPr>
          <w:rFonts w:ascii="Times New Roman" w:hAnsi="Times New Roman"/>
          <w:szCs w:val="22"/>
          <w:lang w:val="hu-HU"/>
        </w:rPr>
        <w:t xml:space="preserve"> elemző szakirodalomban publikált adatok tanúsága szerint a Ferriprox és a deferoxamin együttes </w:t>
      </w:r>
      <w:r w:rsidR="003A0EA9">
        <w:rPr>
          <w:rFonts w:ascii="Times New Roman" w:hAnsi="Times New Roman"/>
          <w:szCs w:val="22"/>
          <w:lang w:val="hu-HU"/>
        </w:rPr>
        <w:t>alkalmazása</w:t>
      </w:r>
      <w:r w:rsidR="006F2F11" w:rsidRPr="006F2F11">
        <w:rPr>
          <w:rFonts w:ascii="Times New Roman" w:hAnsi="Times New Roman"/>
          <w:szCs w:val="22"/>
          <w:lang w:val="hu-HU"/>
        </w:rPr>
        <w:t xml:space="preserve"> (mindkét kelátor bevétele ugyanazon a napon, akár egyszerre, akár egymás után, pl. Ferriprox</w:t>
      </w:r>
      <w:r w:rsidR="009634F0">
        <w:rPr>
          <w:rFonts w:ascii="Times New Roman" w:hAnsi="Times New Roman"/>
          <w:szCs w:val="22"/>
          <w:lang w:val="hu-HU"/>
        </w:rPr>
        <w:t>-ot</w:t>
      </w:r>
      <w:r w:rsidR="006F2F11" w:rsidRPr="006F2F11">
        <w:rPr>
          <w:rFonts w:ascii="Times New Roman" w:hAnsi="Times New Roman"/>
          <w:szCs w:val="22"/>
          <w:lang w:val="hu-HU"/>
        </w:rPr>
        <w:t xml:space="preserve"> nappal és deferoxamin</w:t>
      </w:r>
      <w:r w:rsidR="009634F0">
        <w:rPr>
          <w:rFonts w:ascii="Times New Roman" w:hAnsi="Times New Roman"/>
          <w:szCs w:val="22"/>
          <w:lang w:val="hu-HU"/>
        </w:rPr>
        <w:t>t</w:t>
      </w:r>
      <w:r w:rsidR="006F2F11" w:rsidRPr="006F2F11">
        <w:rPr>
          <w:rFonts w:ascii="Times New Roman" w:hAnsi="Times New Roman"/>
          <w:szCs w:val="22"/>
          <w:lang w:val="hu-HU"/>
        </w:rPr>
        <w:t xml:space="preserve"> éjszaka) jobban elősegíti a vas kiürülését, mint bármelyik gyógyszer önmagában. Ezeknél a vizsgálatoknál a Ferriprox dózisa 50 és 100</w:t>
      </w:r>
      <w:r w:rsidR="00C640B8">
        <w:rPr>
          <w:rFonts w:ascii="Times New Roman" w:hAnsi="Times New Roman"/>
          <w:szCs w:val="22"/>
          <w:lang w:val="hu-HU"/>
        </w:rPr>
        <w:t> </w:t>
      </w:r>
      <w:r w:rsidR="006F2F11" w:rsidRPr="006F2F11">
        <w:rPr>
          <w:rFonts w:ascii="Times New Roman" w:hAnsi="Times New Roman"/>
          <w:szCs w:val="22"/>
          <w:lang w:val="hu-HU"/>
        </w:rPr>
        <w:t>mg/</w:t>
      </w:r>
      <w:r w:rsidR="009634F0">
        <w:rPr>
          <w:rFonts w:ascii="Times New Roman" w:hAnsi="Times New Roman"/>
          <w:szCs w:val="22"/>
          <w:lang w:val="hu-HU"/>
        </w:rPr>
        <w:t>tt</w:t>
      </w:r>
      <w:r w:rsidR="006F2F11" w:rsidRPr="006F2F11">
        <w:rPr>
          <w:rFonts w:ascii="Times New Roman" w:hAnsi="Times New Roman"/>
          <w:szCs w:val="22"/>
          <w:lang w:val="hu-HU"/>
        </w:rPr>
        <w:t>kg/nap</w:t>
      </w:r>
      <w:r w:rsidR="003A0EA9">
        <w:rPr>
          <w:rFonts w:ascii="Times New Roman" w:hAnsi="Times New Roman"/>
          <w:szCs w:val="22"/>
          <w:lang w:val="hu-HU"/>
        </w:rPr>
        <w:t>,</w:t>
      </w:r>
      <w:r w:rsidR="006F2F11" w:rsidRPr="006F2F11">
        <w:rPr>
          <w:rFonts w:ascii="Times New Roman" w:hAnsi="Times New Roman"/>
          <w:szCs w:val="22"/>
          <w:lang w:val="hu-HU"/>
        </w:rPr>
        <w:t xml:space="preserve"> és a deferoxamin dózisa 40 és 60</w:t>
      </w:r>
      <w:r w:rsidR="00C640B8">
        <w:rPr>
          <w:rFonts w:ascii="Times New Roman" w:hAnsi="Times New Roman"/>
          <w:szCs w:val="22"/>
          <w:lang w:val="hu-HU"/>
        </w:rPr>
        <w:t> </w:t>
      </w:r>
      <w:r w:rsidR="006F2F11" w:rsidRPr="006F2F11">
        <w:rPr>
          <w:rFonts w:ascii="Times New Roman" w:hAnsi="Times New Roman"/>
          <w:szCs w:val="22"/>
          <w:lang w:val="hu-HU"/>
        </w:rPr>
        <w:t>mg/</w:t>
      </w:r>
      <w:r w:rsidR="009634F0">
        <w:rPr>
          <w:rFonts w:ascii="Times New Roman" w:hAnsi="Times New Roman"/>
          <w:szCs w:val="22"/>
          <w:lang w:val="hu-HU"/>
        </w:rPr>
        <w:t>tt</w:t>
      </w:r>
      <w:r w:rsidR="006F2F11" w:rsidRPr="006F2F11">
        <w:rPr>
          <w:rFonts w:ascii="Times New Roman" w:hAnsi="Times New Roman"/>
          <w:szCs w:val="22"/>
          <w:lang w:val="hu-HU"/>
        </w:rPr>
        <w:t>kg/nap között mozgott.</w:t>
      </w:r>
      <w:r w:rsidR="00B86235" w:rsidRPr="00B86235">
        <w:rPr>
          <w:rFonts w:ascii="Times New Roman" w:hAnsi="Times New Roman"/>
          <w:szCs w:val="22"/>
          <w:lang w:val="hu-HU"/>
        </w:rPr>
        <w:t xml:space="preserve"> </w:t>
      </w:r>
      <w:r w:rsidRPr="00A530FF">
        <w:rPr>
          <w:rFonts w:ascii="Times New Roman" w:hAnsi="Times New Roman"/>
          <w:szCs w:val="22"/>
          <w:lang w:val="hu-HU"/>
        </w:rPr>
        <w:t>A kelációs terápia azonban nem feltétlenül nyújt védelmet a vas okozta szervkárosodással szemben.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3018F4" w:rsidRPr="00A530FF" w:rsidRDefault="003018F4" w:rsidP="003018F4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Klinikai hatásosság és biztonságosság</w:t>
      </w:r>
    </w:p>
    <w:p w:rsidR="00697AFF" w:rsidRPr="00A530FF" w:rsidRDefault="00697AFF" w:rsidP="00697AF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LA16-0102-, LA-01- és LA08-9701</w:t>
      </w:r>
      <w:r w:rsidRPr="00A530FF">
        <w:rPr>
          <w:sz w:val="22"/>
          <w:szCs w:val="22"/>
          <w:lang w:val="hu-HU"/>
        </w:rPr>
        <w:noBreakHyphen/>
        <w:t>vizsgálat a Ferriprox és a deferoxamin szérumferritinszint</w:t>
      </w:r>
      <w:r w:rsidR="009634F0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szabályozásában mutatott hatásosságát hasonlították össze transzfúziófüggő thalass</w:t>
      </w:r>
      <w:r w:rsidR="009634F0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emiás betegek esetén. A Ferriprox és a deferoxamin egyformán segítette elő a nettó stabilizációt vagy a szervezet vasterhelésének csökkentését, annak ellenére, hogy e betegek folyamatosan kaptak transzfúzióban vasat (a regressziós elemzés szerint a két kezelési csoport között nincs különbség a s</w:t>
      </w:r>
      <w:r w:rsidR="009634F0">
        <w:rPr>
          <w:sz w:val="22"/>
          <w:szCs w:val="22"/>
          <w:lang w:val="hu-HU"/>
        </w:rPr>
        <w:t>zé</w:t>
      </w:r>
      <w:r w:rsidRPr="00A530FF">
        <w:rPr>
          <w:sz w:val="22"/>
          <w:szCs w:val="22"/>
          <w:lang w:val="hu-HU"/>
        </w:rPr>
        <w:t>rumferritin tekintetében negatív trendet mutató betegek arányában, p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&gt;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0,05).</w:t>
      </w:r>
    </w:p>
    <w:p w:rsidR="00697AFF" w:rsidRPr="00A530FF" w:rsidRDefault="00697AFF" w:rsidP="00697AFF">
      <w:pPr>
        <w:rPr>
          <w:sz w:val="22"/>
          <w:szCs w:val="22"/>
          <w:lang w:val="hu-HU"/>
        </w:rPr>
      </w:pPr>
    </w:p>
    <w:p w:rsidR="00697AFF" w:rsidRPr="00A530FF" w:rsidRDefault="00697AFF" w:rsidP="00697AF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T2* mágnesesrezonancia</w:t>
      </w:r>
      <w:r w:rsidR="009634F0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vizsgálatot (MRI</w:t>
      </w:r>
      <w:r w:rsidR="009634F0">
        <w:rPr>
          <w:sz w:val="22"/>
          <w:szCs w:val="22"/>
          <w:lang w:val="hu-HU"/>
        </w:rPr>
        <w:t>-t</w:t>
      </w:r>
      <w:r w:rsidRPr="00A530FF">
        <w:rPr>
          <w:sz w:val="22"/>
          <w:szCs w:val="22"/>
          <w:lang w:val="hu-HU"/>
        </w:rPr>
        <w:t>) is alkalmaztak a myocardialis vasterhelés számszerűsítésére. A vasterhelés koncentrációfüggő MRI T2*</w:t>
      </w:r>
      <w:r w:rsidR="009634F0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jelveszteséget okoz, ezért a megnövekedett myocardialis vasmennyiség csökkenti a myocardialis MRI T2*</w:t>
      </w:r>
      <w:r w:rsidRPr="00A530FF">
        <w:rPr>
          <w:sz w:val="22"/>
          <w:szCs w:val="22"/>
          <w:lang w:val="hu-HU"/>
        </w:rPr>
        <w:noBreakHyphen/>
        <w:t>értékeket. A 20 ms</w:t>
      </w:r>
      <w:r w:rsidRPr="00A530FF">
        <w:rPr>
          <w:sz w:val="22"/>
          <w:szCs w:val="22"/>
          <w:lang w:val="hu-HU"/>
        </w:rPr>
        <w:noBreakHyphen/>
        <w:t>nál kisebb MRI T2*</w:t>
      </w:r>
      <w:r w:rsidRPr="00A530FF">
        <w:rPr>
          <w:sz w:val="22"/>
          <w:szCs w:val="22"/>
          <w:lang w:val="hu-HU"/>
        </w:rPr>
        <w:noBreakHyphen/>
        <w:t>értékek a szívben fellépő vastúlterhelést jelentenek. A kezelés során az MRI</w:t>
      </w:r>
      <w:r w:rsidR="009634F0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T2*</w:t>
      </w:r>
      <w:r w:rsidRPr="00A530FF">
        <w:rPr>
          <w:sz w:val="22"/>
          <w:szCs w:val="22"/>
          <w:lang w:val="hu-HU"/>
        </w:rPr>
        <w:noBreakHyphen/>
        <w:t>értékek növekedése arra utal, hogy a vas eltávozik a szívből. Az MRI T2*</w:t>
      </w:r>
      <w:r w:rsidRPr="00A530FF">
        <w:rPr>
          <w:sz w:val="22"/>
          <w:szCs w:val="22"/>
          <w:lang w:val="hu-HU"/>
        </w:rPr>
        <w:noBreakHyphen/>
        <w:t>értékek és a szívműködés közötti pozitív korrelációt (balkamra ejekciós frakcióval – Left Ventricular Ejection Fraction [LVEF] mérve) dokumentálták.</w:t>
      </w:r>
    </w:p>
    <w:p w:rsidR="00697AFF" w:rsidRPr="00A530FF" w:rsidRDefault="00697AFF" w:rsidP="00697AFF">
      <w:pPr>
        <w:rPr>
          <w:sz w:val="22"/>
          <w:szCs w:val="22"/>
          <w:lang w:val="hu-HU"/>
        </w:rPr>
      </w:pPr>
    </w:p>
    <w:p w:rsidR="00697AFF" w:rsidRPr="00A530FF" w:rsidRDefault="00697AFF" w:rsidP="00C640B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LA16-0102</w:t>
      </w:r>
      <w:r w:rsidRPr="00A530FF">
        <w:rPr>
          <w:sz w:val="22"/>
          <w:szCs w:val="22"/>
          <w:lang w:val="hu-HU"/>
        </w:rPr>
        <w:noBreakHyphen/>
        <w:t>vizsgálat a Ferriprox</w:t>
      </w:r>
      <w:r w:rsidRPr="00A530FF">
        <w:rPr>
          <w:sz w:val="22"/>
          <w:szCs w:val="22"/>
          <w:lang w:val="hu-HU"/>
        </w:rPr>
        <w:noBreakHyphen/>
        <w:t>nak és a deferoxaminnak a szív vastúlterhelése csökkentésében és a szívműködés javításában mutatott hatásosságát hasonlította össze (LVEF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fel mérve) transzfúzió</w:t>
      </w:r>
      <w:r w:rsidRPr="00A530FF">
        <w:rPr>
          <w:sz w:val="22"/>
          <w:szCs w:val="22"/>
          <w:lang w:val="hu-HU"/>
        </w:rPr>
        <w:noBreakHyphen/>
        <w:t>függő thalass</w:t>
      </w:r>
      <w:r w:rsidR="009634F0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emiás betegek esetében. A szív vastúlterhelésében szenvedő, előzetesen deferoxaminnal kezelt 61 beteget randomizáltak a deferoxamin</w:t>
      </w:r>
      <w:r w:rsidRPr="00A530FF">
        <w:rPr>
          <w:sz w:val="22"/>
          <w:szCs w:val="22"/>
          <w:lang w:val="hu-HU"/>
        </w:rPr>
        <w:noBreakHyphen/>
        <w:t>kezelés folytatására (az átlagos adag 43</w:t>
      </w:r>
      <w:r w:rsidR="00C640B8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9634F0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kg/nap; N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=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31) vagy Ferriprox-ra való átállításra (az átlagos adag 92</w:t>
      </w:r>
      <w:r w:rsidR="00C640B8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9634F0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kg/nap N =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29). A vizsgálat 12</w:t>
      </w:r>
      <w:r w:rsidR="00C640B8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hónapos időtartama alatt a Ferriprox a deferoxaminnál jobban csökkentette a szív vastúlterhelését. A szív T2* több mint 3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ms értékkel javult a Ferriprox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szal kezelt betegeknél, mint a deferoxaminnal kezelt betegeknél. Ugyanabban a vizsgálati időpontban az LVEF a kiindulási értékhez viszonyítva 3,07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±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3,58 abszolút egységgel nőtt (%) a Ferriprox</w:t>
      </w:r>
      <w:r w:rsidRPr="00A530FF">
        <w:rPr>
          <w:sz w:val="22"/>
          <w:szCs w:val="22"/>
          <w:lang w:val="hu-HU"/>
        </w:rPr>
        <w:noBreakHyphen/>
        <w:t xml:space="preserve"> és 0,32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±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3,38 abszolút egységgel (%) a deferoxamin</w:t>
      </w:r>
      <w:r w:rsidRPr="00A530FF">
        <w:rPr>
          <w:sz w:val="22"/>
          <w:szCs w:val="22"/>
          <w:lang w:val="hu-HU"/>
        </w:rPr>
        <w:noBreakHyphen/>
        <w:t>csoportban (a csoportok közötti különbség</w:t>
      </w:r>
      <w:r w:rsidR="00600BEF" w:rsidRPr="00A530FF">
        <w:rPr>
          <w:sz w:val="22"/>
          <w:szCs w:val="22"/>
          <w:lang w:val="hu-HU"/>
        </w:rPr>
        <w:t>:</w:t>
      </w:r>
      <w:r w:rsidRPr="00A530FF">
        <w:rPr>
          <w:sz w:val="22"/>
          <w:szCs w:val="22"/>
          <w:lang w:val="hu-HU"/>
        </w:rPr>
        <w:t xml:space="preserve"> p = 0,003).</w:t>
      </w:r>
    </w:p>
    <w:p w:rsidR="00697AFF" w:rsidRPr="00A530FF" w:rsidRDefault="00697AFF" w:rsidP="00697AFF">
      <w:pPr>
        <w:rPr>
          <w:sz w:val="22"/>
          <w:szCs w:val="22"/>
          <w:lang w:val="hu-HU"/>
        </w:rPr>
      </w:pPr>
    </w:p>
    <w:p w:rsidR="00697AFF" w:rsidRPr="00A530FF" w:rsidRDefault="00697AFF" w:rsidP="00697AF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LA12-9907</w:t>
      </w:r>
      <w:r w:rsidRPr="00A530FF">
        <w:rPr>
          <w:sz w:val="22"/>
          <w:szCs w:val="22"/>
          <w:lang w:val="hu-HU"/>
        </w:rPr>
        <w:noBreakHyphen/>
        <w:t>vizsgálat a túlélést, a szívbetegség előfordulását és a szívbetegség progresszióját hasonlította össze 129, thalass</w:t>
      </w:r>
      <w:r w:rsidR="009634F0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emia ma</w:t>
      </w:r>
      <w:r w:rsidR="009634F0">
        <w:rPr>
          <w:sz w:val="22"/>
          <w:szCs w:val="22"/>
          <w:lang w:val="hu-HU"/>
        </w:rPr>
        <w:t>j</w:t>
      </w:r>
      <w:r w:rsidRPr="00A530FF">
        <w:rPr>
          <w:sz w:val="22"/>
          <w:szCs w:val="22"/>
          <w:lang w:val="hu-HU"/>
        </w:rPr>
        <w:t>orban szenvedő beteg esetében, akiket legalább 4 évig kezeltek Ferriprox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 xml:space="preserve">szal (N = 54) vagy deferoxaminnal (N = 75). A kardiális végpontokat echokardiogram, </w:t>
      </w:r>
      <w:r w:rsidR="00600BEF" w:rsidRPr="00A530FF">
        <w:rPr>
          <w:sz w:val="22"/>
          <w:szCs w:val="22"/>
          <w:lang w:val="hu-HU"/>
        </w:rPr>
        <w:t>elektrokardiogram</w:t>
      </w:r>
      <w:r w:rsidRPr="00A530FF">
        <w:rPr>
          <w:sz w:val="22"/>
          <w:szCs w:val="22"/>
          <w:lang w:val="hu-HU"/>
        </w:rPr>
        <w:t xml:space="preserve">, a New York Heart Association </w:t>
      </w:r>
      <w:r w:rsidR="002C52C2">
        <w:rPr>
          <w:sz w:val="22"/>
          <w:szCs w:val="22"/>
          <w:lang w:val="hu-HU"/>
        </w:rPr>
        <w:t xml:space="preserve">által meghatározott </w:t>
      </w:r>
      <w:r w:rsidRPr="00A530FF">
        <w:rPr>
          <w:sz w:val="22"/>
          <w:szCs w:val="22"/>
          <w:lang w:val="hu-HU"/>
        </w:rPr>
        <w:t>stádium</w:t>
      </w:r>
      <w:r w:rsidR="002C52C2">
        <w:rPr>
          <w:sz w:val="22"/>
          <w:szCs w:val="22"/>
          <w:lang w:val="hu-HU"/>
        </w:rPr>
        <w:t>ok</w:t>
      </w:r>
      <w:r w:rsidRPr="00A530FF">
        <w:rPr>
          <w:sz w:val="22"/>
          <w:szCs w:val="22"/>
          <w:lang w:val="hu-HU"/>
        </w:rPr>
        <w:t xml:space="preserve"> és a szívbetegség miatti halálozás segítségével értékelték. Az első vizsgálatkor nem volt szignifikáns eltérés a </w:t>
      </w:r>
      <w:r w:rsidR="00600BEF" w:rsidRPr="00A530FF">
        <w:rPr>
          <w:sz w:val="22"/>
          <w:szCs w:val="22"/>
          <w:lang w:val="hu-HU"/>
        </w:rPr>
        <w:t xml:space="preserve">szívműködési zavarban szenvedő </w:t>
      </w:r>
      <w:r w:rsidRPr="00A530FF">
        <w:rPr>
          <w:sz w:val="22"/>
          <w:szCs w:val="22"/>
          <w:lang w:val="hu-HU"/>
        </w:rPr>
        <w:t>betegek százalékarányában (13%</w:t>
      </w:r>
      <w:r w:rsidR="00600BEF" w:rsidRPr="00A530FF">
        <w:rPr>
          <w:sz w:val="22"/>
          <w:szCs w:val="22"/>
          <w:lang w:val="hu-HU"/>
        </w:rPr>
        <w:t xml:space="preserve"> a</w:t>
      </w:r>
      <w:r w:rsidRPr="00A530FF">
        <w:rPr>
          <w:sz w:val="22"/>
          <w:szCs w:val="22"/>
          <w:lang w:val="hu-HU"/>
        </w:rPr>
        <w:t xml:space="preserve"> Ferriprox-szal</w:t>
      </w:r>
      <w:r w:rsidR="00600BEF" w:rsidRPr="00A530FF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és 16%</w:t>
      </w:r>
      <w:r w:rsidR="00600BEF" w:rsidRPr="00A530FF">
        <w:rPr>
          <w:sz w:val="22"/>
          <w:szCs w:val="22"/>
          <w:lang w:val="hu-HU"/>
        </w:rPr>
        <w:t xml:space="preserve"> a</w:t>
      </w:r>
      <w:r w:rsidRPr="00A530FF">
        <w:rPr>
          <w:sz w:val="22"/>
          <w:szCs w:val="22"/>
          <w:lang w:val="hu-HU"/>
        </w:rPr>
        <w:t xml:space="preserve"> deferoxaminnal</w:t>
      </w:r>
      <w:r w:rsidR="00600BEF" w:rsidRPr="00A530FF">
        <w:rPr>
          <w:sz w:val="22"/>
          <w:szCs w:val="22"/>
          <w:lang w:val="hu-HU"/>
        </w:rPr>
        <w:t xml:space="preserve"> kezelt betegek között</w:t>
      </w:r>
      <w:r w:rsidRPr="00A530FF">
        <w:rPr>
          <w:sz w:val="22"/>
          <w:szCs w:val="22"/>
          <w:lang w:val="hu-HU"/>
        </w:rPr>
        <w:t xml:space="preserve">). Az első </w:t>
      </w:r>
      <w:r w:rsidR="00600BEF" w:rsidRPr="00A530FF">
        <w:rPr>
          <w:sz w:val="22"/>
          <w:szCs w:val="22"/>
          <w:lang w:val="hu-HU"/>
        </w:rPr>
        <w:t>vizsgálatkor</w:t>
      </w:r>
      <w:r w:rsidRPr="00A530FF">
        <w:rPr>
          <w:sz w:val="22"/>
          <w:szCs w:val="22"/>
          <w:lang w:val="hu-HU"/>
        </w:rPr>
        <w:t xml:space="preserve"> </w:t>
      </w:r>
      <w:r w:rsidR="00600BEF" w:rsidRPr="00A530FF">
        <w:rPr>
          <w:sz w:val="22"/>
          <w:szCs w:val="22"/>
          <w:lang w:val="hu-HU"/>
        </w:rPr>
        <w:t>szívműködési zavart mutató</w:t>
      </w:r>
      <w:r w:rsidRPr="00A530FF">
        <w:rPr>
          <w:sz w:val="22"/>
          <w:szCs w:val="22"/>
          <w:lang w:val="hu-HU"/>
        </w:rPr>
        <w:t xml:space="preserve"> betegek </w:t>
      </w:r>
      <w:r w:rsidR="00600BEF" w:rsidRPr="00A530FF">
        <w:rPr>
          <w:sz w:val="22"/>
          <w:szCs w:val="22"/>
          <w:lang w:val="hu-HU"/>
        </w:rPr>
        <w:t>között</w:t>
      </w:r>
      <w:r w:rsidRPr="00A530FF">
        <w:rPr>
          <w:sz w:val="22"/>
          <w:szCs w:val="22"/>
          <w:lang w:val="hu-HU"/>
        </w:rPr>
        <w:t xml:space="preserve"> a deferipronnal kezelt betegek közül egynél sem, de a deferoxaminnal kezeltek közül négy beteg (33%) esetében a </w:t>
      </w:r>
      <w:r w:rsidR="00600BEF" w:rsidRPr="00A530FF">
        <w:rPr>
          <w:sz w:val="22"/>
          <w:szCs w:val="22"/>
          <w:lang w:val="hu-HU"/>
        </w:rPr>
        <w:t>kardiális status</w:t>
      </w:r>
      <w:r w:rsidRPr="00A530FF">
        <w:rPr>
          <w:sz w:val="22"/>
          <w:szCs w:val="22"/>
          <w:lang w:val="hu-HU"/>
        </w:rPr>
        <w:t xml:space="preserve"> romlása (p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=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0,245) következett be. Az olyan betegek között, akik az első vizsgálatkor nem voltak szívbetegek, újonnan diagnosztizált szívműködési zavar a deferoxaminnal kezelt betegek közül 13</w:t>
      </w:r>
      <w:r w:rsidR="00600BEF" w:rsidRPr="00A530FF">
        <w:rPr>
          <w:sz w:val="24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nál (20,6%) és a Ferriprox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szal kezelt betegek közül 2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nél (4,3%) fordult elő (p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=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0,013). Összességében a deferoxaminnal kezelt betegekhez képest kevesebb Ferriprox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szal kezelt betegnél jelentkezett szívműködési zavar az első és az utolsó vizsgálat között (4%, illetve 20%, p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=</w:t>
      </w:r>
      <w:r w:rsidR="00600BEF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0,007).</w:t>
      </w:r>
    </w:p>
    <w:p w:rsidR="00697AFF" w:rsidRPr="00A530FF" w:rsidRDefault="00697AFF" w:rsidP="00697AFF">
      <w:pPr>
        <w:rPr>
          <w:sz w:val="22"/>
          <w:szCs w:val="22"/>
          <w:lang w:val="hu-HU"/>
        </w:rPr>
      </w:pPr>
    </w:p>
    <w:p w:rsidR="00697AFF" w:rsidRPr="00A530FF" w:rsidRDefault="00697AFF" w:rsidP="00697AF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szakirodalmi adatok összhangban vannak az Apotex</w:t>
      </w:r>
      <w:r w:rsidRPr="00A530FF">
        <w:rPr>
          <w:sz w:val="22"/>
          <w:szCs w:val="22"/>
          <w:lang w:val="hu-HU"/>
        </w:rPr>
        <w:noBreakHyphen/>
        <w:t>vizsgálatok eredményeivel, amelyek a deferoxaminnal kezelt betegekhez képest a Ferriprox</w:t>
      </w:r>
      <w:r w:rsidR="00600BEF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szal kezelt betegek esetében kevesebb szívbetegséget és/vagy jobb túlélési arányt bizonyítanak.</w:t>
      </w:r>
    </w:p>
    <w:p w:rsidR="000F2062" w:rsidRPr="00A530FF" w:rsidRDefault="000F2062" w:rsidP="00697AFF">
      <w:pPr>
        <w:tabs>
          <w:tab w:val="left" w:pos="567"/>
        </w:tabs>
        <w:rPr>
          <w:sz w:val="22"/>
          <w:szCs w:val="22"/>
          <w:lang w:val="hu-HU"/>
        </w:rPr>
      </w:pPr>
    </w:p>
    <w:p w:rsidR="00B86235" w:rsidRDefault="00574B3D" w:rsidP="000D70E5">
      <w:pPr>
        <w:tabs>
          <w:tab w:val="left" w:pos="567"/>
        </w:tabs>
        <w:rPr>
          <w:sz w:val="22"/>
          <w:szCs w:val="22"/>
          <w:lang w:val="hu-HU"/>
        </w:rPr>
      </w:pPr>
      <w:r w:rsidRPr="00574B3D">
        <w:rPr>
          <w:sz w:val="22"/>
          <w:szCs w:val="22"/>
          <w:lang w:val="hu-HU"/>
        </w:rPr>
        <w:t>Randomizált, placeb</w:t>
      </w:r>
      <w:r w:rsidR="003A0EA9">
        <w:rPr>
          <w:sz w:val="22"/>
          <w:szCs w:val="22"/>
          <w:lang w:val="hu-HU"/>
        </w:rPr>
        <w:t>o</w:t>
      </w:r>
      <w:r w:rsidRPr="00574B3D">
        <w:rPr>
          <w:sz w:val="22"/>
          <w:szCs w:val="22"/>
          <w:lang w:val="hu-HU"/>
        </w:rPr>
        <w:t>kontroll</w:t>
      </w:r>
      <w:r w:rsidR="003A0EA9">
        <w:rPr>
          <w:sz w:val="22"/>
          <w:szCs w:val="22"/>
          <w:lang w:val="hu-HU"/>
        </w:rPr>
        <w:t>os</w:t>
      </w:r>
      <w:r w:rsidRPr="00574B3D">
        <w:rPr>
          <w:sz w:val="22"/>
          <w:szCs w:val="22"/>
          <w:lang w:val="hu-HU"/>
        </w:rPr>
        <w:t xml:space="preserve"> kettős vak klinikai vizsgálatban értékelték a Ferriprox és deferoxamin együttes </w:t>
      </w:r>
      <w:r w:rsidRPr="009634F0">
        <w:rPr>
          <w:sz w:val="22"/>
          <w:szCs w:val="22"/>
          <w:lang w:val="hu-HU"/>
        </w:rPr>
        <w:t xml:space="preserve">terápiáját </w:t>
      </w:r>
      <w:r w:rsidR="003A0EA9" w:rsidRPr="009634F0">
        <w:rPr>
          <w:sz w:val="22"/>
          <w:szCs w:val="22"/>
          <w:lang w:val="hu-HU"/>
        </w:rPr>
        <w:t xml:space="preserve">olyan </w:t>
      </w:r>
      <w:r w:rsidR="009E0F23" w:rsidRPr="00F75EF0">
        <w:rPr>
          <w:sz w:val="22"/>
          <w:szCs w:val="22"/>
          <w:lang w:val="hu-HU"/>
        </w:rPr>
        <w:t xml:space="preserve">thalassaemia majorban </w:t>
      </w:r>
      <w:r w:rsidRPr="009634F0">
        <w:rPr>
          <w:sz w:val="22"/>
          <w:szCs w:val="22"/>
          <w:lang w:val="hu-HU"/>
        </w:rPr>
        <w:t>szenvedő betegeknél</w:t>
      </w:r>
      <w:r w:rsidRPr="00574B3D">
        <w:rPr>
          <w:sz w:val="22"/>
          <w:szCs w:val="22"/>
          <w:lang w:val="hu-HU"/>
        </w:rPr>
        <w:t xml:space="preserve">, akik korábban szokásos kelátképzőszeres monoterápiában részesültek szubkután deferoxamin formájában és enyhe vagy közepes súlyosságú </w:t>
      </w:r>
      <w:r w:rsidR="003A0EA9">
        <w:rPr>
          <w:sz w:val="22"/>
          <w:szCs w:val="22"/>
          <w:lang w:val="hu-HU"/>
        </w:rPr>
        <w:t xml:space="preserve">cardialis </w:t>
      </w:r>
      <w:r w:rsidRPr="00574B3D">
        <w:rPr>
          <w:sz w:val="22"/>
          <w:szCs w:val="22"/>
          <w:lang w:val="hu-HU"/>
        </w:rPr>
        <w:t>vasterhelés jelentkezett náluk (m</w:t>
      </w:r>
      <w:r w:rsidR="000D70E5">
        <w:rPr>
          <w:sz w:val="22"/>
          <w:szCs w:val="22"/>
          <w:lang w:val="hu-HU"/>
        </w:rPr>
        <w:t>y</w:t>
      </w:r>
      <w:r w:rsidRPr="00574B3D">
        <w:rPr>
          <w:sz w:val="22"/>
          <w:szCs w:val="22"/>
          <w:lang w:val="hu-HU"/>
        </w:rPr>
        <w:t>o</w:t>
      </w:r>
      <w:r w:rsidR="000D70E5">
        <w:rPr>
          <w:sz w:val="22"/>
          <w:szCs w:val="22"/>
          <w:lang w:val="hu-HU"/>
        </w:rPr>
        <w:t>ca</w:t>
      </w:r>
      <w:r w:rsidRPr="00574B3D">
        <w:rPr>
          <w:sz w:val="22"/>
          <w:szCs w:val="22"/>
          <w:lang w:val="hu-HU"/>
        </w:rPr>
        <w:t>rdi</w:t>
      </w:r>
      <w:r w:rsidR="000D70E5">
        <w:rPr>
          <w:sz w:val="22"/>
          <w:szCs w:val="22"/>
          <w:lang w:val="hu-HU"/>
        </w:rPr>
        <w:t>alis</w:t>
      </w:r>
      <w:r w:rsidRPr="00574B3D">
        <w:rPr>
          <w:sz w:val="22"/>
          <w:szCs w:val="22"/>
          <w:lang w:val="hu-HU"/>
        </w:rPr>
        <w:t xml:space="preserve"> T2* értéke 8–20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ms). A randomizálást követően 32 beteg kapott deferoxamint (</w:t>
      </w:r>
      <w:r w:rsidR="00E829C3" w:rsidRPr="00574B3D">
        <w:rPr>
          <w:sz w:val="22"/>
          <w:szCs w:val="22"/>
          <w:lang w:val="hu-HU"/>
        </w:rPr>
        <w:t>34,9</w:t>
      </w:r>
      <w:r w:rsidR="00FF5B7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mg/</w:t>
      </w:r>
      <w:r w:rsidR="002C52C2">
        <w:rPr>
          <w:sz w:val="22"/>
          <w:szCs w:val="22"/>
          <w:lang w:val="hu-HU"/>
        </w:rPr>
        <w:t>tt</w:t>
      </w:r>
      <w:r w:rsidRPr="00574B3D">
        <w:rPr>
          <w:sz w:val="22"/>
          <w:szCs w:val="22"/>
          <w:lang w:val="hu-HU"/>
        </w:rPr>
        <w:t>kg/nap, 5</w:t>
      </w:r>
      <w:r w:rsidR="00FF5B7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nap/hét) és Ferriproxot (75</w:t>
      </w:r>
      <w:r w:rsidR="00FF5B7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mg/</w:t>
      </w:r>
      <w:r w:rsidR="002C52C2">
        <w:rPr>
          <w:sz w:val="22"/>
          <w:szCs w:val="22"/>
          <w:lang w:val="hu-HU"/>
        </w:rPr>
        <w:t>tt</w:t>
      </w:r>
      <w:r w:rsidRPr="00574B3D">
        <w:rPr>
          <w:sz w:val="22"/>
          <w:szCs w:val="22"/>
          <w:lang w:val="hu-HU"/>
        </w:rPr>
        <w:t>kg/nap) és 33 beteg részesült deferoxamin</w:t>
      </w:r>
      <w:r w:rsidR="002C52C2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monoterápiában (</w:t>
      </w:r>
      <w:r w:rsidR="00E829C3" w:rsidRPr="008A7FF5">
        <w:rPr>
          <w:sz w:val="22"/>
          <w:szCs w:val="22"/>
          <w:lang w:val="hu-HU"/>
        </w:rPr>
        <w:t>43,4</w:t>
      </w:r>
      <w:r w:rsidR="00FF5B7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mg/</w:t>
      </w:r>
      <w:r w:rsidR="002C52C2">
        <w:rPr>
          <w:sz w:val="22"/>
          <w:szCs w:val="22"/>
          <w:lang w:val="hu-HU"/>
        </w:rPr>
        <w:t>tt</w:t>
      </w:r>
      <w:r w:rsidRPr="00574B3D">
        <w:rPr>
          <w:sz w:val="22"/>
          <w:szCs w:val="22"/>
          <w:lang w:val="hu-HU"/>
        </w:rPr>
        <w:t>kg/nap, 5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nap/hét). Egy év vizsgálati terápia után megállapították, hogy az együttes kelátterápiában részesült betegeknél szignifikánsan nagyobb volt a szérumferritinszint csökkenése (1574</w:t>
      </w:r>
      <w:r w:rsidR="00FF5B7F">
        <w:rPr>
          <w:sz w:val="22"/>
          <w:szCs w:val="22"/>
          <w:lang w:val="hu-HU"/>
        </w:rPr>
        <w:t> </w:t>
      </w:r>
      <w:r w:rsidR="002C52C2">
        <w:rPr>
          <w:sz w:val="22"/>
          <w:szCs w:val="22"/>
          <w:lang w:val="hu-HU"/>
        </w:rPr>
        <w:t>mikrogramm</w:t>
      </w:r>
      <w:r w:rsidRPr="00574B3D">
        <w:rPr>
          <w:sz w:val="22"/>
          <w:szCs w:val="22"/>
          <w:lang w:val="hu-HU"/>
        </w:rPr>
        <w:t>/l értékről 598</w:t>
      </w:r>
      <w:r w:rsidR="00FF5B7F">
        <w:rPr>
          <w:sz w:val="22"/>
          <w:szCs w:val="22"/>
          <w:lang w:val="hu-HU"/>
        </w:rPr>
        <w:t> </w:t>
      </w:r>
      <w:r w:rsidR="002C52C2">
        <w:rPr>
          <w:sz w:val="22"/>
          <w:szCs w:val="22"/>
          <w:lang w:val="hu-HU"/>
        </w:rPr>
        <w:t>mikro</w:t>
      </w:r>
      <w:r w:rsidRPr="00574B3D">
        <w:rPr>
          <w:sz w:val="22"/>
          <w:szCs w:val="22"/>
          <w:lang w:val="hu-HU"/>
        </w:rPr>
        <w:t>g</w:t>
      </w:r>
      <w:r w:rsidR="002C52C2">
        <w:rPr>
          <w:sz w:val="22"/>
          <w:szCs w:val="22"/>
          <w:lang w:val="hu-HU"/>
        </w:rPr>
        <w:t>ramm</w:t>
      </w:r>
      <w:r w:rsidRPr="00574B3D">
        <w:rPr>
          <w:sz w:val="22"/>
          <w:szCs w:val="22"/>
          <w:lang w:val="hu-HU"/>
        </w:rPr>
        <w:t>/l értékre az együttes terápiánál, és 1379</w:t>
      </w:r>
      <w:r w:rsidR="00FF5B7F">
        <w:rPr>
          <w:sz w:val="22"/>
          <w:szCs w:val="22"/>
          <w:lang w:val="hu-HU"/>
        </w:rPr>
        <w:t> </w:t>
      </w:r>
      <w:r w:rsidR="002C52C2">
        <w:rPr>
          <w:sz w:val="22"/>
          <w:szCs w:val="22"/>
          <w:lang w:val="hu-HU"/>
        </w:rPr>
        <w:t>mikro</w:t>
      </w:r>
      <w:r w:rsidRPr="00574B3D">
        <w:rPr>
          <w:sz w:val="22"/>
          <w:szCs w:val="22"/>
          <w:lang w:val="hu-HU"/>
        </w:rPr>
        <w:t>g</w:t>
      </w:r>
      <w:r w:rsidR="002C52C2">
        <w:rPr>
          <w:sz w:val="22"/>
          <w:szCs w:val="22"/>
          <w:lang w:val="hu-HU"/>
        </w:rPr>
        <w:t>ramm</w:t>
      </w:r>
      <w:r w:rsidRPr="00574B3D">
        <w:rPr>
          <w:sz w:val="22"/>
          <w:szCs w:val="22"/>
          <w:lang w:val="hu-HU"/>
        </w:rPr>
        <w:t>/l értékről 1146</w:t>
      </w:r>
      <w:r w:rsidR="00FF5B7F">
        <w:rPr>
          <w:sz w:val="22"/>
          <w:szCs w:val="22"/>
          <w:lang w:val="hu-HU"/>
        </w:rPr>
        <w:t> </w:t>
      </w:r>
      <w:r w:rsidR="002C52C2">
        <w:rPr>
          <w:sz w:val="22"/>
          <w:szCs w:val="22"/>
          <w:lang w:val="hu-HU"/>
        </w:rPr>
        <w:t>mikrogramm</w:t>
      </w:r>
      <w:r w:rsidRPr="00574B3D">
        <w:rPr>
          <w:sz w:val="22"/>
          <w:szCs w:val="22"/>
          <w:lang w:val="hu-HU"/>
        </w:rPr>
        <w:t>/l értékre a deferoxamin</w:t>
      </w:r>
      <w:r w:rsidR="002C52C2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monoterápiánál, p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&lt; 0,001), szignifikánsan jobban csökkent a m</w:t>
      </w:r>
      <w:r w:rsidR="000D70E5">
        <w:rPr>
          <w:sz w:val="22"/>
          <w:szCs w:val="22"/>
          <w:lang w:val="hu-HU"/>
        </w:rPr>
        <w:t>y</w:t>
      </w:r>
      <w:r w:rsidRPr="00574B3D">
        <w:rPr>
          <w:sz w:val="22"/>
          <w:szCs w:val="22"/>
          <w:lang w:val="hu-HU"/>
        </w:rPr>
        <w:t>o</w:t>
      </w:r>
      <w:r w:rsidR="000D70E5">
        <w:rPr>
          <w:sz w:val="22"/>
          <w:szCs w:val="22"/>
          <w:lang w:val="hu-HU"/>
        </w:rPr>
        <w:t>c</w:t>
      </w:r>
      <w:r w:rsidRPr="00574B3D">
        <w:rPr>
          <w:sz w:val="22"/>
          <w:szCs w:val="22"/>
          <w:lang w:val="hu-HU"/>
        </w:rPr>
        <w:t>ardi</w:t>
      </w:r>
      <w:r w:rsidR="000D70E5">
        <w:rPr>
          <w:sz w:val="22"/>
          <w:szCs w:val="22"/>
          <w:lang w:val="hu-HU"/>
        </w:rPr>
        <w:t>a</w:t>
      </w:r>
      <w:r w:rsidRPr="00574B3D">
        <w:rPr>
          <w:sz w:val="22"/>
          <w:szCs w:val="22"/>
          <w:lang w:val="hu-HU"/>
        </w:rPr>
        <w:t>lis vastúlterhelés, az MRI T2* értékének növekedése alapján ítélve (11,7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17,7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az együttes terápiánál, és 12,4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 15,7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 deferoxamin</w:t>
      </w:r>
      <w:r w:rsidR="002C52C2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monoterápiánál, p</w:t>
      </w:r>
      <w:r w:rsidR="00FF5B7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=</w:t>
      </w:r>
      <w:r w:rsidR="00FF5B7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0,02)</w:t>
      </w:r>
      <w:r w:rsidR="003A0EA9">
        <w:rPr>
          <w:sz w:val="22"/>
          <w:szCs w:val="22"/>
          <w:lang w:val="hu-HU"/>
        </w:rPr>
        <w:t>,</w:t>
      </w:r>
      <w:r w:rsidRPr="00574B3D">
        <w:rPr>
          <w:sz w:val="22"/>
          <w:szCs w:val="22"/>
          <w:lang w:val="hu-HU"/>
        </w:rPr>
        <w:t xml:space="preserve"> és szignifikánsan jobban csökkent a máj vaskoncentrációja, szintén az MRI T2* értékének a növekedése alapján ítélve (4,9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 10,7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az együttes terápiánál, és 4,2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 5,0</w:t>
      </w:r>
      <w:r w:rsidR="000D64AF"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 deferoxamin</w:t>
      </w:r>
      <w:r w:rsidR="002C52C2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monoterápiánál, p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&lt;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0,001).</w:t>
      </w:r>
    </w:p>
    <w:p w:rsidR="00574B3D" w:rsidRDefault="00574B3D" w:rsidP="00697AFF">
      <w:pPr>
        <w:tabs>
          <w:tab w:val="left" w:pos="567"/>
        </w:tabs>
        <w:rPr>
          <w:sz w:val="22"/>
          <w:szCs w:val="22"/>
          <w:lang w:val="hu-HU"/>
        </w:rPr>
      </w:pPr>
    </w:p>
    <w:p w:rsidR="00697AFF" w:rsidRPr="00A530FF" w:rsidRDefault="000F2062" w:rsidP="000D64AF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LA37-1111 vizsgálat</w:t>
      </w:r>
      <w:r w:rsidR="008F6630" w:rsidRPr="00A530FF">
        <w:rPr>
          <w:sz w:val="22"/>
          <w:szCs w:val="22"/>
          <w:lang w:val="hu-HU"/>
        </w:rPr>
        <w:t xml:space="preserve">ot azért végezték, hogy </w:t>
      </w:r>
      <w:r w:rsidRPr="00A530FF">
        <w:rPr>
          <w:sz w:val="22"/>
          <w:szCs w:val="22"/>
          <w:lang w:val="hu-HU"/>
        </w:rPr>
        <w:t xml:space="preserve">egészséges </w:t>
      </w:r>
      <w:r w:rsidR="00FF435F" w:rsidRPr="00A530FF">
        <w:rPr>
          <w:sz w:val="22"/>
          <w:szCs w:val="22"/>
          <w:lang w:val="hu-HU"/>
        </w:rPr>
        <w:t xml:space="preserve">vizsgálati </w:t>
      </w:r>
      <w:r w:rsidRPr="00A530FF">
        <w:rPr>
          <w:sz w:val="22"/>
          <w:szCs w:val="22"/>
          <w:lang w:val="hu-HU"/>
        </w:rPr>
        <w:t xml:space="preserve">alanyoknál </w:t>
      </w:r>
      <w:r w:rsidR="008F6630" w:rsidRPr="00A530FF">
        <w:rPr>
          <w:sz w:val="22"/>
          <w:szCs w:val="22"/>
          <w:lang w:val="hu-HU"/>
        </w:rPr>
        <w:t xml:space="preserve">értékelje, </w:t>
      </w:r>
      <w:r w:rsidRPr="00A530FF">
        <w:rPr>
          <w:sz w:val="22"/>
          <w:szCs w:val="22"/>
          <w:lang w:val="hu-HU"/>
        </w:rPr>
        <w:t>milyen hatással van a deferipron egyszeri terápiás (33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2C52C2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kg) és szupraterápiás (50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2C52C2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kg) orális dózisa a QT-intervallumra. A terápiás dózis és a placeb</w:t>
      </w:r>
      <w:r w:rsidR="00441286" w:rsidRPr="00A530FF">
        <w:rPr>
          <w:sz w:val="22"/>
          <w:szCs w:val="22"/>
          <w:lang w:val="hu-HU"/>
        </w:rPr>
        <w:t>o</w:t>
      </w:r>
      <w:r w:rsidRPr="00A530FF">
        <w:rPr>
          <w:sz w:val="22"/>
          <w:szCs w:val="22"/>
          <w:lang w:val="hu-HU"/>
        </w:rPr>
        <w:t xml:space="preserve"> </w:t>
      </w:r>
      <w:r w:rsidR="008F6630" w:rsidRPr="00A530FF">
        <w:rPr>
          <w:sz w:val="22"/>
          <w:szCs w:val="22"/>
          <w:lang w:val="hu-HU"/>
        </w:rPr>
        <w:t>legkisebb négyzet</w:t>
      </w:r>
      <w:r w:rsidR="006E4B5D" w:rsidRPr="00A530FF">
        <w:rPr>
          <w:sz w:val="22"/>
          <w:szCs w:val="22"/>
          <w:lang w:val="hu-HU"/>
        </w:rPr>
        <w:t>ei</w:t>
      </w:r>
      <w:r w:rsidRPr="00A530FF">
        <w:rPr>
          <w:sz w:val="22"/>
          <w:szCs w:val="22"/>
          <w:lang w:val="hu-HU"/>
        </w:rPr>
        <w:t xml:space="preserve"> átlagainak legnagyobb különbsége 3,01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ms (95%</w:t>
      </w:r>
      <w:r w:rsidR="004A65C8" w:rsidRPr="00A530FF">
        <w:rPr>
          <w:sz w:val="22"/>
          <w:szCs w:val="22"/>
          <w:lang w:val="hu-HU"/>
        </w:rPr>
        <w:noBreakHyphen/>
        <w:t>os</w:t>
      </w:r>
      <w:r w:rsidRPr="00A530FF">
        <w:rPr>
          <w:sz w:val="22"/>
          <w:szCs w:val="22"/>
          <w:lang w:val="hu-HU"/>
        </w:rPr>
        <w:t xml:space="preserve"> egyoldal</w:t>
      </w:r>
      <w:r w:rsidR="006E4B5D" w:rsidRPr="00A530FF">
        <w:rPr>
          <w:sz w:val="22"/>
          <w:szCs w:val="22"/>
          <w:lang w:val="hu-HU"/>
        </w:rPr>
        <w:t>as</w:t>
      </w:r>
      <w:r w:rsidRPr="00A530FF">
        <w:rPr>
          <w:sz w:val="22"/>
          <w:szCs w:val="22"/>
          <w:lang w:val="hu-HU"/>
        </w:rPr>
        <w:t xml:space="preserve"> </w:t>
      </w:r>
      <w:r w:rsidR="000B2F69">
        <w:rPr>
          <w:sz w:val="22"/>
          <w:szCs w:val="22"/>
          <w:lang w:val="hu-HU"/>
        </w:rPr>
        <w:t>konfidencia intervallum felső határa</w:t>
      </w:r>
      <w:r w:rsidRPr="00A530FF">
        <w:rPr>
          <w:sz w:val="22"/>
          <w:szCs w:val="22"/>
          <w:lang w:val="hu-HU"/>
        </w:rPr>
        <w:t>: 5,01 ms), a szupraterápiás dózis és a placeb</w:t>
      </w:r>
      <w:r w:rsidR="00441286" w:rsidRPr="00A530FF">
        <w:rPr>
          <w:sz w:val="22"/>
          <w:szCs w:val="22"/>
          <w:lang w:val="hu-HU"/>
        </w:rPr>
        <w:t>o</w:t>
      </w:r>
      <w:r w:rsidRPr="00A530FF">
        <w:rPr>
          <w:sz w:val="22"/>
          <w:szCs w:val="22"/>
          <w:lang w:val="hu-HU"/>
        </w:rPr>
        <w:t xml:space="preserve"> közötti </w:t>
      </w:r>
      <w:r w:rsidR="007F4079" w:rsidRPr="00A530FF">
        <w:rPr>
          <w:sz w:val="22"/>
          <w:szCs w:val="22"/>
          <w:lang w:val="hu-HU"/>
        </w:rPr>
        <w:t>legkisebb négyzete</w:t>
      </w:r>
      <w:r w:rsidR="000B2F69">
        <w:rPr>
          <w:sz w:val="22"/>
          <w:szCs w:val="22"/>
          <w:lang w:val="hu-HU"/>
        </w:rPr>
        <w:t>k</w:t>
      </w:r>
      <w:r w:rsidRPr="00A530FF">
        <w:rPr>
          <w:sz w:val="22"/>
          <w:szCs w:val="22"/>
          <w:lang w:val="hu-HU"/>
        </w:rPr>
        <w:t xml:space="preserve"> átlag</w:t>
      </w:r>
      <w:r w:rsidR="000B2F69">
        <w:rPr>
          <w:sz w:val="22"/>
          <w:szCs w:val="22"/>
          <w:lang w:val="hu-HU"/>
        </w:rPr>
        <w:t>aié</w:t>
      </w:r>
      <w:r w:rsidRPr="00A530FF">
        <w:rPr>
          <w:sz w:val="22"/>
          <w:szCs w:val="22"/>
          <w:lang w:val="hu-HU"/>
        </w:rPr>
        <w:t xml:space="preserve"> pedig 5,23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ms (</w:t>
      </w:r>
      <w:r w:rsidR="007F4079" w:rsidRPr="00A530FF">
        <w:rPr>
          <w:sz w:val="22"/>
          <w:szCs w:val="22"/>
          <w:lang w:val="hu-HU"/>
        </w:rPr>
        <w:t>95%</w:t>
      </w:r>
      <w:r w:rsidR="007F4079" w:rsidRPr="00A530FF">
        <w:rPr>
          <w:sz w:val="22"/>
          <w:szCs w:val="22"/>
          <w:lang w:val="hu-HU"/>
        </w:rPr>
        <w:noBreakHyphen/>
        <w:t xml:space="preserve">os egyoldalas konfidencia </w:t>
      </w:r>
      <w:r w:rsidR="000B2F69">
        <w:rPr>
          <w:sz w:val="22"/>
          <w:szCs w:val="22"/>
          <w:lang w:val="hu-HU"/>
        </w:rPr>
        <w:t xml:space="preserve">intervallum </w:t>
      </w:r>
      <w:r w:rsidR="000B2F69" w:rsidRPr="00A530FF">
        <w:rPr>
          <w:sz w:val="22"/>
          <w:szCs w:val="22"/>
          <w:lang w:val="hu-HU"/>
        </w:rPr>
        <w:t>felső</w:t>
      </w:r>
      <w:r w:rsidR="000B2F69">
        <w:rPr>
          <w:sz w:val="22"/>
          <w:szCs w:val="22"/>
          <w:lang w:val="hu-HU"/>
        </w:rPr>
        <w:t xml:space="preserve"> határa</w:t>
      </w:r>
      <w:r w:rsidRPr="00A530FF">
        <w:rPr>
          <w:sz w:val="22"/>
          <w:szCs w:val="22"/>
          <w:lang w:val="hu-HU"/>
        </w:rPr>
        <w:t xml:space="preserve">: 7,19 ms) volt. A </w:t>
      </w:r>
      <w:r w:rsidR="00FF435F" w:rsidRPr="00A530FF">
        <w:rPr>
          <w:sz w:val="22"/>
          <w:szCs w:val="22"/>
          <w:lang w:val="hu-HU"/>
        </w:rPr>
        <w:t>számítások alapján</w:t>
      </w:r>
      <w:r w:rsidRPr="00A530FF">
        <w:rPr>
          <w:sz w:val="22"/>
          <w:szCs w:val="22"/>
          <w:lang w:val="hu-HU"/>
        </w:rPr>
        <w:t xml:space="preserve"> a Ferriprox nem nyújtja meg </w:t>
      </w:r>
      <w:r w:rsidR="000B2F69">
        <w:rPr>
          <w:sz w:val="22"/>
          <w:szCs w:val="22"/>
          <w:lang w:val="hu-HU"/>
        </w:rPr>
        <w:t>szignifikánsan</w:t>
      </w:r>
      <w:r w:rsidR="000B2F69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a QT-intervallum</w:t>
      </w:r>
      <w:r w:rsidR="00FF435F" w:rsidRPr="00A530FF">
        <w:rPr>
          <w:sz w:val="22"/>
          <w:szCs w:val="22"/>
          <w:lang w:val="hu-HU"/>
        </w:rPr>
        <w:t>ot</w:t>
      </w:r>
      <w:r w:rsidRPr="00A530FF">
        <w:rPr>
          <w:sz w:val="22"/>
          <w:szCs w:val="22"/>
          <w:lang w:val="hu-HU"/>
        </w:rPr>
        <w:t>.</w:t>
      </w:r>
    </w:p>
    <w:p w:rsidR="000F2062" w:rsidRPr="00A530FF" w:rsidRDefault="000F2062" w:rsidP="00697AFF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5.2</w:t>
      </w:r>
      <w:r w:rsidRPr="00A530FF">
        <w:rPr>
          <w:b/>
          <w:sz w:val="22"/>
          <w:szCs w:val="22"/>
          <w:lang w:val="hu-HU"/>
        </w:rPr>
        <w:tab/>
        <w:t>Farmakokinetikai tulajdonságok</w:t>
      </w:r>
    </w:p>
    <w:p w:rsidR="00DA1F84" w:rsidRPr="00A530FF" w:rsidRDefault="00DA1F84" w:rsidP="00193A5D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bCs/>
          <w:iCs/>
          <w:sz w:val="22"/>
          <w:szCs w:val="22"/>
          <w:u w:val="single"/>
          <w:lang w:val="hu-HU"/>
        </w:rPr>
      </w:pPr>
      <w:r w:rsidRPr="00A530FF">
        <w:rPr>
          <w:bCs/>
          <w:iCs/>
          <w:sz w:val="22"/>
          <w:szCs w:val="22"/>
          <w:u w:val="single"/>
          <w:lang w:val="hu-HU"/>
        </w:rPr>
        <w:t>Felszívódás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gyorsan felszívódik a tápcsatorna felső szakaszában. A szérum</w:t>
      </w:r>
      <w:r w:rsidR="000B2F69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csúcskoncentráció 45</w:t>
      </w:r>
      <w:r w:rsidR="00114522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60</w:t>
      </w:r>
      <w:r w:rsidR="000B2F69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perccel a betegnek éhgyomorra adott egyszeri dózis után jelentkezik. Ez akár 2 órát is igénybe vehet teli gyomor esetén.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A530FF">
        <w:rPr>
          <w:rFonts w:ascii="Times New Roman" w:hAnsi="Times New Roman"/>
          <w:szCs w:val="22"/>
          <w:lang w:val="hu-HU"/>
        </w:rPr>
        <w:t>Egy 25 mg/testtömegkilogramm dózist követően alacsonyabb csúcskoncentrációt (85 </w:t>
      </w:r>
      <w:r w:rsidR="000B2F69">
        <w:rPr>
          <w:rFonts w:ascii="Times New Roman" w:hAnsi="Times New Roman"/>
          <w:szCs w:val="22"/>
          <w:lang w:val="hu-HU"/>
        </w:rPr>
        <w:t>mikro</w:t>
      </w:r>
      <w:r w:rsidRPr="00A530FF">
        <w:rPr>
          <w:rFonts w:ascii="Times New Roman" w:hAnsi="Times New Roman"/>
          <w:szCs w:val="22"/>
          <w:lang w:val="hu-HU"/>
        </w:rPr>
        <w:t>mol/l) jegyeztek fel jóllakott betegeknél, mint üres gyomor esetén (126 </w:t>
      </w:r>
      <w:r w:rsidR="000B2F69">
        <w:rPr>
          <w:rFonts w:ascii="Times New Roman" w:hAnsi="Times New Roman"/>
          <w:szCs w:val="22"/>
          <w:lang w:val="hu-HU"/>
        </w:rPr>
        <w:t>mikro</w:t>
      </w:r>
      <w:r w:rsidRPr="00A530FF">
        <w:rPr>
          <w:rFonts w:ascii="Times New Roman" w:hAnsi="Times New Roman"/>
          <w:szCs w:val="22"/>
          <w:lang w:val="hu-HU"/>
        </w:rPr>
        <w:t>mol/l), jóllehet a felszívódó deferipron mennyisége nem csökkent ha azt a táplálékkal együtt adták be.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193A5D">
      <w:pPr>
        <w:keepNext/>
        <w:rPr>
          <w:bCs/>
          <w:iCs/>
          <w:sz w:val="22"/>
          <w:szCs w:val="22"/>
          <w:u w:val="single"/>
          <w:lang w:val="hu-HU"/>
        </w:rPr>
      </w:pPr>
      <w:r w:rsidRPr="00A530FF">
        <w:rPr>
          <w:bCs/>
          <w:iCs/>
          <w:sz w:val="22"/>
          <w:szCs w:val="22"/>
          <w:u w:val="single"/>
          <w:lang w:val="hu-HU"/>
        </w:rPr>
        <w:t>Biotranszformáció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a szervezetben elsősorban glükuronid</w:t>
      </w:r>
      <w:r w:rsidR="000B2F69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konjugáttá metabolizálódik. Ez a metabolit nem képes a vas megkötésére a deferipron 3-hidroxi</w:t>
      </w:r>
      <w:r w:rsidR="000B2F69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csoportjának inaktiválása miatt. A glükuronid csúcskoncentrációja a szérumban 2-3 órával a deferipron alkalmazása után figyelhető meg.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bCs/>
          <w:iCs/>
          <w:sz w:val="22"/>
          <w:szCs w:val="22"/>
          <w:u w:val="single"/>
          <w:lang w:val="hu-HU"/>
        </w:rPr>
      </w:pPr>
      <w:r w:rsidRPr="00A530FF">
        <w:rPr>
          <w:bCs/>
          <w:iCs/>
          <w:sz w:val="22"/>
          <w:szCs w:val="22"/>
          <w:u w:val="single"/>
          <w:lang w:val="hu-HU"/>
        </w:rPr>
        <w:t>Kiválasztás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emberi szervezetben a deferipron elsősorban a vesékben választódik ki, és a feljegyzések szerint az első 24 óra során a bevett dózis 75-90%-a megjelenik a vizeletben szabad deferipron, glükuronid</w:t>
      </w:r>
      <w:r w:rsidR="000B2F69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metabolit és vas-deferipron komplex formájában. Az adatok változó mennyiségű kiürülést mutatnak a székletbe. Az eliminációs felezési idő a betegek többségénél 2-3 óra.</w:t>
      </w:r>
    </w:p>
    <w:p w:rsidR="00DA1F84" w:rsidRDefault="00DA1F84">
      <w:pPr>
        <w:rPr>
          <w:b/>
          <w:sz w:val="22"/>
          <w:szCs w:val="22"/>
          <w:lang w:val="hu-HU"/>
        </w:rPr>
      </w:pPr>
    </w:p>
    <w:p w:rsidR="008A5B48" w:rsidRPr="008A5B48" w:rsidRDefault="008A5B48" w:rsidP="008A5B48">
      <w:pPr>
        <w:keepNext/>
        <w:rPr>
          <w:bCs/>
          <w:sz w:val="22"/>
          <w:szCs w:val="22"/>
          <w:u w:val="single"/>
          <w:lang w:val="hu-HU"/>
        </w:rPr>
      </w:pPr>
      <w:r>
        <w:rPr>
          <w:sz w:val="22"/>
          <w:szCs w:val="22"/>
          <w:u w:val="single"/>
          <w:lang w:val="hu"/>
        </w:rPr>
        <w:t>Vesekárosodás</w:t>
      </w:r>
    </w:p>
    <w:p w:rsidR="008A5B48" w:rsidRPr="008A5B48" w:rsidRDefault="008A5B48" w:rsidP="008A5B48">
      <w:pPr>
        <w:rPr>
          <w:bCs/>
          <w:sz w:val="22"/>
          <w:szCs w:val="22"/>
          <w:lang w:val="hu"/>
        </w:rPr>
      </w:pPr>
      <w:r>
        <w:rPr>
          <w:sz w:val="22"/>
          <w:szCs w:val="22"/>
          <w:lang w:val="hu"/>
        </w:rPr>
        <w:t xml:space="preserve">Nyílt </w:t>
      </w:r>
      <w:r w:rsidR="00717017">
        <w:rPr>
          <w:sz w:val="22"/>
          <w:szCs w:val="22"/>
          <w:lang w:val="hu"/>
        </w:rPr>
        <w:t>elrendezésű</w:t>
      </w:r>
      <w:r>
        <w:rPr>
          <w:sz w:val="22"/>
          <w:szCs w:val="22"/>
          <w:lang w:val="hu"/>
        </w:rPr>
        <w:t>, nem randomizált, párhuzamos csoportos klinikai vizsgálatot végeztek annak érdekében, hogy értékeljék a vesekárosodás hatását a Ferriprox egyszeri 33 mg/</w:t>
      </w:r>
      <w:r w:rsidR="000B2F69">
        <w:rPr>
          <w:sz w:val="22"/>
          <w:szCs w:val="22"/>
          <w:lang w:val="hu"/>
        </w:rPr>
        <w:t>tt</w:t>
      </w:r>
      <w:r>
        <w:rPr>
          <w:sz w:val="22"/>
          <w:szCs w:val="22"/>
          <w:lang w:val="hu"/>
        </w:rPr>
        <w:t>kg orális dózisának biztonságosságára, tolerálhatóságára és farmakokinetikájára. Az alanyokat 4 csoportba sorolták a becsült glomeruláris filtrációs ráta (eGFR) alapján: egészséges önkéntesek (eGFR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≥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90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ml/perc/1,73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), enyhe vesekárosodás (eGFR 60</w:t>
      </w:r>
      <w:r>
        <w:rPr>
          <w:sz w:val="22"/>
          <w:szCs w:val="22"/>
          <w:lang w:val="hu"/>
        </w:rPr>
        <w:noBreakHyphen/>
        <w:t>89 ml/perc/1,73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), közepesen súlyos vesekárosodás (eGFR 30</w:t>
      </w:r>
      <w:r w:rsidR="00FC7378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59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ml/perc/1,73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 és súlyos vesekárosodás (eGFR 15</w:t>
      </w:r>
      <w:r w:rsidR="00FC7378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29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ml/perc/1,73</w:t>
      </w:r>
      <w:r w:rsidR="00FC7378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). A deferipron és a deferipron 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</w:t>
      </w:r>
      <w:r w:rsidR="000B2F69">
        <w:rPr>
          <w:sz w:val="22"/>
          <w:szCs w:val="22"/>
          <w:lang w:val="hu"/>
        </w:rPr>
        <w:t>-</w:t>
      </w:r>
      <w:r>
        <w:rPr>
          <w:sz w:val="22"/>
          <w:szCs w:val="22"/>
          <w:lang w:val="hu"/>
        </w:rPr>
        <w:t>metabolitjának szisztémás expozícióját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és AUC PK-paraméterek alapján értékelték.</w:t>
      </w:r>
    </w:p>
    <w:p w:rsidR="008A5B48" w:rsidRPr="008A5B48" w:rsidRDefault="008A5B48" w:rsidP="008A5B48">
      <w:pPr>
        <w:rPr>
          <w:bCs/>
          <w:sz w:val="22"/>
          <w:szCs w:val="22"/>
          <w:lang w:val="hu"/>
        </w:rPr>
      </w:pPr>
    </w:p>
    <w:p w:rsidR="008A5B48" w:rsidRPr="008A5B48" w:rsidRDefault="008A5B48" w:rsidP="008A5B48">
      <w:pPr>
        <w:rPr>
          <w:bCs/>
          <w:sz w:val="22"/>
          <w:szCs w:val="22"/>
          <w:lang w:val="hu"/>
        </w:rPr>
      </w:pPr>
      <w:r>
        <w:rPr>
          <w:sz w:val="22"/>
          <w:szCs w:val="22"/>
          <w:lang w:val="hu"/>
        </w:rPr>
        <w:t>A vesekárosodás mértékétől függetlenül a Ferriprox adagjának nagy része az első 24 órában a vizelettel ürült deferipron-3-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 formájában. A vesekárosodás hatása a deferipron szisztémás expozíciójára nem volt szignifikáns. Az inaktív 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 szisztémás expozíciója az eGFR csökkenésével nőtt. A vizsgálat eredményei alapján a vesekárosodásban szenvedő betegeknél a Ferriprox adagolási rendjét nem kell külön beállítani. A Ferriprox biztonságossága és farmakokinetikája a végstádiumú vesebetegségben szenvedő betegeknél nem ismert.</w:t>
      </w:r>
    </w:p>
    <w:p w:rsidR="008A5B48" w:rsidRPr="008A5B48" w:rsidRDefault="008A5B48" w:rsidP="008A5B48">
      <w:pPr>
        <w:rPr>
          <w:bCs/>
          <w:sz w:val="22"/>
          <w:szCs w:val="22"/>
          <w:lang w:val="hu"/>
        </w:rPr>
      </w:pPr>
    </w:p>
    <w:p w:rsidR="008A5B48" w:rsidRPr="008A5B48" w:rsidRDefault="008A5B48" w:rsidP="008A5B48">
      <w:pPr>
        <w:keepNext/>
        <w:rPr>
          <w:bCs/>
          <w:sz w:val="22"/>
          <w:szCs w:val="22"/>
          <w:u w:val="single"/>
          <w:lang w:val="hu"/>
        </w:rPr>
      </w:pPr>
      <w:r>
        <w:rPr>
          <w:sz w:val="22"/>
          <w:szCs w:val="22"/>
          <w:u w:val="single"/>
          <w:lang w:val="hu"/>
        </w:rPr>
        <w:t>Májkárosodás</w:t>
      </w:r>
    </w:p>
    <w:p w:rsidR="008A5B48" w:rsidRPr="008A5B48" w:rsidRDefault="008A5B48" w:rsidP="008A5B48">
      <w:pPr>
        <w:rPr>
          <w:bCs/>
          <w:sz w:val="22"/>
          <w:szCs w:val="22"/>
          <w:lang w:val="hu"/>
        </w:rPr>
      </w:pPr>
      <w:r>
        <w:rPr>
          <w:sz w:val="22"/>
          <w:szCs w:val="22"/>
          <w:lang w:val="hu"/>
        </w:rPr>
        <w:t xml:space="preserve">Nyílt </w:t>
      </w:r>
      <w:r w:rsidR="00717017">
        <w:rPr>
          <w:sz w:val="22"/>
          <w:szCs w:val="22"/>
          <w:lang w:val="hu"/>
        </w:rPr>
        <w:t>elrendezésű</w:t>
      </w:r>
      <w:r>
        <w:rPr>
          <w:sz w:val="22"/>
          <w:szCs w:val="22"/>
          <w:lang w:val="hu"/>
        </w:rPr>
        <w:t>, nem randomizált, párhuzamos csoportos klinikai vizsgálatot végeztek annak érdekében, hogy értékeljék a májkárosodás hatását a Ferriprox egyszeri 33 mg/</w:t>
      </w:r>
      <w:r w:rsidR="000B2F69">
        <w:rPr>
          <w:sz w:val="22"/>
          <w:szCs w:val="22"/>
          <w:lang w:val="hu"/>
        </w:rPr>
        <w:t>tt</w:t>
      </w:r>
      <w:r>
        <w:rPr>
          <w:sz w:val="22"/>
          <w:szCs w:val="22"/>
          <w:lang w:val="hu"/>
        </w:rPr>
        <w:t>kg orális dózisának biztonságosságára, tolerálhatóságára és farmakokinetikájára. Az alanyokat a Child-Pugh-féle pontrendszer alapján 3 csoportba sorolták: egészséges önkéntesek, enyhe májkárosodás (A</w:t>
      </w:r>
      <w:r w:rsidR="00D4322B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osztály: 5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6</w:t>
      </w:r>
      <w:r w:rsidR="00D4322B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pont) és közepesen súlyos májkárosodás (B</w:t>
      </w:r>
      <w:r w:rsidR="00D4322B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osztály: 7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9</w:t>
      </w:r>
      <w:r w:rsidR="00D4322B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pont). A deferipron és a deferipron 3</w:t>
      </w:r>
      <w:r w:rsidR="00D4322B">
        <w:rPr>
          <w:sz w:val="22"/>
          <w:szCs w:val="22"/>
          <w:lang w:val="hu"/>
        </w:rPr>
        <w:noBreakHyphen/>
      </w:r>
      <w:r>
        <w:rPr>
          <w:i/>
          <w:iCs/>
          <w:sz w:val="22"/>
          <w:szCs w:val="22"/>
          <w:lang w:val="hu"/>
        </w:rPr>
        <w:t>O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glükuronid</w:t>
      </w:r>
      <w:r w:rsidR="000B2F69">
        <w:rPr>
          <w:sz w:val="22"/>
          <w:szCs w:val="22"/>
          <w:lang w:val="hu"/>
        </w:rPr>
        <w:t>-</w:t>
      </w:r>
      <w:r>
        <w:rPr>
          <w:sz w:val="22"/>
          <w:szCs w:val="22"/>
          <w:lang w:val="hu"/>
        </w:rPr>
        <w:t>metabolitjának szisztémás expozícióját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és AUC PK-paraméterek alapján értékelték. A deferipron AUC-értéke</w:t>
      </w:r>
      <w:r w:rsidR="00D4322B">
        <w:rPr>
          <w:sz w:val="22"/>
          <w:szCs w:val="22"/>
          <w:lang w:val="hu"/>
        </w:rPr>
        <w:t>i</w:t>
      </w:r>
      <w:r>
        <w:rPr>
          <w:sz w:val="22"/>
          <w:szCs w:val="22"/>
          <w:lang w:val="hu"/>
        </w:rPr>
        <w:t xml:space="preserve"> nem különböztek a kezelési csoportoknál, de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értéke 20%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kal kisebb volt az enyhe vagy közepesen súlyos májkárosodásban szenvedő betegeknél, mint az egészséges önkénteseknél. A deferipron-3-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 AUC-értéke 10%-kal és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értéke 20%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kal kisebb volt az enyhe vagy közepesen súlyos májkárosodásban szenvedő betegeknél, mint az egészséges önkénteseknél. Egy közepesen súlyos májkárosodásban szenvedő személynél súlyos akut máj- és vesekárosodás jelentkezett. A vizsgálat eredményei alapján az enyhe vagy közepesen súlyos májkárosodásban szenvedő betegeknél a Ferriprox adagolási rendjét nem kell külön beállítani.</w:t>
      </w:r>
    </w:p>
    <w:p w:rsidR="008A5B48" w:rsidRPr="008A5B48" w:rsidRDefault="008A5B48" w:rsidP="008A5B48">
      <w:pPr>
        <w:rPr>
          <w:bCs/>
          <w:sz w:val="22"/>
          <w:szCs w:val="22"/>
          <w:lang w:val="hu"/>
        </w:rPr>
      </w:pPr>
    </w:p>
    <w:p w:rsidR="008A5B48" w:rsidRDefault="008A5B48" w:rsidP="008A5B48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"/>
        </w:rPr>
        <w:t>A súlyos májkárosodásnak a deferipron és a deferipron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3</w:t>
      </w:r>
      <w:r>
        <w:rPr>
          <w:sz w:val="22"/>
          <w:szCs w:val="22"/>
          <w:lang w:val="hu"/>
        </w:rPr>
        <w:noBreakHyphen/>
      </w:r>
      <w:r>
        <w:rPr>
          <w:i/>
          <w:iCs/>
          <w:sz w:val="22"/>
          <w:szCs w:val="22"/>
          <w:lang w:val="hu"/>
        </w:rPr>
        <w:t>O</w:t>
      </w:r>
      <w:r w:rsidR="00D4322B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glükuronid farmakokinetikájára gyakorolt hatását nem vizsgálták. A Ferriprox biztonságossága és farmakokinetikája a súlyos májkárosodásban szenvedő betegeknél nem ismert.</w:t>
      </w:r>
    </w:p>
    <w:p w:rsidR="008A5B48" w:rsidRPr="00A530FF" w:rsidRDefault="008A5B48" w:rsidP="008A5B48">
      <w:pPr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5.3</w:t>
      </w:r>
      <w:r w:rsidRPr="00A530FF">
        <w:rPr>
          <w:b/>
          <w:sz w:val="22"/>
          <w:szCs w:val="22"/>
          <w:lang w:val="hu-HU"/>
        </w:rPr>
        <w:tab/>
        <w:t>A preklinikai biztonságossági vizsgálatok eredményei</w:t>
      </w:r>
    </w:p>
    <w:p w:rsidR="00DA1F84" w:rsidRPr="00A530FF" w:rsidRDefault="00DA1F84" w:rsidP="00193A5D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klinikai vizsgálatokat végeztek állatokon, többek között egereken, patkányokon, nyulakon, kutyákon és majmokon.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vassal nem terhelt állatokban 100 mg/testtömegkilogramm/nap</w:t>
      </w:r>
      <w:r w:rsidR="007113AE">
        <w:rPr>
          <w:sz w:val="22"/>
          <w:szCs w:val="22"/>
          <w:lang w:val="hu-HU"/>
        </w:rPr>
        <w:t>, illetve</w:t>
      </w:r>
      <w:r w:rsidRPr="00A530FF">
        <w:rPr>
          <w:sz w:val="22"/>
          <w:szCs w:val="22"/>
          <w:lang w:val="hu-HU"/>
        </w:rPr>
        <w:t xml:space="preserve"> ennél magasabb dózis</w:t>
      </w:r>
      <w:r w:rsidR="007113AE">
        <w:rPr>
          <w:sz w:val="22"/>
          <w:szCs w:val="22"/>
          <w:lang w:val="hu-HU"/>
        </w:rPr>
        <w:t xml:space="preserve"> esetén</w:t>
      </w:r>
      <w:r w:rsidRPr="00A530FF">
        <w:rPr>
          <w:sz w:val="22"/>
          <w:szCs w:val="22"/>
          <w:lang w:val="hu-HU"/>
        </w:rPr>
        <w:t xml:space="preserve"> a leggyakrabban haematológiai elváltozások voltak megfigyelhetők, úgymint a csontvelő hypocellularitása, a perifériás vérben csökkent fehérvérsejt-, csökkent vörösvérsejt-, és/vagy csökkent thrombocytaszám.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vassal nem terhelt állatoknál 100 mg/testtömegkilogramm/nap dózisnál és ennél magasabb dózisban megfigyelhető volt a csecsemőmirigy, a nyirokszövetek és a herék atrófiája, valamint a mellékvese hipertrófiája.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deferipron rákkeltő hatását állatkísérletekben nem vizsgálták. A deferipron genotoxikus hatását több </w:t>
      </w:r>
      <w:r w:rsidRPr="00A530FF">
        <w:rPr>
          <w:i/>
          <w:iCs/>
          <w:sz w:val="22"/>
          <w:szCs w:val="22"/>
          <w:lang w:val="hu-HU"/>
        </w:rPr>
        <w:t>in vitro</w:t>
      </w:r>
      <w:r w:rsidRPr="00A530FF">
        <w:rPr>
          <w:sz w:val="22"/>
          <w:szCs w:val="22"/>
          <w:lang w:val="hu-HU"/>
        </w:rPr>
        <w:t xml:space="preserve"> és </w:t>
      </w:r>
      <w:r w:rsidRPr="00A530FF">
        <w:rPr>
          <w:i/>
          <w:iCs/>
          <w:sz w:val="22"/>
          <w:szCs w:val="22"/>
          <w:lang w:val="hu-HU"/>
        </w:rPr>
        <w:t>in vivo</w:t>
      </w:r>
      <w:r w:rsidRPr="00A530FF">
        <w:rPr>
          <w:sz w:val="22"/>
          <w:szCs w:val="22"/>
          <w:lang w:val="hu-HU"/>
        </w:rPr>
        <w:t xml:space="preserve"> tesztben vizsgálták. A deferipron nem mutatott direkt mutagén hatást, azonban </w:t>
      </w:r>
      <w:r w:rsidRPr="00A530FF">
        <w:rPr>
          <w:i/>
          <w:iCs/>
          <w:sz w:val="22"/>
          <w:szCs w:val="22"/>
          <w:lang w:val="hu-HU"/>
        </w:rPr>
        <w:t>in vitro</w:t>
      </w:r>
      <w:r w:rsidRPr="00A530FF">
        <w:rPr>
          <w:sz w:val="22"/>
          <w:szCs w:val="22"/>
          <w:lang w:val="hu-HU"/>
        </w:rPr>
        <w:t xml:space="preserve"> tesztekben és állatkísérletekben klasztogén tulajdonságai voltak.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670BDF" w:rsidRPr="00A530FF" w:rsidRDefault="00DA1F84" w:rsidP="000D64A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Reproduktív kísérletekben nem vasterhelt </w:t>
      </w:r>
      <w:r w:rsidR="00670BDF" w:rsidRPr="00A530FF">
        <w:rPr>
          <w:sz w:val="22"/>
          <w:szCs w:val="22"/>
          <w:lang w:val="hu-HU"/>
        </w:rPr>
        <w:t xml:space="preserve">vemhes </w:t>
      </w:r>
      <w:r w:rsidRPr="00A530FF">
        <w:rPr>
          <w:sz w:val="22"/>
          <w:szCs w:val="22"/>
          <w:lang w:val="hu-HU"/>
        </w:rPr>
        <w:t>patkányok és nyulak esetében</w:t>
      </w:r>
      <w:r w:rsidR="007113AE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25 mg/testtömegkilogramm/nap dózisnál a deferipron teratogén és embriotoxikus hatást mutatott.</w:t>
      </w:r>
      <w:r w:rsidR="00670BDF" w:rsidRPr="00A530FF">
        <w:rPr>
          <w:sz w:val="22"/>
          <w:szCs w:val="22"/>
          <w:lang w:val="hu-HU"/>
        </w:rPr>
        <w:t xml:space="preserve"> </w:t>
      </w:r>
      <w:r w:rsidR="00615F93" w:rsidRPr="00A530FF">
        <w:rPr>
          <w:sz w:val="22"/>
          <w:szCs w:val="22"/>
          <w:lang w:val="hu-HU"/>
        </w:rPr>
        <w:t>Nem vasterhelt hím és nőstény patkányok</w:t>
      </w:r>
      <w:r w:rsidR="0028371D" w:rsidRPr="00A530FF">
        <w:rPr>
          <w:sz w:val="22"/>
          <w:szCs w:val="22"/>
          <w:lang w:val="hu-HU"/>
        </w:rPr>
        <w:t>nál</w:t>
      </w:r>
      <w:r w:rsidR="00615F93" w:rsidRPr="00A530FF">
        <w:rPr>
          <w:sz w:val="22"/>
          <w:szCs w:val="22"/>
          <w:lang w:val="hu-HU"/>
        </w:rPr>
        <w:t>, amelyek napi kétszeri 75</w:t>
      </w:r>
      <w:r w:rsidR="000D64AF">
        <w:rPr>
          <w:sz w:val="22"/>
          <w:szCs w:val="22"/>
          <w:lang w:val="hu-HU"/>
        </w:rPr>
        <w:t> </w:t>
      </w:r>
      <w:r w:rsidR="00615F93" w:rsidRPr="00A530FF">
        <w:rPr>
          <w:sz w:val="22"/>
          <w:szCs w:val="22"/>
          <w:lang w:val="hu-HU"/>
        </w:rPr>
        <w:t>mg/</w:t>
      </w:r>
      <w:r w:rsidR="007113AE">
        <w:rPr>
          <w:sz w:val="22"/>
          <w:szCs w:val="22"/>
          <w:lang w:val="hu-HU"/>
        </w:rPr>
        <w:t>tt</w:t>
      </w:r>
      <w:r w:rsidR="00615F93" w:rsidRPr="00A530FF">
        <w:rPr>
          <w:sz w:val="22"/>
          <w:szCs w:val="22"/>
          <w:lang w:val="hu-HU"/>
        </w:rPr>
        <w:t>kg deferip</w:t>
      </w:r>
      <w:r w:rsidR="00E27718">
        <w:rPr>
          <w:sz w:val="22"/>
          <w:szCs w:val="22"/>
          <w:lang w:val="hu-HU"/>
        </w:rPr>
        <w:t>r</w:t>
      </w:r>
      <w:r w:rsidR="00615F93" w:rsidRPr="00A530FF">
        <w:rPr>
          <w:sz w:val="22"/>
          <w:szCs w:val="22"/>
          <w:lang w:val="hu-HU"/>
        </w:rPr>
        <w:t>on</w:t>
      </w:r>
      <w:r w:rsidR="00AE0F19" w:rsidRPr="00A530FF">
        <w:rPr>
          <w:sz w:val="22"/>
          <w:szCs w:val="22"/>
          <w:lang w:val="hu-HU"/>
        </w:rPr>
        <w:t>t</w:t>
      </w:r>
      <w:r w:rsidR="00615F93" w:rsidRPr="00A530FF">
        <w:rPr>
          <w:sz w:val="22"/>
          <w:szCs w:val="22"/>
          <w:lang w:val="hu-HU"/>
        </w:rPr>
        <w:t xml:space="preserve"> </w:t>
      </w:r>
      <w:r w:rsidR="00AE0F19" w:rsidRPr="00A530FF">
        <w:rPr>
          <w:sz w:val="22"/>
          <w:szCs w:val="22"/>
          <w:lang w:val="hu-HU"/>
        </w:rPr>
        <w:t>kaptak</w:t>
      </w:r>
      <w:r w:rsidR="002B58D6" w:rsidRPr="00A530FF">
        <w:rPr>
          <w:sz w:val="22"/>
          <w:szCs w:val="22"/>
          <w:lang w:val="hu-HU"/>
        </w:rPr>
        <w:t>,</w:t>
      </w:r>
      <w:r w:rsidR="00615F93" w:rsidRPr="00A530FF">
        <w:rPr>
          <w:sz w:val="22"/>
          <w:szCs w:val="22"/>
          <w:lang w:val="hu-HU"/>
        </w:rPr>
        <w:t xml:space="preserve"> hímek esetében 28</w:t>
      </w:r>
      <w:r w:rsidR="008E4B21" w:rsidRPr="00A530FF">
        <w:rPr>
          <w:sz w:val="22"/>
          <w:szCs w:val="22"/>
          <w:lang w:val="hu-HU"/>
        </w:rPr>
        <w:t xml:space="preserve"> nappal, nőstények esetében két héttel a párzást megelőző időponttól a</w:t>
      </w:r>
      <w:r w:rsidR="002B58D6" w:rsidRPr="00A530FF">
        <w:rPr>
          <w:sz w:val="22"/>
          <w:szCs w:val="22"/>
          <w:lang w:val="hu-HU"/>
        </w:rPr>
        <w:t xml:space="preserve"> </w:t>
      </w:r>
      <w:r w:rsidR="008E4B21" w:rsidRPr="00A530FF">
        <w:rPr>
          <w:sz w:val="22"/>
          <w:szCs w:val="22"/>
          <w:lang w:val="hu-HU"/>
        </w:rPr>
        <w:t>kísérlet végéig (hímek)</w:t>
      </w:r>
      <w:r w:rsidR="002B58D6" w:rsidRPr="00A530FF">
        <w:rPr>
          <w:sz w:val="22"/>
          <w:szCs w:val="22"/>
          <w:lang w:val="hu-HU"/>
        </w:rPr>
        <w:t>,</w:t>
      </w:r>
      <w:r w:rsidR="008E4B21" w:rsidRPr="00A530FF">
        <w:rPr>
          <w:sz w:val="22"/>
          <w:szCs w:val="22"/>
          <w:lang w:val="hu-HU"/>
        </w:rPr>
        <w:t xml:space="preserve"> illetve a vemhesség korai szakaszának végéig (nőstények), nem észleltek a termékenységre vagy a korai embrionális fejlődésre gyakorolt hatásokat. Nőstényekben</w:t>
      </w:r>
      <w:r w:rsidR="001A12C0" w:rsidRPr="00A530FF">
        <w:rPr>
          <w:sz w:val="22"/>
          <w:szCs w:val="22"/>
          <w:lang w:val="hu-HU"/>
        </w:rPr>
        <w:t xml:space="preserve"> egy</w:t>
      </w:r>
      <w:r w:rsidR="00B87C11" w:rsidRPr="00A530FF">
        <w:rPr>
          <w:sz w:val="22"/>
          <w:szCs w:val="22"/>
          <w:lang w:val="hu-HU"/>
        </w:rPr>
        <w:t>,</w:t>
      </w:r>
      <w:r w:rsidR="001A12C0" w:rsidRPr="00A530FF">
        <w:rPr>
          <w:sz w:val="22"/>
          <w:szCs w:val="22"/>
          <w:lang w:val="hu-HU"/>
        </w:rPr>
        <w:t xml:space="preserve"> az ösztrusz-ciklusra kifejtett hatás minden vizsgált adag mellett megnyújtotta az igazolt párzásig eltelő időt.</w:t>
      </w:r>
    </w:p>
    <w:p w:rsidR="00670BDF" w:rsidRPr="00A530FF" w:rsidRDefault="00670BDF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végeztek sem praenatalis, sem postnatalis reproduktív állatkísérleteket.</w:t>
      </w: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 w:rsidP="00BE2D92">
      <w:pPr>
        <w:keepNext/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6.</w:t>
      </w:r>
      <w:r w:rsidRPr="00A530FF">
        <w:rPr>
          <w:b/>
          <w:caps/>
          <w:sz w:val="22"/>
          <w:szCs w:val="22"/>
          <w:lang w:val="hu-HU"/>
        </w:rPr>
        <w:tab/>
        <w:t>gyógyszerészeti jellemzők</w:t>
      </w:r>
    </w:p>
    <w:p w:rsidR="00DA1F84" w:rsidRPr="00A530FF" w:rsidRDefault="00DA1F84" w:rsidP="00BE2D92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BE2D92">
      <w:pPr>
        <w:keepNext/>
        <w:tabs>
          <w:tab w:val="left" w:pos="567"/>
        </w:tabs>
        <w:ind w:left="570" w:hanging="570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6.1</w:t>
      </w:r>
      <w:r w:rsidRPr="00A530FF">
        <w:rPr>
          <w:b/>
          <w:sz w:val="22"/>
          <w:szCs w:val="22"/>
          <w:lang w:val="hu-HU"/>
        </w:rPr>
        <w:tab/>
        <w:t>Segédanyagok felsorolása</w:t>
      </w:r>
    </w:p>
    <w:p w:rsidR="00DA1F84" w:rsidRPr="00A530FF" w:rsidRDefault="00DA1F84" w:rsidP="00BE2D92">
      <w:pPr>
        <w:keepNext/>
        <w:rPr>
          <w:b/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Pr="00B86235" w:rsidRDefault="00DA1F84" w:rsidP="00BE2D92">
      <w:pPr>
        <w:keepNext/>
        <w:rPr>
          <w:bCs/>
          <w:i/>
          <w:iCs/>
          <w:sz w:val="22"/>
          <w:szCs w:val="22"/>
          <w:lang w:val="hu-HU"/>
        </w:rPr>
      </w:pPr>
      <w:r w:rsidRPr="00B86235">
        <w:rPr>
          <w:bCs/>
          <w:i/>
          <w:iCs/>
          <w:sz w:val="22"/>
          <w:szCs w:val="22"/>
          <w:lang w:val="hu-HU"/>
        </w:rPr>
        <w:t>Tablettamag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Mikrokristályos cellulóz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Magnézium-sztearát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Kolloid szilícium-dioxid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B86235" w:rsidRDefault="00DA1F84" w:rsidP="00B86235">
      <w:pPr>
        <w:keepNext/>
        <w:rPr>
          <w:bCs/>
          <w:i/>
          <w:iCs/>
          <w:sz w:val="22"/>
          <w:szCs w:val="22"/>
          <w:lang w:val="hu-HU"/>
        </w:rPr>
      </w:pPr>
      <w:r w:rsidRPr="00B86235">
        <w:rPr>
          <w:bCs/>
          <w:i/>
          <w:iCs/>
          <w:sz w:val="22"/>
          <w:szCs w:val="22"/>
          <w:lang w:val="hu-HU"/>
        </w:rPr>
        <w:t>Bevonat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Hipromellóz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Makrogol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Titán-dioxid</w:t>
      </w:r>
    </w:p>
    <w:p w:rsidR="00DA1F84" w:rsidRDefault="00DA1F84">
      <w:pPr>
        <w:rPr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B86235" w:rsidRPr="00B86235" w:rsidRDefault="00B86235" w:rsidP="00B86235">
      <w:pPr>
        <w:keepNext/>
        <w:rPr>
          <w:bCs/>
          <w:i/>
          <w:iCs/>
          <w:sz w:val="22"/>
          <w:szCs w:val="22"/>
          <w:lang w:val="hu-HU"/>
        </w:rPr>
      </w:pPr>
      <w:r w:rsidRPr="00B86235">
        <w:rPr>
          <w:bCs/>
          <w:i/>
          <w:iCs/>
          <w:sz w:val="22"/>
          <w:szCs w:val="22"/>
          <w:lang w:val="hu-HU"/>
        </w:rPr>
        <w:t>Tablettamag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Metilcellulóz USP A15LV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Kroszpovidon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Magnézium-sztearát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</w:p>
    <w:p w:rsidR="00B86235" w:rsidRPr="00B86235" w:rsidRDefault="00B86235" w:rsidP="00B86235">
      <w:pPr>
        <w:keepNext/>
        <w:rPr>
          <w:bCs/>
          <w:i/>
          <w:iCs/>
          <w:sz w:val="22"/>
          <w:szCs w:val="22"/>
          <w:lang w:val="hu-HU"/>
        </w:rPr>
      </w:pPr>
      <w:r w:rsidRPr="00B86235">
        <w:rPr>
          <w:bCs/>
          <w:i/>
          <w:iCs/>
          <w:sz w:val="22"/>
          <w:szCs w:val="22"/>
          <w:lang w:val="hu-HU"/>
        </w:rPr>
        <w:t>Bevonat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Hipromellóz 2910 USP/EP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Hidroxipropilcellulóz</w:t>
      </w:r>
    </w:p>
    <w:p w:rsidR="00B86235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Makrogol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Titán-dioxid</w:t>
      </w:r>
    </w:p>
    <w:p w:rsidR="00B86235" w:rsidRPr="00A530FF" w:rsidRDefault="00B86235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6.2</w:t>
      </w:r>
      <w:r w:rsidRPr="00A530FF">
        <w:rPr>
          <w:b/>
          <w:sz w:val="22"/>
          <w:szCs w:val="22"/>
          <w:lang w:val="hu-HU"/>
        </w:rPr>
        <w:tab/>
        <w:t>Inkompatibilitások</w:t>
      </w:r>
    </w:p>
    <w:p w:rsidR="00DA1F84" w:rsidRPr="00A530FF" w:rsidRDefault="00DA1F84" w:rsidP="00193A5D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6.3</w:t>
      </w:r>
      <w:r w:rsidRPr="00A530FF">
        <w:rPr>
          <w:b/>
          <w:sz w:val="22"/>
          <w:szCs w:val="22"/>
          <w:lang w:val="hu-HU"/>
        </w:rPr>
        <w:tab/>
        <w:t>Felhasználhatósági időtartam</w:t>
      </w:r>
    </w:p>
    <w:p w:rsidR="00DA1F84" w:rsidRPr="00A530FF" w:rsidRDefault="00DA1F84" w:rsidP="00193A5D">
      <w:pPr>
        <w:keepNext/>
        <w:rPr>
          <w:b/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5 év</w:t>
      </w:r>
      <w:r w:rsidR="00DA5480" w:rsidRPr="00A530FF">
        <w:rPr>
          <w:sz w:val="22"/>
          <w:szCs w:val="22"/>
          <w:lang w:val="hu-HU"/>
        </w:rPr>
        <w:t>.</w:t>
      </w:r>
    </w:p>
    <w:p w:rsidR="00B86235" w:rsidRPr="00A530FF" w:rsidRDefault="00B86235">
      <w:pPr>
        <w:rPr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B86235" w:rsidRPr="00A530FF" w:rsidRDefault="00997E7D" w:rsidP="00B86235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4</w:t>
      </w:r>
      <w:r w:rsidR="00B86235" w:rsidRPr="00A530FF">
        <w:rPr>
          <w:sz w:val="22"/>
          <w:szCs w:val="22"/>
          <w:lang w:val="hu-HU"/>
        </w:rPr>
        <w:t xml:space="preserve"> év.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Felbontás után 50 napon belül felhasználandó.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6.4</w:t>
      </w:r>
      <w:r w:rsidRPr="00A530FF">
        <w:rPr>
          <w:b/>
          <w:sz w:val="22"/>
          <w:szCs w:val="22"/>
          <w:lang w:val="hu-HU"/>
        </w:rPr>
        <w:tab/>
        <w:t>Különleges tárolási előírások</w:t>
      </w:r>
    </w:p>
    <w:p w:rsidR="00DA1F84" w:rsidRPr="00A530FF" w:rsidRDefault="00DA1F84" w:rsidP="00193A5D">
      <w:pPr>
        <w:keepNext/>
        <w:rPr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30ºC-on tárolandó.</w:t>
      </w:r>
    </w:p>
    <w:p w:rsidR="00B86235" w:rsidRPr="00A530FF" w:rsidRDefault="00B86235">
      <w:pPr>
        <w:rPr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30ºC-on tárolandó.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noProof/>
          <w:sz w:val="22"/>
          <w:szCs w:val="22"/>
          <w:lang w:val="hu-HU"/>
        </w:rPr>
        <w:t>A nedvességtől való védelem érdekében a tartályt tarsa jól lezárva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6.5</w:t>
      </w:r>
      <w:r w:rsidRPr="00A530FF">
        <w:rPr>
          <w:b/>
          <w:sz w:val="22"/>
          <w:szCs w:val="22"/>
          <w:lang w:val="hu-HU"/>
        </w:rPr>
        <w:tab/>
        <w:t>Csomagolás típusa és kiszerelése</w:t>
      </w:r>
    </w:p>
    <w:p w:rsidR="00DA1F84" w:rsidRPr="00A530FF" w:rsidRDefault="00DA1F84" w:rsidP="00193A5D">
      <w:pPr>
        <w:keepNext/>
        <w:rPr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Pr="00A530FF" w:rsidRDefault="00B856BC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</w:t>
      </w:r>
      <w:r w:rsidRPr="00A530FF">
        <w:rPr>
          <w:sz w:val="22"/>
          <w:szCs w:val="22"/>
          <w:lang w:val="hu-HU"/>
        </w:rPr>
        <w:t>agysűrűségű polietilén</w:t>
      </w:r>
      <w:r w:rsidR="00AC2454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(</w:t>
      </w:r>
      <w:r w:rsidR="00DA1F84" w:rsidRPr="00A530FF">
        <w:rPr>
          <w:sz w:val="22"/>
          <w:szCs w:val="22"/>
          <w:lang w:val="hu-HU"/>
        </w:rPr>
        <w:t>HDPE</w:t>
      </w:r>
      <w:r>
        <w:rPr>
          <w:sz w:val="22"/>
          <w:szCs w:val="22"/>
          <w:lang w:val="hu-HU"/>
        </w:rPr>
        <w:t>)</w:t>
      </w:r>
      <w:r w:rsidR="00DA1F84" w:rsidRPr="00A530FF">
        <w:rPr>
          <w:sz w:val="22"/>
          <w:szCs w:val="22"/>
          <w:lang w:val="hu-HU"/>
        </w:rPr>
        <w:t xml:space="preserve"> palack, gyermekbiztonsági </w:t>
      </w:r>
      <w:r w:rsidRPr="00A530FF">
        <w:rPr>
          <w:sz w:val="22"/>
          <w:szCs w:val="22"/>
          <w:lang w:val="hu-HU"/>
        </w:rPr>
        <w:t>polipropilén záró</w:t>
      </w:r>
      <w:r w:rsidR="00DA1F84" w:rsidRPr="00A530FF">
        <w:rPr>
          <w:sz w:val="22"/>
          <w:szCs w:val="22"/>
          <w:lang w:val="hu-HU"/>
        </w:rPr>
        <w:t>kupakkal.</w:t>
      </w:r>
    </w:p>
    <w:p w:rsidR="00DA1F84" w:rsidRPr="00A530FF" w:rsidRDefault="00B856BC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tartály </w:t>
      </w:r>
      <w:r>
        <w:rPr>
          <w:sz w:val="22"/>
          <w:szCs w:val="22"/>
          <w:lang w:val="hu-HU"/>
        </w:rPr>
        <w:t>10</w:t>
      </w:r>
      <w:r w:rsidRPr="00A530FF">
        <w:rPr>
          <w:sz w:val="22"/>
          <w:szCs w:val="22"/>
          <w:lang w:val="hu-HU"/>
        </w:rPr>
        <w:t xml:space="preserve">0 </w:t>
      </w:r>
      <w:r w:rsidR="004C1AC8">
        <w:rPr>
          <w:sz w:val="22"/>
          <w:szCs w:val="22"/>
          <w:lang w:val="hu-HU"/>
        </w:rPr>
        <w:t xml:space="preserve">db </w:t>
      </w:r>
      <w:r w:rsidRPr="00A530FF">
        <w:rPr>
          <w:sz w:val="22"/>
          <w:szCs w:val="22"/>
          <w:lang w:val="hu-HU"/>
        </w:rPr>
        <w:t>tablettát tartalmaz</w:t>
      </w:r>
      <w:r w:rsidR="00DA1F84" w:rsidRPr="00A530FF">
        <w:rPr>
          <w:sz w:val="22"/>
          <w:szCs w:val="22"/>
          <w:lang w:val="hu-HU"/>
        </w:rPr>
        <w:t>.</w:t>
      </w:r>
    </w:p>
    <w:p w:rsidR="00B86235" w:rsidRDefault="00B86235" w:rsidP="00B86235">
      <w:pPr>
        <w:rPr>
          <w:sz w:val="22"/>
          <w:szCs w:val="22"/>
          <w:u w:val="single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326F59" w:rsidRPr="00A530FF" w:rsidRDefault="00B856BC" w:rsidP="00326F59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</w:t>
      </w:r>
      <w:r w:rsidRPr="00A530FF">
        <w:rPr>
          <w:sz w:val="22"/>
          <w:szCs w:val="22"/>
          <w:lang w:val="hu-HU"/>
        </w:rPr>
        <w:t>agysűrűségű polietilén</w:t>
      </w:r>
      <w:r w:rsidR="00AC2454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 xml:space="preserve"> (HDPE)</w:t>
      </w:r>
      <w:r>
        <w:rPr>
          <w:sz w:val="22"/>
          <w:szCs w:val="22"/>
          <w:lang w:val="hu-HU"/>
        </w:rPr>
        <w:t xml:space="preserve"> palack, gyermekbiztonsági</w:t>
      </w:r>
      <w:r w:rsidR="00326F59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polipropilén záró</w:t>
      </w:r>
      <w:r>
        <w:rPr>
          <w:sz w:val="22"/>
          <w:szCs w:val="22"/>
          <w:lang w:val="hu-HU"/>
        </w:rPr>
        <w:t>kupakkal</w:t>
      </w:r>
      <w:r w:rsidR="00326F59">
        <w:rPr>
          <w:sz w:val="22"/>
          <w:szCs w:val="22"/>
          <w:lang w:val="hu-HU"/>
        </w:rPr>
        <w:t xml:space="preserve"> </w:t>
      </w:r>
      <w:r w:rsidR="00326F59" w:rsidRPr="007B2E9E">
        <w:rPr>
          <w:sz w:val="22"/>
          <w:szCs w:val="22"/>
          <w:lang w:val="hu-HU"/>
        </w:rPr>
        <w:t>é</w:t>
      </w:r>
      <w:r w:rsidR="00326F59">
        <w:rPr>
          <w:sz w:val="22"/>
          <w:szCs w:val="22"/>
          <w:lang w:val="hu-HU"/>
        </w:rPr>
        <w:t>s n</w:t>
      </w:r>
      <w:r w:rsidR="00326F59" w:rsidRPr="00A530FF">
        <w:rPr>
          <w:sz w:val="22"/>
          <w:szCs w:val="22"/>
          <w:lang w:val="hu-HU"/>
        </w:rPr>
        <w:t>edvességmegkötővel</w:t>
      </w:r>
      <w:r w:rsidR="00326F59">
        <w:rPr>
          <w:sz w:val="22"/>
          <w:szCs w:val="22"/>
          <w:lang w:val="hu-HU"/>
        </w:rPr>
        <w:t xml:space="preserve"> </w:t>
      </w:r>
      <w:r w:rsidR="00326F59" w:rsidRPr="00A530FF">
        <w:rPr>
          <w:sz w:val="22"/>
          <w:szCs w:val="22"/>
          <w:lang w:val="hu-HU"/>
        </w:rPr>
        <w:t>ellát</w:t>
      </w:r>
      <w:r w:rsidR="00326F59">
        <w:rPr>
          <w:sz w:val="22"/>
          <w:szCs w:val="22"/>
          <w:lang w:val="hu-HU"/>
        </w:rPr>
        <w:t>va</w:t>
      </w:r>
      <w:r w:rsidR="00326F59" w:rsidRPr="00A530FF">
        <w:rPr>
          <w:sz w:val="22"/>
          <w:szCs w:val="22"/>
          <w:lang w:val="hu-HU"/>
        </w:rPr>
        <w:t>.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tartály 50 </w:t>
      </w:r>
      <w:r w:rsidR="004C1AC8">
        <w:rPr>
          <w:sz w:val="22"/>
          <w:szCs w:val="22"/>
          <w:lang w:val="hu-HU"/>
        </w:rPr>
        <w:t xml:space="preserve">db </w:t>
      </w:r>
      <w:r w:rsidRPr="00A530FF">
        <w:rPr>
          <w:sz w:val="22"/>
          <w:szCs w:val="22"/>
          <w:lang w:val="hu-HU"/>
        </w:rPr>
        <w:t>tablettát tartalmaz.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6.6</w:t>
      </w:r>
      <w:r w:rsidRPr="00A530FF">
        <w:rPr>
          <w:b/>
          <w:sz w:val="22"/>
          <w:szCs w:val="22"/>
          <w:lang w:val="hu-HU"/>
        </w:rPr>
        <w:tab/>
        <w:t>A megsemmisítésre vonatkozó különleges óvintézkedések</w:t>
      </w:r>
    </w:p>
    <w:p w:rsidR="00DA1F84" w:rsidRPr="00A530FF" w:rsidRDefault="00DA1F84" w:rsidP="00193A5D">
      <w:pPr>
        <w:keepNext/>
        <w:ind w:right="-449"/>
        <w:rPr>
          <w:b/>
          <w:sz w:val="22"/>
          <w:szCs w:val="22"/>
          <w:lang w:val="hu-HU"/>
        </w:rPr>
      </w:pPr>
    </w:p>
    <w:p w:rsidR="00DA1F84" w:rsidRPr="00A530FF" w:rsidRDefault="007B2E9E" w:rsidP="007B2E9E">
      <w:pPr>
        <w:rPr>
          <w:sz w:val="22"/>
          <w:szCs w:val="22"/>
          <w:lang w:val="hu-HU"/>
        </w:rPr>
      </w:pPr>
      <w:r w:rsidRPr="007B2E9E">
        <w:rPr>
          <w:sz w:val="22"/>
          <w:szCs w:val="22"/>
          <w:lang w:val="hu-HU"/>
        </w:rPr>
        <w:t>Bármilyen fel nem használt gyógyszer, illetve hulladékanyag megsemmisítését a gyógyszerekre vonatkozó előírások szerint kell végrehajtani</w:t>
      </w:r>
      <w:r w:rsidR="00DA1F84" w:rsidRPr="00A530FF">
        <w:rPr>
          <w:sz w:val="22"/>
          <w:szCs w:val="22"/>
          <w:lang w:val="hu-HU"/>
        </w:rPr>
        <w:t>.</w:t>
      </w:r>
    </w:p>
    <w:p w:rsidR="00114522" w:rsidRPr="00A530FF" w:rsidRDefault="00114522">
      <w:pPr>
        <w:ind w:right="-449"/>
        <w:rPr>
          <w:b/>
          <w:sz w:val="22"/>
          <w:szCs w:val="22"/>
          <w:lang w:val="hu-HU"/>
        </w:rPr>
      </w:pPr>
    </w:p>
    <w:p w:rsidR="00DA1F84" w:rsidRPr="00A530FF" w:rsidRDefault="00DA1F84">
      <w:pPr>
        <w:ind w:right="-449"/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spacing w:line="260" w:lineRule="atLeast"/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7.</w:t>
      </w:r>
      <w:r w:rsidRPr="00A530FF">
        <w:rPr>
          <w:b/>
          <w:sz w:val="22"/>
          <w:szCs w:val="22"/>
          <w:lang w:val="hu-HU"/>
        </w:rPr>
        <w:tab/>
        <w:t>A FORGALOMBA HOZATALI ENGEDÉLY JOGOSULTJA</w:t>
      </w:r>
    </w:p>
    <w:p w:rsidR="00DA1F84" w:rsidRPr="00A530FF" w:rsidRDefault="00DA1F84" w:rsidP="00193A5D">
      <w:pPr>
        <w:keepNext/>
        <w:rPr>
          <w:b/>
          <w:sz w:val="22"/>
          <w:szCs w:val="22"/>
          <w:lang w:val="hu-HU"/>
        </w:rPr>
      </w:pP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Via Palermo 26/A</w:t>
      </w: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43122 Parma</w:t>
      </w:r>
    </w:p>
    <w:p w:rsidR="00DA1F84" w:rsidRPr="00A530FF" w:rsidRDefault="00BC16B5" w:rsidP="00665FDF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Olaszország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530C5C">
      <w:pPr>
        <w:keepNext/>
        <w:spacing w:line="260" w:lineRule="atLeast"/>
        <w:ind w:left="562" w:hanging="562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8.</w:t>
      </w:r>
      <w:r w:rsidRPr="00A530FF">
        <w:rPr>
          <w:b/>
          <w:sz w:val="22"/>
          <w:szCs w:val="22"/>
          <w:lang w:val="hu-HU"/>
        </w:rPr>
        <w:tab/>
        <w:t>A FORGALOMBA HOZATALI ENGEDÉLY SZÁMA</w:t>
      </w:r>
    </w:p>
    <w:p w:rsidR="00DA1F84" w:rsidRPr="00A530FF" w:rsidRDefault="00DA1F84" w:rsidP="00530C5C">
      <w:pPr>
        <w:keepNext/>
        <w:spacing w:line="260" w:lineRule="atLeast"/>
        <w:ind w:left="562" w:hanging="562"/>
        <w:rPr>
          <w:b/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500 mg filmtabletta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EU/1/99/108/001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B86235" w:rsidRPr="00643661" w:rsidRDefault="00B86235" w:rsidP="00B86235">
      <w:pPr>
        <w:keepNext/>
        <w:rPr>
          <w:sz w:val="22"/>
          <w:szCs w:val="22"/>
          <w:u w:val="single"/>
          <w:lang w:val="hu-HU"/>
        </w:rPr>
      </w:pPr>
      <w:r w:rsidRPr="00643661">
        <w:rPr>
          <w:sz w:val="22"/>
          <w:szCs w:val="22"/>
          <w:u w:val="single"/>
          <w:lang w:val="hu-HU"/>
        </w:rPr>
        <w:t>Ferriprox 1000 mg filmtabletta</w:t>
      </w:r>
    </w:p>
    <w:p w:rsidR="00B86235" w:rsidRPr="00A530FF" w:rsidRDefault="00B86235" w:rsidP="00B86235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EU/1/99/108/004</w:t>
      </w:r>
    </w:p>
    <w:p w:rsidR="00DA1F84" w:rsidRDefault="00DA1F84">
      <w:pPr>
        <w:rPr>
          <w:sz w:val="22"/>
          <w:szCs w:val="22"/>
          <w:lang w:val="hu-HU"/>
        </w:rPr>
      </w:pPr>
    </w:p>
    <w:p w:rsidR="00B86235" w:rsidRPr="00A530FF" w:rsidRDefault="00B86235">
      <w:pPr>
        <w:rPr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spacing w:line="260" w:lineRule="atLeast"/>
        <w:ind w:left="562" w:hanging="562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9.</w:t>
      </w:r>
      <w:r w:rsidRPr="00A530FF">
        <w:rPr>
          <w:b/>
          <w:sz w:val="22"/>
          <w:szCs w:val="22"/>
          <w:lang w:val="hu-HU"/>
        </w:rPr>
        <w:tab/>
        <w:t>A FORGALOMBA HOZATALI ENGEDÉLY ELSŐ KIADÁSÁNAK/ MEGÚJÍTÁSÁNAK DÁTUMA</w:t>
      </w:r>
    </w:p>
    <w:p w:rsidR="00DA1F84" w:rsidRPr="00A530FF" w:rsidRDefault="00DA1F84" w:rsidP="00193A5D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 w:rsidP="00193A5D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forgalomba</w:t>
      </w:r>
      <w:r w:rsidR="00E300C9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hozatali engedély els</w:t>
      </w:r>
      <w:r w:rsidR="004D2624" w:rsidRPr="00A530FF">
        <w:rPr>
          <w:sz w:val="22"/>
          <w:szCs w:val="22"/>
          <w:lang w:val="hu-HU"/>
        </w:rPr>
        <w:t>ő kiadásának dátuma: 1999</w:t>
      </w:r>
      <w:r w:rsidR="00070024" w:rsidRPr="00A530FF">
        <w:rPr>
          <w:sz w:val="22"/>
          <w:szCs w:val="22"/>
          <w:lang w:val="hu-HU"/>
        </w:rPr>
        <w:t xml:space="preserve">. augusztus </w:t>
      </w:r>
      <w:r w:rsidR="004D2624" w:rsidRPr="00A530FF">
        <w:rPr>
          <w:sz w:val="22"/>
          <w:szCs w:val="22"/>
          <w:lang w:val="hu-HU"/>
        </w:rPr>
        <w:t>25</w:t>
      </w:r>
      <w:r w:rsidR="00070024" w:rsidRPr="00A530FF">
        <w:rPr>
          <w:sz w:val="22"/>
          <w:szCs w:val="22"/>
          <w:lang w:val="hu-HU"/>
        </w:rPr>
        <w:t>.</w:t>
      </w:r>
    </w:p>
    <w:p w:rsidR="00DA1F84" w:rsidRPr="00A530FF" w:rsidRDefault="00DA1F84" w:rsidP="006B5CD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forgalomba</w:t>
      </w:r>
      <w:r w:rsidR="00E300C9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 xml:space="preserve">hozatali engedély </w:t>
      </w:r>
      <w:r w:rsidR="00093CC0" w:rsidRPr="00A530FF">
        <w:rPr>
          <w:sz w:val="22"/>
          <w:szCs w:val="22"/>
          <w:lang w:val="da-DK"/>
        </w:rPr>
        <w:t xml:space="preserve">legutóbbi megújításának </w:t>
      </w:r>
      <w:r w:rsidRPr="00A530FF">
        <w:rPr>
          <w:sz w:val="22"/>
          <w:szCs w:val="22"/>
          <w:lang w:val="hu-HU"/>
        </w:rPr>
        <w:t>dátuma:</w:t>
      </w:r>
      <w:r w:rsidR="0020736D" w:rsidRPr="00A530FF">
        <w:rPr>
          <w:sz w:val="22"/>
          <w:szCs w:val="22"/>
          <w:lang w:val="hu-HU"/>
        </w:rPr>
        <w:t xml:space="preserve"> 2009</w:t>
      </w:r>
      <w:r w:rsidR="00070024" w:rsidRPr="00A530FF">
        <w:rPr>
          <w:sz w:val="22"/>
          <w:szCs w:val="22"/>
          <w:lang w:val="hu-HU"/>
        </w:rPr>
        <w:t xml:space="preserve">. </w:t>
      </w:r>
      <w:r w:rsidR="00DA382E" w:rsidRPr="00DA382E">
        <w:rPr>
          <w:sz w:val="22"/>
          <w:szCs w:val="22"/>
          <w:lang w:val="hu-HU"/>
        </w:rPr>
        <w:t>szeptember</w:t>
      </w:r>
      <w:r w:rsidR="00070024" w:rsidRPr="00A530FF">
        <w:rPr>
          <w:sz w:val="22"/>
          <w:szCs w:val="22"/>
          <w:lang w:val="hu-HU"/>
        </w:rPr>
        <w:t xml:space="preserve"> </w:t>
      </w:r>
      <w:r w:rsidR="0020736D" w:rsidRPr="00A530FF">
        <w:rPr>
          <w:sz w:val="22"/>
          <w:szCs w:val="22"/>
          <w:lang w:val="hu-HU"/>
        </w:rPr>
        <w:t>2</w:t>
      </w:r>
      <w:r w:rsidR="00DA382E">
        <w:rPr>
          <w:sz w:val="22"/>
          <w:szCs w:val="22"/>
          <w:lang w:val="hu-HU"/>
        </w:rPr>
        <w:t>1</w:t>
      </w:r>
      <w:r w:rsidR="00070024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10.</w:t>
      </w:r>
      <w:r w:rsidRPr="00A530FF">
        <w:rPr>
          <w:b/>
          <w:sz w:val="22"/>
          <w:szCs w:val="22"/>
          <w:lang w:val="hu-HU"/>
        </w:rPr>
        <w:tab/>
        <w:t>A SZÖVEG ELLENŐRZÉSÉNEK DÁTUMA</w:t>
      </w:r>
    </w:p>
    <w:p w:rsidR="00B17CC9" w:rsidRPr="00A530FF" w:rsidRDefault="00B17CC9">
      <w:pPr>
        <w:tabs>
          <w:tab w:val="left" w:pos="567"/>
        </w:tabs>
        <w:rPr>
          <w:sz w:val="22"/>
          <w:szCs w:val="22"/>
          <w:lang w:val="hu-HU"/>
        </w:rPr>
      </w:pPr>
    </w:p>
    <w:p w:rsidR="00F745F6" w:rsidRPr="00A530FF" w:rsidRDefault="00F745F6" w:rsidP="006B5CD4">
      <w:pPr>
        <w:tabs>
          <w:tab w:val="left" w:pos="567"/>
        </w:tabs>
        <w:rPr>
          <w:bCs/>
          <w:sz w:val="22"/>
          <w:szCs w:val="22"/>
          <w:lang w:val="hu-HU"/>
        </w:rPr>
      </w:pPr>
    </w:p>
    <w:p w:rsidR="00EA510E" w:rsidRPr="00A530FF" w:rsidRDefault="00EA510E">
      <w:pPr>
        <w:tabs>
          <w:tab w:val="left" w:pos="567"/>
        </w:tabs>
        <w:rPr>
          <w:bCs/>
          <w:sz w:val="22"/>
          <w:szCs w:val="22"/>
          <w:lang w:val="hu-HU"/>
        </w:rPr>
      </w:pPr>
    </w:p>
    <w:p w:rsidR="00EA510E" w:rsidRPr="00A530FF" w:rsidRDefault="00EA510E">
      <w:pPr>
        <w:tabs>
          <w:tab w:val="left" w:pos="567"/>
        </w:tabs>
        <w:rPr>
          <w:bCs/>
          <w:sz w:val="22"/>
          <w:szCs w:val="22"/>
          <w:lang w:val="hu-HU"/>
        </w:rPr>
      </w:pPr>
    </w:p>
    <w:p w:rsidR="00EA510E" w:rsidRPr="00A530FF" w:rsidRDefault="00EA510E">
      <w:pPr>
        <w:tabs>
          <w:tab w:val="left" w:pos="567"/>
        </w:tabs>
        <w:rPr>
          <w:bCs/>
          <w:sz w:val="22"/>
          <w:szCs w:val="22"/>
          <w:lang w:val="hu-HU"/>
        </w:rPr>
      </w:pPr>
      <w:r w:rsidRPr="00A530FF">
        <w:rPr>
          <w:noProof/>
          <w:sz w:val="22"/>
          <w:szCs w:val="22"/>
          <w:lang w:val="hu-HU"/>
        </w:rPr>
        <w:t>A gyógyszerről részletes információ az Európai Gyógyszerügynökség internetes honlapján (http://www.ema.e</w:t>
      </w:r>
      <w:r w:rsidRPr="00A530FF">
        <w:rPr>
          <w:noProof/>
          <w:sz w:val="22"/>
          <w:szCs w:val="22"/>
          <w:lang w:val="hu-HU"/>
        </w:rPr>
        <w:t>u</w:t>
      </w:r>
      <w:r w:rsidRPr="00A530FF">
        <w:rPr>
          <w:noProof/>
          <w:sz w:val="22"/>
          <w:szCs w:val="22"/>
          <w:lang w:val="hu-HU"/>
        </w:rPr>
        <w:t>rop</w:t>
      </w:r>
      <w:r w:rsidRPr="00A530FF">
        <w:rPr>
          <w:noProof/>
          <w:sz w:val="22"/>
          <w:szCs w:val="22"/>
          <w:lang w:val="hu-HU"/>
        </w:rPr>
        <w:t>a</w:t>
      </w:r>
      <w:r w:rsidRPr="00A530FF">
        <w:rPr>
          <w:noProof/>
          <w:sz w:val="22"/>
          <w:szCs w:val="22"/>
          <w:lang w:val="hu-HU"/>
        </w:rPr>
        <w:t>.eu</w:t>
      </w:r>
      <w:r w:rsidRPr="00A530FF">
        <w:rPr>
          <w:iCs/>
          <w:noProof/>
          <w:sz w:val="22"/>
          <w:szCs w:val="22"/>
          <w:lang w:val="hu-HU"/>
        </w:rPr>
        <w:t>) található.</w:t>
      </w:r>
    </w:p>
    <w:p w:rsidR="00DA1F84" w:rsidRPr="00A530FF" w:rsidRDefault="00DA1F84" w:rsidP="00BE2D92">
      <w:pPr>
        <w:pStyle w:val="Heading3"/>
        <w:keepNext w:val="0"/>
        <w:tabs>
          <w:tab w:val="left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br w:type="page"/>
        <w:t>1.</w:t>
      </w:r>
      <w:r w:rsidRPr="00A530FF">
        <w:rPr>
          <w:szCs w:val="22"/>
          <w:lang w:val="hu-HU"/>
        </w:rPr>
        <w:tab/>
        <w:t>A GYÓGYSZER NEVE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Ferriprox 100 mg/ml belsőleges oldat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2.</w:t>
      </w:r>
      <w:r w:rsidRPr="00A530FF">
        <w:rPr>
          <w:b/>
          <w:caps/>
          <w:sz w:val="22"/>
          <w:szCs w:val="22"/>
          <w:lang w:val="hu-HU"/>
        </w:rPr>
        <w:tab/>
        <w:t>MINŐSÉGI ÉS MENNYISÉGI ÖSSZETÉTEL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15056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100 mg deferipron</w:t>
      </w:r>
      <w:r w:rsidR="009870BF">
        <w:rPr>
          <w:sz w:val="22"/>
          <w:szCs w:val="22"/>
          <w:lang w:val="hu-HU"/>
        </w:rPr>
        <w:t>t tartalmaz</w:t>
      </w:r>
      <w:r w:rsidRPr="00A530FF">
        <w:rPr>
          <w:sz w:val="22"/>
          <w:szCs w:val="22"/>
          <w:lang w:val="hu-HU"/>
        </w:rPr>
        <w:t xml:space="preserve"> milliliterenként</w:t>
      </w:r>
      <w:r w:rsidR="00DA5480" w:rsidRPr="00A530FF">
        <w:rPr>
          <w:sz w:val="22"/>
          <w:szCs w:val="22"/>
          <w:lang w:val="hu-HU"/>
        </w:rPr>
        <w:t xml:space="preserve"> (</w:t>
      </w:r>
      <w:smartTag w:uri="urn:schemas-microsoft-com:office:smarttags" w:element="State">
        <w:smartTagPr>
          <w:attr w:name="ProductID" w:val="25ﾠg"/>
        </w:smartTagPr>
        <w:r w:rsidR="00DA5480" w:rsidRPr="00A530FF">
          <w:rPr>
            <w:sz w:val="22"/>
            <w:szCs w:val="22"/>
            <w:lang w:val="hu-HU"/>
          </w:rPr>
          <w:t>25</w:t>
        </w:r>
        <w:r w:rsidR="00150565" w:rsidRPr="00A530FF">
          <w:rPr>
            <w:sz w:val="22"/>
            <w:szCs w:val="22"/>
            <w:lang w:val="hu-HU"/>
          </w:rPr>
          <w:t> </w:t>
        </w:r>
        <w:r w:rsidR="00DA5480" w:rsidRPr="00A530FF">
          <w:rPr>
            <w:sz w:val="22"/>
            <w:szCs w:val="22"/>
            <w:lang w:val="hu-HU"/>
          </w:rPr>
          <w:t>g</w:t>
        </w:r>
      </w:smartTag>
      <w:r w:rsidR="00DA5480" w:rsidRPr="00A530FF">
        <w:rPr>
          <w:sz w:val="22"/>
          <w:szCs w:val="22"/>
          <w:lang w:val="hu-HU"/>
        </w:rPr>
        <w:t xml:space="preserve"> deferipron 250</w:t>
      </w:r>
      <w:r w:rsidR="00150565" w:rsidRPr="00A530FF">
        <w:rPr>
          <w:sz w:val="22"/>
          <w:szCs w:val="22"/>
          <w:lang w:val="hu-HU"/>
        </w:rPr>
        <w:t> </w:t>
      </w:r>
      <w:r w:rsidR="00DA5480" w:rsidRPr="00A530FF">
        <w:rPr>
          <w:sz w:val="22"/>
          <w:szCs w:val="22"/>
          <w:lang w:val="hu-HU"/>
        </w:rPr>
        <w:t xml:space="preserve">ml-ben és </w:t>
      </w:r>
      <w:smartTag w:uri="urn:schemas-microsoft-com:office:smarttags" w:element="State">
        <w:smartTagPr>
          <w:attr w:name="ProductID" w:val="50ﾠg"/>
        </w:smartTagPr>
        <w:r w:rsidR="00DA5480" w:rsidRPr="00A530FF">
          <w:rPr>
            <w:sz w:val="22"/>
            <w:szCs w:val="22"/>
            <w:lang w:val="hu-HU"/>
          </w:rPr>
          <w:t>50</w:t>
        </w:r>
        <w:r w:rsidR="00150565" w:rsidRPr="00A530FF">
          <w:rPr>
            <w:sz w:val="22"/>
            <w:szCs w:val="22"/>
            <w:lang w:val="hu-HU"/>
          </w:rPr>
          <w:t> </w:t>
        </w:r>
        <w:r w:rsidR="00DA5480" w:rsidRPr="00A530FF">
          <w:rPr>
            <w:sz w:val="22"/>
            <w:szCs w:val="22"/>
            <w:lang w:val="hu-HU"/>
          </w:rPr>
          <w:t>g</w:t>
        </w:r>
      </w:smartTag>
      <w:r w:rsidR="00DA5480" w:rsidRPr="00A530FF">
        <w:rPr>
          <w:sz w:val="22"/>
          <w:szCs w:val="22"/>
          <w:lang w:val="hu-HU"/>
        </w:rPr>
        <w:t xml:space="preserve"> deferipron 500</w:t>
      </w:r>
      <w:r w:rsidR="00150565" w:rsidRPr="00A530FF">
        <w:rPr>
          <w:sz w:val="22"/>
          <w:szCs w:val="22"/>
          <w:lang w:val="hu-HU"/>
        </w:rPr>
        <w:t> </w:t>
      </w:r>
      <w:r w:rsidR="00DA5480" w:rsidRPr="00A530FF">
        <w:rPr>
          <w:sz w:val="22"/>
          <w:szCs w:val="22"/>
          <w:lang w:val="hu-HU"/>
        </w:rPr>
        <w:t>ml</w:t>
      </w:r>
      <w:r w:rsidR="009870BF">
        <w:rPr>
          <w:sz w:val="22"/>
          <w:szCs w:val="22"/>
          <w:lang w:val="hu-HU"/>
        </w:rPr>
        <w:noBreakHyphen/>
      </w:r>
      <w:r w:rsidR="00DA5480" w:rsidRPr="00A530FF">
        <w:rPr>
          <w:sz w:val="22"/>
          <w:szCs w:val="22"/>
          <w:lang w:val="hu-HU"/>
        </w:rPr>
        <w:t>ben).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8B1F6A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Ismert hatású segédanyag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t>A belsőleges oldat milliliterenként 0,4 mg Sunset Yellow-t (E110) tartalmaz.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segédanyagok teljes listáját lásd a 6.1 pontban.</w:t>
      </w: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3.</w:t>
      </w:r>
      <w:r w:rsidRPr="00A530FF">
        <w:rPr>
          <w:b/>
          <w:caps/>
          <w:sz w:val="22"/>
          <w:szCs w:val="22"/>
          <w:lang w:val="hu-HU"/>
        </w:rPr>
        <w:tab/>
        <w:t>GYógyszerforma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Belsőleges oldat.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Átlátszó, vöröses-narancssárga színű folyadék.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4.</w:t>
      </w:r>
      <w:r w:rsidRPr="00A530FF">
        <w:rPr>
          <w:b/>
          <w:caps/>
          <w:sz w:val="22"/>
          <w:szCs w:val="22"/>
          <w:lang w:val="hu-HU"/>
        </w:rPr>
        <w:tab/>
        <w:t>klinikai jellemzők</w:t>
      </w: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4.1</w:t>
      </w:r>
      <w:r w:rsidRPr="00A530FF">
        <w:rPr>
          <w:b/>
          <w:sz w:val="22"/>
          <w:szCs w:val="22"/>
          <w:lang w:val="hu-HU"/>
        </w:rPr>
        <w:tab/>
        <w:t>Terápiás javallatok</w:t>
      </w: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</w:p>
    <w:p w:rsidR="008652E8" w:rsidRPr="005315EE" w:rsidRDefault="008652E8" w:rsidP="008652E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5315EE">
        <w:rPr>
          <w:rFonts w:ascii="Times New Roman" w:hAnsi="Times New Roman"/>
          <w:szCs w:val="22"/>
          <w:lang w:val="hu-HU"/>
        </w:rPr>
        <w:t>A Ferriprox</w:t>
      </w:r>
      <w:r w:rsidR="009870BF">
        <w:rPr>
          <w:rFonts w:ascii="Times New Roman" w:hAnsi="Times New Roman"/>
          <w:szCs w:val="22"/>
          <w:lang w:val="hu-HU"/>
        </w:rPr>
        <w:t>-</w:t>
      </w:r>
      <w:r w:rsidRPr="005315EE">
        <w:rPr>
          <w:rFonts w:ascii="Times New Roman" w:hAnsi="Times New Roman"/>
          <w:szCs w:val="22"/>
          <w:lang w:val="hu-HU"/>
        </w:rPr>
        <w:t>monoterápia a thalassaemi</w:t>
      </w:r>
      <w:r>
        <w:rPr>
          <w:rFonts w:ascii="Times New Roman" w:hAnsi="Times New Roman"/>
          <w:szCs w:val="22"/>
          <w:lang w:val="hu-HU"/>
        </w:rPr>
        <w:t>a major</w:t>
      </w:r>
      <w:r w:rsidRPr="005315EE">
        <w:rPr>
          <w:rFonts w:ascii="Times New Roman" w:hAnsi="Times New Roman"/>
          <w:szCs w:val="22"/>
          <w:lang w:val="hu-HU"/>
        </w:rPr>
        <w:t>ban szenvedő betegek vastúlterhelésének a kezelésére javall</w:t>
      </w:r>
      <w:r>
        <w:rPr>
          <w:rFonts w:ascii="Times New Roman" w:hAnsi="Times New Roman"/>
          <w:szCs w:val="22"/>
          <w:lang w:val="hu-HU"/>
        </w:rPr>
        <w:t>ot</w:t>
      </w:r>
      <w:r w:rsidRPr="005315EE">
        <w:rPr>
          <w:rFonts w:ascii="Times New Roman" w:hAnsi="Times New Roman"/>
          <w:szCs w:val="22"/>
          <w:lang w:val="hu-HU"/>
        </w:rPr>
        <w:t xml:space="preserve">t, ha a jelenlegi kelátterápia ellenjavallt vagy </w:t>
      </w:r>
      <w:r>
        <w:rPr>
          <w:rFonts w:ascii="Times New Roman" w:hAnsi="Times New Roman"/>
          <w:szCs w:val="22"/>
          <w:lang w:val="hu-HU"/>
        </w:rPr>
        <w:t>nem kielégítő</w:t>
      </w:r>
      <w:r w:rsidRPr="005315EE">
        <w:rPr>
          <w:rFonts w:ascii="Times New Roman" w:hAnsi="Times New Roman"/>
          <w:szCs w:val="22"/>
          <w:lang w:val="hu-HU"/>
        </w:rPr>
        <w:t>.</w:t>
      </w:r>
    </w:p>
    <w:p w:rsidR="008652E8" w:rsidRPr="005315EE" w:rsidRDefault="008652E8" w:rsidP="008652E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</w:p>
    <w:p w:rsidR="008652E8" w:rsidRPr="00A530FF" w:rsidRDefault="008652E8" w:rsidP="008652E8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5315EE">
        <w:rPr>
          <w:rFonts w:ascii="Times New Roman" w:hAnsi="Times New Roman"/>
          <w:szCs w:val="22"/>
          <w:lang w:val="hu-HU"/>
        </w:rPr>
        <w:t>A Ferriprox más kelátképző szerekkel (lásd 4.4 pont) való kombinálása a thalassaemi</w:t>
      </w:r>
      <w:r>
        <w:rPr>
          <w:rFonts w:ascii="Times New Roman" w:hAnsi="Times New Roman"/>
          <w:szCs w:val="22"/>
          <w:lang w:val="hu-HU"/>
        </w:rPr>
        <w:t>a major</w:t>
      </w:r>
      <w:r w:rsidRPr="005315EE">
        <w:rPr>
          <w:rFonts w:ascii="Times New Roman" w:hAnsi="Times New Roman"/>
          <w:szCs w:val="22"/>
          <w:lang w:val="hu-HU"/>
        </w:rPr>
        <w:t>ban szenvedő betegek kezelésére akkor javall</w:t>
      </w:r>
      <w:r>
        <w:rPr>
          <w:rFonts w:ascii="Times New Roman" w:hAnsi="Times New Roman"/>
          <w:szCs w:val="22"/>
          <w:lang w:val="hu-HU"/>
        </w:rPr>
        <w:t>ot</w:t>
      </w:r>
      <w:r w:rsidRPr="005315EE">
        <w:rPr>
          <w:rFonts w:ascii="Times New Roman" w:hAnsi="Times New Roman"/>
          <w:szCs w:val="22"/>
          <w:lang w:val="hu-HU"/>
        </w:rPr>
        <w:t xml:space="preserve">t, ha a bármely kelátképző szerrel végzett monoterápia hatástalan, vagy ha a vastúlterhelés életveszélyes következményeinek (elsősorban a szív túlterhelésének) megelőzése vagy kezelése </w:t>
      </w:r>
      <w:r w:rsidR="009870BF">
        <w:rPr>
          <w:rFonts w:ascii="Times New Roman" w:hAnsi="Times New Roman"/>
          <w:szCs w:val="22"/>
          <w:lang w:val="hu-HU"/>
        </w:rPr>
        <w:t xml:space="preserve">érdekében </w:t>
      </w:r>
      <w:r w:rsidRPr="005315EE">
        <w:rPr>
          <w:rFonts w:ascii="Times New Roman" w:hAnsi="Times New Roman"/>
          <w:szCs w:val="22"/>
          <w:lang w:val="hu-HU"/>
        </w:rPr>
        <w:t xml:space="preserve">gyors és intenzív </w:t>
      </w:r>
      <w:r>
        <w:rPr>
          <w:rFonts w:ascii="Times New Roman" w:hAnsi="Times New Roman"/>
          <w:szCs w:val="22"/>
          <w:lang w:val="hu-HU"/>
        </w:rPr>
        <w:t>korrekció</w:t>
      </w:r>
      <w:r w:rsidRPr="005315EE">
        <w:rPr>
          <w:rFonts w:ascii="Times New Roman" w:hAnsi="Times New Roman"/>
          <w:szCs w:val="22"/>
          <w:lang w:val="hu-HU"/>
        </w:rPr>
        <w:t xml:space="preserve"> indokol</w:t>
      </w:r>
      <w:r w:rsidR="009870BF">
        <w:rPr>
          <w:rFonts w:ascii="Times New Roman" w:hAnsi="Times New Roman"/>
          <w:szCs w:val="22"/>
          <w:lang w:val="hu-HU"/>
        </w:rPr>
        <w:t>t</w:t>
      </w:r>
      <w:r w:rsidRPr="005315EE">
        <w:rPr>
          <w:rFonts w:ascii="Times New Roman" w:hAnsi="Times New Roman"/>
          <w:szCs w:val="22"/>
          <w:lang w:val="hu-HU"/>
        </w:rPr>
        <w:t xml:space="preserve"> (lásd 4.2</w:t>
      </w:r>
      <w:r w:rsidR="009870BF">
        <w:rPr>
          <w:rFonts w:ascii="Times New Roman" w:hAnsi="Times New Roman"/>
          <w:szCs w:val="22"/>
          <w:lang w:val="hu-HU"/>
        </w:rPr>
        <w:t> </w:t>
      </w:r>
      <w:r w:rsidRPr="005315EE">
        <w:rPr>
          <w:rFonts w:ascii="Times New Roman" w:hAnsi="Times New Roman"/>
          <w:szCs w:val="22"/>
          <w:lang w:val="hu-HU"/>
        </w:rPr>
        <w:t>pont).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4.2</w:t>
      </w:r>
      <w:r w:rsidRPr="00A530FF">
        <w:rPr>
          <w:b/>
          <w:sz w:val="22"/>
          <w:szCs w:val="22"/>
          <w:lang w:val="hu-HU"/>
        </w:rPr>
        <w:tab/>
        <w:t>Adagolás és alkalmazás</w:t>
      </w: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deferipron-terápiát thalassaemiás betegek kezelésében jártas orvos kezdeményezze és végezze.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5480" w:rsidRPr="00A530FF" w:rsidRDefault="000A32DE" w:rsidP="00C61FC8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Adagolás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deferipront általában 25 mg/testtömegkilogramm arányban adagolják, orálisan, napi három alkalommal, így a napi teljes dózis 75 mg/testtömegkilogramm. A testtömegkilogrammra vonatkoztatott dózist a legközelebbi 2,5 ml egységre kerekítve kell kiszámítani. Az alábbi táblázatban láthatók az ajánlott adagok, 10 kilogammonként növekvő testtömegértékekre vonatkoztatva.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5480" w:rsidRPr="00A530FF" w:rsidRDefault="00DA5480" w:rsidP="00F75EF0">
      <w:pPr>
        <w:rPr>
          <w:i/>
          <w:sz w:val="22"/>
          <w:szCs w:val="22"/>
          <w:lang w:val="hu-HU"/>
        </w:rPr>
      </w:pPr>
      <w:r w:rsidRPr="00A530FF">
        <w:rPr>
          <w:i/>
          <w:sz w:val="22"/>
          <w:szCs w:val="22"/>
          <w:lang w:val="hu-HU"/>
        </w:rPr>
        <w:t>Adagolási táblázat</w:t>
      </w:r>
    </w:p>
    <w:p w:rsidR="00DA5480" w:rsidRPr="00A530FF" w:rsidRDefault="00DA5480" w:rsidP="00F75EF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körülbelül 75 mg/</w:t>
      </w:r>
      <w:r w:rsidR="009870BF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kg/nap adag eléréséhez a beteg a testtömege szerint az alábbi táblázatban ajánlott mennyiségben alkalmazza a belsőleges oldatot. A táblázat 10 kilogrammonként növekvő testtömegértékeket sorol fel.</w:t>
      </w:r>
    </w:p>
    <w:p w:rsidR="00DA5480" w:rsidRPr="00A530FF" w:rsidRDefault="00DA5480" w:rsidP="008A7FF5">
      <w:pPr>
        <w:rPr>
          <w:b/>
          <w:sz w:val="22"/>
          <w:szCs w:val="22"/>
          <w:lang w:val="hu-HU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2520"/>
        <w:gridCol w:w="2610"/>
      </w:tblGrid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tabs>
                <w:tab w:val="left" w:pos="72"/>
                <w:tab w:val="left" w:pos="162"/>
                <w:tab w:val="left" w:pos="432"/>
                <w:tab w:val="left" w:pos="702"/>
              </w:tabs>
              <w:ind w:left="-648" w:right="-558"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Testsúly</w:t>
            </w:r>
          </w:p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(kg)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Teljes napi adag</w:t>
            </w:r>
          </w:p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(mg)</w:t>
            </w:r>
          </w:p>
        </w:tc>
        <w:tc>
          <w:tcPr>
            <w:tcW w:w="2520" w:type="dxa"/>
            <w:tcBorders>
              <w:right w:val="single" w:sz="4" w:space="0" w:color="000000"/>
            </w:tcBorders>
          </w:tcPr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Egyszeri adag (mg)</w:t>
            </w:r>
          </w:p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(napi háromszor)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a belsőleges oldat millilitere</w:t>
            </w:r>
          </w:p>
          <w:p w:rsidR="00DA5480" w:rsidRPr="00A530FF" w:rsidRDefault="00DA5480" w:rsidP="00FD0C7A">
            <w:pPr>
              <w:keepNext/>
              <w:jc w:val="center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(napi háromszor)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1500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500</w:t>
            </w:r>
          </w:p>
        </w:tc>
        <w:tc>
          <w:tcPr>
            <w:tcW w:w="2610" w:type="dxa"/>
            <w:tcBorders>
              <w:top w:val="single" w:sz="4" w:space="0" w:color="000000"/>
            </w:tcBorders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5,0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2250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750</w:t>
            </w:r>
          </w:p>
        </w:tc>
        <w:tc>
          <w:tcPr>
            <w:tcW w:w="261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7,5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3000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1000</w:t>
            </w:r>
          </w:p>
        </w:tc>
        <w:tc>
          <w:tcPr>
            <w:tcW w:w="261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10,0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3750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1250</w:t>
            </w:r>
          </w:p>
        </w:tc>
        <w:tc>
          <w:tcPr>
            <w:tcW w:w="261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12,5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4500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1500</w:t>
            </w:r>
          </w:p>
        </w:tc>
        <w:tc>
          <w:tcPr>
            <w:tcW w:w="261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15,0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70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5250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1750</w:t>
            </w:r>
          </w:p>
        </w:tc>
        <w:tc>
          <w:tcPr>
            <w:tcW w:w="261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17,5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80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6000</w:t>
            </w:r>
          </w:p>
        </w:tc>
        <w:tc>
          <w:tcPr>
            <w:tcW w:w="252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2000</w:t>
            </w:r>
          </w:p>
        </w:tc>
        <w:tc>
          <w:tcPr>
            <w:tcW w:w="2610" w:type="dxa"/>
          </w:tcPr>
          <w:p w:rsidR="00DA5480" w:rsidRPr="00A530FF" w:rsidRDefault="00DA5480" w:rsidP="00FD0C7A">
            <w:pPr>
              <w:keepNext/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20,0</w:t>
            </w:r>
          </w:p>
        </w:tc>
      </w:tr>
      <w:tr w:rsidR="00930597">
        <w:tc>
          <w:tcPr>
            <w:tcW w:w="1800" w:type="dxa"/>
          </w:tcPr>
          <w:p w:rsidR="00DA5480" w:rsidRPr="00A530FF" w:rsidRDefault="00DA5480" w:rsidP="00DA5480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90</w:t>
            </w:r>
          </w:p>
        </w:tc>
        <w:tc>
          <w:tcPr>
            <w:tcW w:w="2520" w:type="dxa"/>
          </w:tcPr>
          <w:p w:rsidR="00DA5480" w:rsidRPr="00A530FF" w:rsidRDefault="00DA5480" w:rsidP="00DA5480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6750</w:t>
            </w:r>
          </w:p>
        </w:tc>
        <w:tc>
          <w:tcPr>
            <w:tcW w:w="2520" w:type="dxa"/>
          </w:tcPr>
          <w:p w:rsidR="00DA5480" w:rsidRPr="00A530FF" w:rsidRDefault="00DA5480" w:rsidP="00DA5480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2250</w:t>
            </w:r>
          </w:p>
        </w:tc>
        <w:tc>
          <w:tcPr>
            <w:tcW w:w="2610" w:type="dxa"/>
          </w:tcPr>
          <w:p w:rsidR="00DA5480" w:rsidRPr="00A530FF" w:rsidRDefault="00DA5480" w:rsidP="00DA5480">
            <w:pPr>
              <w:jc w:val="center"/>
              <w:rPr>
                <w:sz w:val="22"/>
                <w:szCs w:val="22"/>
                <w:lang w:val="hu-HU"/>
              </w:rPr>
            </w:pPr>
            <w:r w:rsidRPr="00A530FF">
              <w:rPr>
                <w:sz w:val="22"/>
                <w:szCs w:val="22"/>
                <w:lang w:val="hu-HU"/>
              </w:rPr>
              <w:t>22,5</w:t>
            </w:r>
          </w:p>
        </w:tc>
      </w:tr>
    </w:tbl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</w:p>
    <w:p w:rsidR="00DA5480" w:rsidRPr="00A530FF" w:rsidRDefault="00DA5480" w:rsidP="0015056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100</w:t>
      </w:r>
      <w:r w:rsidR="00150565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667B7D" w:rsidRPr="00A530FF">
        <w:rPr>
          <w:sz w:val="22"/>
          <w:szCs w:val="22"/>
          <w:lang w:val="hu-HU"/>
        </w:rPr>
        <w:t>testtömeg</w:t>
      </w:r>
      <w:r w:rsidR="009870BF">
        <w:rPr>
          <w:sz w:val="22"/>
          <w:szCs w:val="22"/>
          <w:lang w:val="hu-HU"/>
        </w:rPr>
        <w:t>kilogramm</w:t>
      </w:r>
      <w:r w:rsidRPr="00A530FF">
        <w:rPr>
          <w:sz w:val="22"/>
          <w:szCs w:val="22"/>
          <w:lang w:val="hu-HU"/>
        </w:rPr>
        <w:t xml:space="preserve"> feletti napi összdózis nem javasolt a </w:t>
      </w:r>
      <w:r w:rsidR="001A42FF" w:rsidRPr="00A530FF">
        <w:rPr>
          <w:sz w:val="22"/>
          <w:szCs w:val="22"/>
          <w:lang w:val="hu-HU"/>
        </w:rPr>
        <w:t>mellékhatások</w:t>
      </w:r>
      <w:r w:rsidRPr="00A530FF">
        <w:rPr>
          <w:sz w:val="22"/>
          <w:szCs w:val="22"/>
          <w:lang w:val="hu-HU"/>
        </w:rPr>
        <w:t xml:space="preserve"> esetlegesen fokozott kockázata miatt. (lásd 4.4, 4.8 és 4.9 pont).</w:t>
      </w:r>
    </w:p>
    <w:p w:rsidR="00DA5480" w:rsidRPr="00A530FF" w:rsidRDefault="00DA5480" w:rsidP="00DA5480">
      <w:pPr>
        <w:rPr>
          <w:strike/>
          <w:sz w:val="22"/>
          <w:szCs w:val="22"/>
          <w:lang w:val="hu-HU"/>
        </w:rPr>
      </w:pPr>
    </w:p>
    <w:p w:rsidR="00A055DC" w:rsidRPr="00A055DC" w:rsidRDefault="00A055DC" w:rsidP="0055462C">
      <w:pPr>
        <w:keepNext/>
        <w:rPr>
          <w:i/>
          <w:sz w:val="22"/>
          <w:szCs w:val="22"/>
          <w:lang w:val="hu-HU"/>
        </w:rPr>
      </w:pPr>
      <w:r w:rsidRPr="00A055DC">
        <w:rPr>
          <w:i/>
          <w:sz w:val="22"/>
          <w:szCs w:val="22"/>
          <w:lang w:val="hu-HU"/>
        </w:rPr>
        <w:t>Adagolás beállítása</w:t>
      </w:r>
    </w:p>
    <w:p w:rsidR="00600BEF" w:rsidRPr="00A530FF" w:rsidRDefault="00600BEF" w:rsidP="00600BE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Ferripox-nak a szervezetben a vas csökkentésére gyakorolt hatását közvetlenül befolyásolja a dózis és a vastúlterhelés mértéke. A Ferripox terápia elkezdése után a kelát-ion adagolásnak a szervezet vasháztartásának szabályozása során mutatott hosszú távú hatásosságának értékelése céljából a s</w:t>
      </w:r>
      <w:r w:rsidR="009870BF">
        <w:rPr>
          <w:sz w:val="22"/>
          <w:szCs w:val="22"/>
          <w:lang w:val="hu-HU"/>
        </w:rPr>
        <w:t>zé</w:t>
      </w:r>
      <w:r w:rsidRPr="00A530FF">
        <w:rPr>
          <w:sz w:val="22"/>
          <w:szCs w:val="22"/>
          <w:lang w:val="hu-HU"/>
        </w:rPr>
        <w:t>rumferritin</w:t>
      </w:r>
      <w:r w:rsidRPr="00A530FF">
        <w:rPr>
          <w:sz w:val="22"/>
          <w:szCs w:val="22"/>
          <w:lang w:val="hu-HU"/>
        </w:rPr>
        <w:noBreakHyphen/>
        <w:t>koncentráció vagy a szervezet vasterhelését kimutató, egyéb indikátorok két-háromhavonta történő értékelése ajánlott. A dózist az adott beteg kezelésre adott válaszreakciójának és a terápiás céloknak (a szervezet vasterhelésének fenntartása vagy csökkentése) megfelelően kell beállítani. A deferipron</w:t>
      </w:r>
      <w:r w:rsidRPr="00A530FF">
        <w:rPr>
          <w:sz w:val="22"/>
          <w:szCs w:val="22"/>
          <w:lang w:val="hu-HU"/>
        </w:rPr>
        <w:noBreakHyphen/>
        <w:t>terápia megszakítását akkor kell megfontolni, ha a s</w:t>
      </w:r>
      <w:r w:rsidR="009870BF">
        <w:rPr>
          <w:sz w:val="22"/>
          <w:szCs w:val="22"/>
          <w:lang w:val="hu-HU"/>
        </w:rPr>
        <w:t>zé</w:t>
      </w:r>
      <w:r w:rsidRPr="00A530FF">
        <w:rPr>
          <w:sz w:val="22"/>
          <w:szCs w:val="22"/>
          <w:lang w:val="hu-HU"/>
        </w:rPr>
        <w:t>rumferritinszintek 500 </w:t>
      </w:r>
      <w:r w:rsidR="009870BF">
        <w:rPr>
          <w:sz w:val="22"/>
          <w:szCs w:val="22"/>
          <w:lang w:val="hu-HU"/>
        </w:rPr>
        <w:t>mikrogramm</w:t>
      </w:r>
      <w:r w:rsidRPr="00A530FF">
        <w:rPr>
          <w:sz w:val="22"/>
          <w:szCs w:val="22"/>
          <w:lang w:val="hu-HU"/>
        </w:rPr>
        <w:t>/l alá esnek.</w:t>
      </w:r>
    </w:p>
    <w:p w:rsidR="00530C5C" w:rsidRPr="00A530FF" w:rsidRDefault="00530C5C" w:rsidP="00DA5480">
      <w:pPr>
        <w:rPr>
          <w:sz w:val="22"/>
          <w:szCs w:val="22"/>
          <w:lang w:val="hu-HU"/>
        </w:rPr>
      </w:pPr>
    </w:p>
    <w:p w:rsidR="008652E8" w:rsidRPr="00A055DC" w:rsidRDefault="008652E8" w:rsidP="008652E8">
      <w:pPr>
        <w:keepNext/>
        <w:rPr>
          <w:i/>
          <w:sz w:val="22"/>
          <w:szCs w:val="22"/>
          <w:lang w:val="hu-HU"/>
        </w:rPr>
      </w:pPr>
      <w:r w:rsidRPr="005315EE">
        <w:rPr>
          <w:i/>
          <w:sz w:val="22"/>
          <w:szCs w:val="22"/>
          <w:lang w:val="hu-HU"/>
        </w:rPr>
        <w:t>Dózis módosítása más vaskelátorokkal való együttes alkalmazás esetén</w:t>
      </w:r>
    </w:p>
    <w:p w:rsidR="008652E8" w:rsidRPr="00E24EFB" w:rsidRDefault="008652E8" w:rsidP="008652E8">
      <w:pPr>
        <w:rPr>
          <w:sz w:val="22"/>
          <w:szCs w:val="22"/>
          <w:lang w:val="hu-HU"/>
        </w:rPr>
      </w:pPr>
      <w:r w:rsidRPr="00E24EFB">
        <w:rPr>
          <w:sz w:val="22"/>
          <w:szCs w:val="22"/>
          <w:lang w:val="hu-HU"/>
        </w:rPr>
        <w:t>Azoknál a betegeknél, akiknél a monoterápia elégtelen, a Ferriprox a deferoxaminnal együtt standard dózisban (75</w:t>
      </w:r>
      <w:r>
        <w:rPr>
          <w:sz w:val="22"/>
          <w:szCs w:val="22"/>
          <w:lang w:val="hu-HU"/>
        </w:rPr>
        <w:t> </w:t>
      </w:r>
      <w:r w:rsidRPr="00E24EFB">
        <w:rPr>
          <w:sz w:val="22"/>
          <w:szCs w:val="22"/>
          <w:lang w:val="hu-HU"/>
        </w:rPr>
        <w:t>mg/kg/nap) adható, de nem haladhatja meg a 100</w:t>
      </w:r>
      <w:r>
        <w:rPr>
          <w:sz w:val="22"/>
          <w:szCs w:val="22"/>
          <w:lang w:val="hu-HU"/>
        </w:rPr>
        <w:t> </w:t>
      </w:r>
      <w:r w:rsidRPr="00E24EFB">
        <w:rPr>
          <w:sz w:val="22"/>
          <w:szCs w:val="22"/>
          <w:lang w:val="hu-HU"/>
        </w:rPr>
        <w:t>mg/kg/nap mennyiséget.</w:t>
      </w:r>
    </w:p>
    <w:p w:rsidR="008652E8" w:rsidRPr="00E24EFB" w:rsidRDefault="008652E8" w:rsidP="008652E8">
      <w:pPr>
        <w:rPr>
          <w:sz w:val="22"/>
          <w:szCs w:val="22"/>
          <w:lang w:val="hu-HU"/>
        </w:rPr>
      </w:pPr>
    </w:p>
    <w:p w:rsidR="008652E8" w:rsidRPr="00E24EFB" w:rsidRDefault="008652E8" w:rsidP="008652E8">
      <w:pPr>
        <w:rPr>
          <w:sz w:val="22"/>
          <w:szCs w:val="22"/>
          <w:lang w:val="hu-HU"/>
        </w:rPr>
      </w:pPr>
      <w:r w:rsidRPr="00E24EFB">
        <w:rPr>
          <w:sz w:val="22"/>
          <w:szCs w:val="22"/>
          <w:lang w:val="hu-HU"/>
        </w:rPr>
        <w:t>A vas által kiváltott szívelégtelenség esetén a Ferriprox</w:t>
      </w:r>
      <w:r>
        <w:rPr>
          <w:sz w:val="22"/>
          <w:szCs w:val="22"/>
          <w:lang w:val="hu-HU"/>
        </w:rPr>
        <w:noBreakHyphen/>
        <w:t>ot</w:t>
      </w:r>
      <w:r w:rsidRPr="00E24EFB">
        <w:rPr>
          <w:sz w:val="22"/>
          <w:szCs w:val="22"/>
          <w:lang w:val="hu-HU"/>
        </w:rPr>
        <w:t xml:space="preserve"> 75</w:t>
      </w:r>
      <w:r>
        <w:rPr>
          <w:sz w:val="22"/>
          <w:szCs w:val="22"/>
          <w:lang w:val="hu-HU"/>
        </w:rPr>
        <w:noBreakHyphen/>
      </w:r>
      <w:r w:rsidRPr="00E24EFB">
        <w:rPr>
          <w:sz w:val="22"/>
          <w:szCs w:val="22"/>
          <w:lang w:val="hu-HU"/>
        </w:rPr>
        <w:t>100</w:t>
      </w:r>
      <w:r>
        <w:rPr>
          <w:sz w:val="22"/>
          <w:szCs w:val="22"/>
          <w:lang w:val="hu-HU"/>
        </w:rPr>
        <w:t> </w:t>
      </w:r>
      <w:r w:rsidRPr="00E24EFB">
        <w:rPr>
          <w:sz w:val="22"/>
          <w:szCs w:val="22"/>
          <w:lang w:val="hu-HU"/>
        </w:rPr>
        <w:t>mg/kg/nap adag</w:t>
      </w:r>
      <w:r>
        <w:rPr>
          <w:sz w:val="22"/>
          <w:szCs w:val="22"/>
          <w:lang w:val="hu-HU"/>
        </w:rPr>
        <w:t>ban kell adni</w:t>
      </w:r>
      <w:r w:rsidRPr="00E24EFB">
        <w:rPr>
          <w:sz w:val="22"/>
          <w:szCs w:val="22"/>
          <w:lang w:val="hu-HU"/>
        </w:rPr>
        <w:t xml:space="preserve"> a deferoxamin</w:t>
      </w:r>
      <w:r w:rsidR="009870BF">
        <w:rPr>
          <w:sz w:val="22"/>
          <w:szCs w:val="22"/>
          <w:lang w:val="hu-HU"/>
        </w:rPr>
        <w:t>-</w:t>
      </w:r>
      <w:r w:rsidRPr="00E24EFB">
        <w:rPr>
          <w:sz w:val="22"/>
          <w:szCs w:val="22"/>
          <w:lang w:val="hu-HU"/>
        </w:rPr>
        <w:t>terápi</w:t>
      </w:r>
      <w:r>
        <w:rPr>
          <w:sz w:val="22"/>
          <w:szCs w:val="22"/>
          <w:lang w:val="hu-HU"/>
        </w:rPr>
        <w:t>a mellé</w:t>
      </w:r>
      <w:r w:rsidRPr="00E24EFB">
        <w:rPr>
          <w:sz w:val="22"/>
          <w:szCs w:val="22"/>
          <w:lang w:val="hu-HU"/>
        </w:rPr>
        <w:t xml:space="preserve">. </w:t>
      </w:r>
      <w:r>
        <w:rPr>
          <w:sz w:val="22"/>
          <w:szCs w:val="22"/>
          <w:lang w:val="hu-HU"/>
        </w:rPr>
        <w:t>Olvassa el</w:t>
      </w:r>
      <w:r w:rsidRPr="00E24EFB">
        <w:rPr>
          <w:sz w:val="22"/>
          <w:szCs w:val="22"/>
          <w:lang w:val="hu-HU"/>
        </w:rPr>
        <w:t xml:space="preserve"> a deferoxamin </w:t>
      </w:r>
      <w:r w:rsidR="009870BF">
        <w:rPr>
          <w:sz w:val="22"/>
          <w:szCs w:val="22"/>
          <w:lang w:val="hu-HU"/>
        </w:rPr>
        <w:t>a</w:t>
      </w:r>
      <w:r w:rsidRPr="00E24EFB">
        <w:rPr>
          <w:sz w:val="22"/>
          <w:szCs w:val="22"/>
          <w:lang w:val="hu-HU"/>
        </w:rPr>
        <w:t>lkalmazási előírását.</w:t>
      </w:r>
    </w:p>
    <w:p w:rsidR="008652E8" w:rsidRPr="00E24EFB" w:rsidRDefault="008652E8" w:rsidP="008652E8">
      <w:pPr>
        <w:rPr>
          <w:sz w:val="22"/>
          <w:szCs w:val="22"/>
          <w:lang w:val="hu-HU"/>
        </w:rPr>
      </w:pPr>
    </w:p>
    <w:p w:rsidR="008652E8" w:rsidRPr="00A530FF" w:rsidRDefault="008652E8" w:rsidP="008652E8">
      <w:pPr>
        <w:rPr>
          <w:sz w:val="22"/>
          <w:szCs w:val="22"/>
          <w:lang w:val="hu-HU"/>
        </w:rPr>
      </w:pPr>
      <w:r w:rsidRPr="00E24EFB">
        <w:rPr>
          <w:sz w:val="22"/>
          <w:szCs w:val="22"/>
          <w:lang w:val="hu-HU"/>
        </w:rPr>
        <w:t>Vaskelátorokkal való egyidejű alkalmazása a</w:t>
      </w:r>
      <w:r>
        <w:rPr>
          <w:sz w:val="22"/>
          <w:szCs w:val="22"/>
          <w:lang w:val="hu-HU"/>
        </w:rPr>
        <w:t xml:space="preserve"> vas</w:t>
      </w:r>
      <w:r w:rsidRPr="00E24EFB">
        <w:rPr>
          <w:sz w:val="22"/>
          <w:szCs w:val="22"/>
          <w:lang w:val="hu-HU"/>
        </w:rPr>
        <w:t xml:space="preserve"> túlzott </w:t>
      </w:r>
      <w:r>
        <w:rPr>
          <w:sz w:val="22"/>
          <w:szCs w:val="22"/>
          <w:lang w:val="hu-HU"/>
        </w:rPr>
        <w:t xml:space="preserve">mennyiségben történő </w:t>
      </w:r>
      <w:r w:rsidRPr="00E24EFB">
        <w:rPr>
          <w:sz w:val="22"/>
          <w:szCs w:val="22"/>
          <w:lang w:val="hu-HU"/>
        </w:rPr>
        <w:t>eltávolítás</w:t>
      </w:r>
      <w:r>
        <w:rPr>
          <w:sz w:val="22"/>
          <w:szCs w:val="22"/>
          <w:lang w:val="hu-HU"/>
        </w:rPr>
        <w:t>ának</w:t>
      </w:r>
      <w:r w:rsidRPr="00E24EFB">
        <w:rPr>
          <w:sz w:val="22"/>
          <w:szCs w:val="22"/>
          <w:lang w:val="hu-HU"/>
        </w:rPr>
        <w:t xml:space="preserve"> veszélye miatt nem javasolt azoknál a betegeknél, akiknek a szérum ferritinszintje nem éri el az 500</w:t>
      </w:r>
      <w:r>
        <w:rPr>
          <w:sz w:val="22"/>
          <w:szCs w:val="22"/>
          <w:lang w:val="hu-HU"/>
        </w:rPr>
        <w:t> </w:t>
      </w:r>
      <w:r w:rsidR="00BE4077">
        <w:rPr>
          <w:sz w:val="22"/>
          <w:szCs w:val="22"/>
          <w:lang w:val="hu-HU"/>
        </w:rPr>
        <w:t>mikrogramm</w:t>
      </w:r>
      <w:r w:rsidRPr="00E24EFB">
        <w:rPr>
          <w:sz w:val="22"/>
          <w:szCs w:val="22"/>
          <w:lang w:val="hu-HU"/>
        </w:rPr>
        <w:t>/l értéket.</w:t>
      </w:r>
    </w:p>
    <w:p w:rsidR="00B86235" w:rsidRPr="00A530FF" w:rsidRDefault="00B86235" w:rsidP="00B86235">
      <w:pPr>
        <w:rPr>
          <w:sz w:val="22"/>
          <w:szCs w:val="22"/>
          <w:lang w:val="hu-HU"/>
        </w:rPr>
      </w:pPr>
    </w:p>
    <w:p w:rsidR="00DA5480" w:rsidRPr="00A530FF" w:rsidRDefault="00684360" w:rsidP="00C61FC8">
      <w:pPr>
        <w:keepNext/>
        <w:rPr>
          <w:i/>
          <w:sz w:val="22"/>
          <w:szCs w:val="22"/>
          <w:lang w:val="hu-HU"/>
        </w:rPr>
      </w:pPr>
      <w:r w:rsidRPr="00684360">
        <w:rPr>
          <w:i/>
          <w:sz w:val="22"/>
          <w:szCs w:val="22"/>
          <w:lang w:val="hu-HU"/>
        </w:rPr>
        <w:t>Gyermekek és serdülők</w:t>
      </w:r>
    </w:p>
    <w:p w:rsidR="00DA5480" w:rsidRPr="00A530FF" w:rsidRDefault="00DA5480" w:rsidP="00DA548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6 és 10 év közötti gyermekeknél történő alkalmazásával kapcsolatban kevés adat áll rendelkezésre, és nincs semmilyen adat a deferipron 6 éven aluli gyermekeknél történő alkalmazására vonatkozóan.</w:t>
      </w:r>
    </w:p>
    <w:p w:rsidR="00DA5480" w:rsidRPr="00A530FF" w:rsidRDefault="00DA5480" w:rsidP="00DA5480">
      <w:pPr>
        <w:rPr>
          <w:sz w:val="22"/>
          <w:szCs w:val="22"/>
          <w:lang w:val="hu-HU"/>
        </w:rPr>
      </w:pPr>
    </w:p>
    <w:p w:rsidR="00B324E5" w:rsidRPr="00B324E5" w:rsidRDefault="00B324E5" w:rsidP="00B324E5">
      <w:pPr>
        <w:keepNext/>
        <w:rPr>
          <w:i/>
          <w:iCs/>
          <w:sz w:val="22"/>
          <w:szCs w:val="22"/>
          <w:lang w:val="hu-HU"/>
        </w:rPr>
      </w:pPr>
      <w:r w:rsidRPr="00B324E5">
        <w:rPr>
          <w:i/>
          <w:iCs/>
          <w:sz w:val="22"/>
          <w:szCs w:val="22"/>
          <w:lang w:val="hu-HU"/>
        </w:rPr>
        <w:t>Vesekárosodás</w:t>
      </w:r>
    </w:p>
    <w:p w:rsidR="00B324E5" w:rsidRPr="005358FA" w:rsidRDefault="00B324E5" w:rsidP="00B324E5">
      <w:pPr>
        <w:rPr>
          <w:sz w:val="22"/>
          <w:szCs w:val="22"/>
          <w:lang w:val="hu-HU"/>
        </w:rPr>
      </w:pPr>
      <w:r w:rsidRPr="005358FA">
        <w:rPr>
          <w:sz w:val="22"/>
          <w:szCs w:val="22"/>
          <w:lang w:val="hu-HU"/>
        </w:rPr>
        <w:t xml:space="preserve">Nincs szükség a dózis </w:t>
      </w:r>
      <w:r w:rsidR="00884D41">
        <w:rPr>
          <w:sz w:val="22"/>
          <w:szCs w:val="22"/>
          <w:lang w:val="hu-HU"/>
        </w:rPr>
        <w:t>módosítására</w:t>
      </w:r>
      <w:r w:rsidRPr="005358FA">
        <w:rPr>
          <w:sz w:val="22"/>
          <w:szCs w:val="22"/>
          <w:lang w:val="hu-HU"/>
        </w:rPr>
        <w:t xml:space="preserve"> az enyhe, közepesen súlyos vagy súlyos vesekárosodásban szenvedő betegek esetében (lásd 5.2 pont). A Ferriprox biztonságossága és farmakokinetikája a végstádiumú vesebetegségben szenvedő betegeknél nem ismert.</w:t>
      </w:r>
    </w:p>
    <w:p w:rsidR="00B324E5" w:rsidRPr="005358FA" w:rsidRDefault="00B324E5" w:rsidP="00B324E5">
      <w:pPr>
        <w:rPr>
          <w:sz w:val="22"/>
          <w:szCs w:val="22"/>
          <w:lang w:val="hu-HU"/>
        </w:rPr>
      </w:pPr>
    </w:p>
    <w:p w:rsidR="00B324E5" w:rsidRPr="00B324E5" w:rsidRDefault="00B324E5" w:rsidP="00B324E5">
      <w:pPr>
        <w:keepNext/>
        <w:rPr>
          <w:i/>
          <w:iCs/>
          <w:sz w:val="22"/>
          <w:szCs w:val="22"/>
          <w:lang w:val="hu-HU"/>
        </w:rPr>
      </w:pPr>
      <w:r w:rsidRPr="00B324E5">
        <w:rPr>
          <w:i/>
          <w:iCs/>
          <w:sz w:val="22"/>
          <w:szCs w:val="22"/>
          <w:lang w:val="hu-HU"/>
        </w:rPr>
        <w:t>Májkárosodás</w:t>
      </w:r>
    </w:p>
    <w:p w:rsidR="00B324E5" w:rsidRDefault="00B324E5" w:rsidP="00B324E5">
      <w:pPr>
        <w:rPr>
          <w:sz w:val="22"/>
          <w:szCs w:val="22"/>
          <w:lang w:val="hu-HU"/>
        </w:rPr>
      </w:pPr>
      <w:r w:rsidRPr="005358FA">
        <w:rPr>
          <w:sz w:val="22"/>
          <w:szCs w:val="22"/>
          <w:lang w:val="hu-HU"/>
        </w:rPr>
        <w:t xml:space="preserve">Nincs szükség a dózis </w:t>
      </w:r>
      <w:r w:rsidR="00884D41">
        <w:rPr>
          <w:sz w:val="22"/>
          <w:szCs w:val="22"/>
          <w:lang w:val="hu-HU"/>
        </w:rPr>
        <w:t>módosítására</w:t>
      </w:r>
      <w:r w:rsidRPr="005358FA">
        <w:rPr>
          <w:sz w:val="22"/>
          <w:szCs w:val="22"/>
          <w:lang w:val="hu-HU"/>
        </w:rPr>
        <w:t xml:space="preserve"> az enyhe vagy közepesen súlyos májkárosodásban szenvedő betegek esetében (lásd 5.2 pont). A Ferriprox biztonságossága és farmakokinetikája a súlyos májkárosodásban szenvedő betegeknél nem ismert.</w:t>
      </w:r>
    </w:p>
    <w:p w:rsidR="00B324E5" w:rsidRPr="00A530FF" w:rsidRDefault="00B324E5" w:rsidP="00B324E5">
      <w:pPr>
        <w:rPr>
          <w:sz w:val="22"/>
          <w:szCs w:val="22"/>
          <w:lang w:val="hu-HU"/>
        </w:rPr>
      </w:pPr>
    </w:p>
    <w:p w:rsidR="005C41A6" w:rsidRDefault="00DA5480" w:rsidP="00C61FC8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A</w:t>
      </w:r>
      <w:r w:rsidR="00FA06C6" w:rsidRPr="00A530FF">
        <w:rPr>
          <w:sz w:val="22"/>
          <w:szCs w:val="22"/>
          <w:u w:val="single"/>
          <w:lang w:val="hu-HU"/>
        </w:rPr>
        <w:t>z a</w:t>
      </w:r>
      <w:r w:rsidRPr="00A530FF">
        <w:rPr>
          <w:sz w:val="22"/>
          <w:szCs w:val="22"/>
          <w:u w:val="single"/>
          <w:lang w:val="hu-HU"/>
        </w:rPr>
        <w:t>lkalmazás módja</w:t>
      </w:r>
    </w:p>
    <w:p w:rsidR="00DA5480" w:rsidRPr="00A530FF" w:rsidRDefault="00DA5480" w:rsidP="00DA548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Szájon át történő alkalmazásra.</w:t>
      </w:r>
    </w:p>
    <w:p w:rsidR="00DA5480" w:rsidRPr="00A530FF" w:rsidRDefault="00DA5480" w:rsidP="00DA5480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4.3</w:t>
      </w:r>
      <w:r w:rsidRPr="00A530FF">
        <w:rPr>
          <w:b/>
          <w:sz w:val="22"/>
          <w:szCs w:val="22"/>
          <w:lang w:val="hu-HU"/>
        </w:rPr>
        <w:tab/>
        <w:t>Ellenjavallatok</w:t>
      </w:r>
    </w:p>
    <w:p w:rsidR="00DA1F84" w:rsidRPr="00A530FF" w:rsidRDefault="00DA1F84" w:rsidP="00C61FC8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150565" w:rsidP="00D53463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A készítmény hatóanyagával vagy</w:t>
      </w:r>
      <w:r w:rsidR="008B1F6A" w:rsidRPr="00A530FF">
        <w:rPr>
          <w:sz w:val="22"/>
          <w:szCs w:val="22"/>
          <w:lang w:val="hu-HU"/>
        </w:rPr>
        <w:t xml:space="preserve"> a 6.1 pontban felsorolt</w:t>
      </w:r>
      <w:r w:rsidR="00DA1F84" w:rsidRPr="00A530FF">
        <w:rPr>
          <w:sz w:val="22"/>
          <w:szCs w:val="22"/>
          <w:lang w:val="hu-HU"/>
        </w:rPr>
        <w:t xml:space="preserve"> bármely segédanyagával szembeni túlérzékenység.</w:t>
      </w:r>
    </w:p>
    <w:p w:rsidR="00DA1F84" w:rsidRPr="00A530FF" w:rsidRDefault="00150565" w:rsidP="00D53463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Kórelőzményben ismétlődő neutropeniás epizódok.</w:t>
      </w:r>
    </w:p>
    <w:p w:rsidR="00DA1F84" w:rsidRPr="00A530FF" w:rsidRDefault="00150565" w:rsidP="00D53463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Kórelőzményben szereplő agranulocytosis.</w:t>
      </w:r>
    </w:p>
    <w:p w:rsidR="00DA1F84" w:rsidRPr="00A530FF" w:rsidRDefault="00150565" w:rsidP="00D53463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Terhesség (lásd 4.6 pont).</w:t>
      </w:r>
    </w:p>
    <w:p w:rsidR="00DA5480" w:rsidRPr="00A530FF" w:rsidRDefault="00150565" w:rsidP="00D53463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5480" w:rsidRPr="00A530FF">
        <w:rPr>
          <w:sz w:val="22"/>
          <w:szCs w:val="22"/>
          <w:lang w:val="hu-HU"/>
        </w:rPr>
        <w:t>Szoptatás (lásd 4.6 pont).</w:t>
      </w:r>
    </w:p>
    <w:p w:rsidR="00DA1F84" w:rsidRPr="00A530FF" w:rsidRDefault="00150565" w:rsidP="00D53463">
      <w:pPr>
        <w:ind w:left="567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ab/>
      </w:r>
      <w:r w:rsidR="00DA1F84" w:rsidRPr="00A530FF">
        <w:rPr>
          <w:sz w:val="22"/>
          <w:szCs w:val="22"/>
          <w:lang w:val="hu-HU"/>
        </w:rPr>
        <w:t>Mivel a deferipron kiváltotta neutropenia mechanizmusa tisztázatlan, a beteg nem szedhet olyan gyógyszereket, amelyekről ismert, hogy neutropeniát okoznak, vagy olyanokat, amelyek agranulocytosist idézhetnek elő (lásd 4.5 pont).</w:t>
      </w:r>
    </w:p>
    <w:p w:rsidR="00DA1F84" w:rsidRPr="00A530FF" w:rsidRDefault="00DA1F84">
      <w:pPr>
        <w:pStyle w:val="EndnoteText"/>
        <w:tabs>
          <w:tab w:val="left" w:pos="567"/>
        </w:tabs>
        <w:rPr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4.4</w:t>
      </w:r>
      <w:r w:rsidRPr="00A530FF">
        <w:rPr>
          <w:b/>
          <w:sz w:val="22"/>
          <w:szCs w:val="22"/>
          <w:lang w:val="hu-HU"/>
        </w:rPr>
        <w:tab/>
        <w:t>Különleges figyelmeztetések és az alkalmazással kapcsolatos óvintézkedések</w:t>
      </w: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1C3689" w:rsidRPr="00A530FF" w:rsidRDefault="001C3689" w:rsidP="001C368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shd w:val="pct70" w:color="FFFFFF" w:fill="auto"/>
          <w:lang w:val="hu-HU"/>
        </w:rPr>
        <w:t>Neutropenia/Agranulocytosis</w:t>
      </w:r>
    </w:p>
    <w:p w:rsidR="001C3689" w:rsidRPr="00BE4077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b/>
          <w:sz w:val="22"/>
          <w:szCs w:val="22"/>
          <w:lang w:val="hu-HU"/>
        </w:rPr>
      </w:pPr>
      <w:r w:rsidRPr="00BE4077">
        <w:rPr>
          <w:b/>
          <w:sz w:val="22"/>
          <w:szCs w:val="22"/>
          <w:lang w:val="hu-HU"/>
        </w:rPr>
        <w:t xml:space="preserve">A deferipron neutropeniát, így agranulocytosist is okozhat </w:t>
      </w:r>
      <w:r w:rsidRPr="00F75EF0">
        <w:rPr>
          <w:b/>
          <w:bCs/>
          <w:sz w:val="22"/>
          <w:szCs w:val="22"/>
          <w:lang w:val="hu"/>
        </w:rPr>
        <w:t>(lásd 4.8 pont „Egyes kiválasztott mellékhatások leírása”)</w:t>
      </w:r>
      <w:r w:rsidRPr="00BE4077">
        <w:rPr>
          <w:b/>
          <w:sz w:val="22"/>
          <w:szCs w:val="22"/>
          <w:lang w:val="hu-HU"/>
        </w:rPr>
        <w:t xml:space="preserve">. </w:t>
      </w:r>
      <w:r w:rsidRPr="00F75EF0">
        <w:rPr>
          <w:b/>
          <w:bCs/>
          <w:sz w:val="22"/>
          <w:szCs w:val="22"/>
          <w:lang w:val="hu"/>
        </w:rPr>
        <w:t>A terápia első évében a beteg abszolút neutrofilszámát (ANC) hetente kell ellenőrizni. Azoknál a betegeknél, akiknél a neutrofilszám csökkenése miatt a terápia első évében a Ferriprox</w:t>
      </w:r>
      <w:r w:rsidR="00BE4077">
        <w:rPr>
          <w:b/>
          <w:bCs/>
          <w:sz w:val="22"/>
          <w:szCs w:val="22"/>
          <w:lang w:val="hu"/>
        </w:rPr>
        <w:t>-</w:t>
      </w:r>
      <w:r w:rsidRPr="00F75EF0">
        <w:rPr>
          <w:b/>
          <w:bCs/>
          <w:sz w:val="22"/>
          <w:szCs w:val="22"/>
          <w:lang w:val="hu"/>
        </w:rPr>
        <w:t>kezelés</w:t>
      </w:r>
      <w:r w:rsidR="00BE4077">
        <w:rPr>
          <w:b/>
          <w:bCs/>
          <w:sz w:val="22"/>
          <w:szCs w:val="22"/>
          <w:lang w:val="hu"/>
        </w:rPr>
        <w:t>t</w:t>
      </w:r>
      <w:r w:rsidRPr="00F75EF0">
        <w:rPr>
          <w:b/>
          <w:bCs/>
          <w:sz w:val="22"/>
          <w:szCs w:val="22"/>
          <w:lang w:val="hu"/>
        </w:rPr>
        <w:t xml:space="preserve"> nem szakították meg, az ANC-ellenőrzés a deferipron</w:t>
      </w:r>
      <w:r w:rsidR="00BE4077">
        <w:rPr>
          <w:b/>
          <w:bCs/>
          <w:sz w:val="22"/>
          <w:szCs w:val="22"/>
          <w:lang w:val="hu"/>
        </w:rPr>
        <w:t>-</w:t>
      </w:r>
      <w:r w:rsidRPr="00F75EF0">
        <w:rPr>
          <w:b/>
          <w:bCs/>
          <w:sz w:val="22"/>
          <w:szCs w:val="22"/>
          <w:lang w:val="hu"/>
        </w:rPr>
        <w:t>kezelés után egy év elteltével meghosszabbítható a beteg vérátömlesztési intervallumára (2–4 hetenként).</w:t>
      </w:r>
    </w:p>
    <w:p w:rsidR="001C3689" w:rsidRPr="00B70908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</w:p>
    <w:p w:rsidR="001C3689" w:rsidRPr="00B70908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  <w:r w:rsidRPr="00C47F28">
        <w:rPr>
          <w:sz w:val="22"/>
          <w:szCs w:val="22"/>
          <w:lang w:val="hu-HU"/>
        </w:rPr>
        <w:t>A 12 hónapos Ferriprox</w:t>
      </w:r>
      <w:r w:rsidR="00BE4077">
        <w:rPr>
          <w:sz w:val="22"/>
          <w:szCs w:val="22"/>
          <w:lang w:val="hu-HU"/>
        </w:rPr>
        <w:t>-</w:t>
      </w:r>
      <w:r w:rsidRPr="00BE4077">
        <w:rPr>
          <w:sz w:val="22"/>
          <w:szCs w:val="22"/>
          <w:lang w:val="hu-HU"/>
        </w:rPr>
        <w:t xml:space="preserve">terápia után a transzfúziós látogatások idején a heti ANC-ellenőrzésről való áttérést az egyes betegeknél </w:t>
      </w:r>
      <w:r w:rsidRPr="00B70908">
        <w:rPr>
          <w:sz w:val="22"/>
          <w:szCs w:val="22"/>
          <w:lang w:val="hu-HU"/>
        </w:rPr>
        <w:t>egyénenként kell meghatározni, annak alapján, hogy az orvos hogyan értékeli a beteg hozzáállását a terápia során szükséges kockázatminimalizálási intézkedésekhez (lásd 4.4 pont alább).</w:t>
      </w:r>
    </w:p>
    <w:p w:rsidR="001C3689" w:rsidRPr="00C47F28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</w:p>
    <w:p w:rsidR="001C3689" w:rsidRDefault="001C3689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  <w:r w:rsidRPr="004B5B1C">
        <w:rPr>
          <w:sz w:val="22"/>
          <w:szCs w:val="22"/>
          <w:lang w:val="hu-HU"/>
        </w:rPr>
        <w:t>A klinikai vizsgálatokban a heti ellenőrzés hatékonynak bizonyult a ne</w:t>
      </w:r>
      <w:r w:rsidRPr="002E0B74">
        <w:rPr>
          <w:sz w:val="22"/>
          <w:szCs w:val="22"/>
          <w:lang w:val="hu-HU"/>
        </w:rPr>
        <w:t>utropeniás</w:t>
      </w:r>
      <w:r w:rsidR="00BE4077">
        <w:rPr>
          <w:sz w:val="22"/>
          <w:szCs w:val="22"/>
          <w:lang w:val="hu-HU"/>
        </w:rPr>
        <w:t>,</w:t>
      </w:r>
      <w:r w:rsidRPr="00BE4077">
        <w:rPr>
          <w:sz w:val="22"/>
          <w:szCs w:val="22"/>
          <w:lang w:val="hu-HU"/>
        </w:rPr>
        <w:t xml:space="preserve"> illetve agranulocytosisos esetek felismerésére. Az agranulocytosis és a neutropenia általában megszűnik a Ferriprox</w:t>
      </w:r>
      <w:r w:rsidR="00B70908">
        <w:rPr>
          <w:sz w:val="22"/>
          <w:szCs w:val="22"/>
          <w:lang w:val="hu-HU"/>
        </w:rPr>
        <w:t>-</w:t>
      </w:r>
      <w:r w:rsidRPr="00BE4077">
        <w:rPr>
          <w:sz w:val="22"/>
          <w:szCs w:val="22"/>
          <w:lang w:val="hu-HU"/>
        </w:rPr>
        <w:t>kezelés abbahagyása után, de beszámoltak agranulocitytosis okozta halálesetekről. Ha a betegnél fertőzés alakul ki a deferipron</w:t>
      </w:r>
      <w:r w:rsidR="00B70908">
        <w:rPr>
          <w:sz w:val="22"/>
          <w:szCs w:val="22"/>
          <w:lang w:val="hu-HU"/>
        </w:rPr>
        <w:t>-</w:t>
      </w:r>
      <w:r w:rsidRPr="00BE4077">
        <w:rPr>
          <w:sz w:val="22"/>
          <w:szCs w:val="22"/>
          <w:lang w:val="hu-HU"/>
        </w:rPr>
        <w:t>kez</w:t>
      </w:r>
      <w:r w:rsidRPr="00B70908">
        <w:rPr>
          <w:sz w:val="22"/>
          <w:szCs w:val="22"/>
          <w:lang w:val="hu-HU"/>
        </w:rPr>
        <w:t>elés közben, a terápiát azonnal meg kell szakítani és a neutrofilszámot haladéktalanul ellenőrizni kell. A neutrofilszámot ezután gyakrabban kell ellenőrizni.</w:t>
      </w:r>
    </w:p>
    <w:p w:rsidR="008D22ED" w:rsidRDefault="008D22ED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sz w:val="22"/>
          <w:szCs w:val="22"/>
          <w:lang w:val="hu-HU"/>
        </w:rPr>
      </w:pPr>
    </w:p>
    <w:p w:rsidR="008D22ED" w:rsidRPr="008D22ED" w:rsidRDefault="008D22ED" w:rsidP="001C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b/>
          <w:sz w:val="22"/>
          <w:szCs w:val="22"/>
          <w:lang w:val="hu-HU"/>
        </w:rPr>
      </w:pPr>
      <w:r w:rsidRPr="008D22ED">
        <w:rPr>
          <w:b/>
          <w:sz w:val="22"/>
          <w:szCs w:val="22"/>
          <w:lang w:val="hu-HU"/>
        </w:rPr>
        <w:t>A beteg figyelmét fel kell hívni arra, hogy azonnal jelentkezzen orvosánál, ha fertőzésre utaló jeleket észlel, mint pl. láz, torokfájás vagy influenzaszerű tünetek. Ha a beteg fertőzést tapasztal, a deferipron-kezelést azonnal meg kell szakítani.</w:t>
      </w:r>
    </w:p>
    <w:p w:rsidR="00B324E5" w:rsidRDefault="00B324E5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neutropenia kezelésének módját </w:t>
      </w:r>
      <w:r w:rsidR="00B70908">
        <w:rPr>
          <w:sz w:val="22"/>
          <w:szCs w:val="22"/>
          <w:lang w:val="hu-HU"/>
        </w:rPr>
        <w:t xml:space="preserve">az </w:t>
      </w:r>
      <w:r w:rsidRPr="00A530FF">
        <w:rPr>
          <w:sz w:val="22"/>
          <w:szCs w:val="22"/>
          <w:lang w:val="hu-HU"/>
        </w:rPr>
        <w:t>alábbiakban vázoljuk. Ajánlott egy ilyen kezelési protokoll összeállítása, mielőtt a beteg deferipron-terápiája megkezdődne.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t>Deferipron-kezelés nem alkalmazható ha a beteg neutropeniás. Az agranulocytosis és a neutropenia kockázata nagyobb, ha az ANC kiindulási értéke kevesebb mint 1,5</w:t>
      </w:r>
      <w:r w:rsidR="00B70908">
        <w:rPr>
          <w:szCs w:val="22"/>
          <w:lang w:val="hu-HU"/>
        </w:rPr>
        <w:t>×</w:t>
      </w:r>
      <w:r w:rsidRPr="00A530FF">
        <w:rPr>
          <w:szCs w:val="22"/>
          <w:lang w:val="hu-HU"/>
        </w:rPr>
        <w:t>10</w:t>
      </w:r>
      <w:r w:rsidRPr="00A530FF">
        <w:rPr>
          <w:szCs w:val="22"/>
          <w:vertAlign w:val="superscript"/>
          <w:lang w:val="hu-HU"/>
        </w:rPr>
        <w:t>9</w:t>
      </w:r>
      <w:r w:rsidRPr="00A530FF">
        <w:rPr>
          <w:szCs w:val="22"/>
          <w:lang w:val="hu-HU"/>
        </w:rPr>
        <w:t>/l.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EE4089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Neutropenia esetén</w:t>
      </w:r>
      <w:r w:rsidR="0035726F">
        <w:rPr>
          <w:iCs/>
          <w:sz w:val="22"/>
          <w:szCs w:val="22"/>
          <w:u w:val="single"/>
          <w:lang w:val="hu-HU"/>
        </w:rPr>
        <w:t xml:space="preserve"> </w:t>
      </w:r>
      <w:r w:rsidR="0035726F" w:rsidRPr="00A076D1">
        <w:rPr>
          <w:sz w:val="22"/>
          <w:szCs w:val="22"/>
          <w:u w:val="single"/>
          <w:lang w:val="hu"/>
        </w:rPr>
        <w:t>(ANC &lt; 1,5</w:t>
      </w:r>
      <w:r w:rsidR="00B70908">
        <w:rPr>
          <w:sz w:val="22"/>
          <w:szCs w:val="22"/>
          <w:u w:val="single"/>
          <w:lang w:val="hu"/>
        </w:rPr>
        <w:t>×</w:t>
      </w:r>
      <w:r w:rsidR="0035726F" w:rsidRPr="00A076D1">
        <w:rPr>
          <w:sz w:val="22"/>
          <w:szCs w:val="22"/>
          <w:u w:val="single"/>
          <w:lang w:val="hu"/>
        </w:rPr>
        <w:t>10</w:t>
      </w:r>
      <w:r w:rsidR="0035726F" w:rsidRPr="00A076D1">
        <w:rPr>
          <w:sz w:val="22"/>
          <w:szCs w:val="22"/>
          <w:u w:val="single"/>
          <w:vertAlign w:val="superscript"/>
          <w:lang w:val="hu"/>
        </w:rPr>
        <w:t>9</w:t>
      </w:r>
      <w:r w:rsidR="0035726F" w:rsidRPr="00A076D1">
        <w:rPr>
          <w:sz w:val="22"/>
          <w:szCs w:val="22"/>
          <w:u w:val="single"/>
          <w:lang w:val="hu"/>
        </w:rPr>
        <w:t>/l és &gt; 0,5</w:t>
      </w:r>
      <w:r w:rsidR="00B70908">
        <w:rPr>
          <w:sz w:val="22"/>
          <w:szCs w:val="22"/>
          <w:u w:val="single"/>
          <w:lang w:val="hu"/>
        </w:rPr>
        <w:t>×</w:t>
      </w:r>
      <w:r w:rsidR="0035726F" w:rsidRPr="00A076D1">
        <w:rPr>
          <w:sz w:val="22"/>
          <w:szCs w:val="22"/>
          <w:u w:val="single"/>
          <w:lang w:val="hu"/>
        </w:rPr>
        <w:t>10</w:t>
      </w:r>
      <w:r w:rsidR="0035726F" w:rsidRPr="00A076D1">
        <w:rPr>
          <w:sz w:val="22"/>
          <w:szCs w:val="22"/>
          <w:u w:val="single"/>
          <w:vertAlign w:val="superscript"/>
          <w:lang w:val="hu"/>
        </w:rPr>
        <w:t>9</w:t>
      </w:r>
      <w:r w:rsidR="0035726F" w:rsidRPr="00A076D1">
        <w:rPr>
          <w:sz w:val="22"/>
          <w:szCs w:val="22"/>
          <w:u w:val="single"/>
          <w:lang w:val="hu"/>
        </w:rPr>
        <w:t>/l)</w:t>
      </w:r>
      <w:r w:rsidRPr="00A530FF">
        <w:rPr>
          <w:iCs/>
          <w:sz w:val="22"/>
          <w:szCs w:val="22"/>
          <w:u w:val="single"/>
          <w:lang w:val="hu-HU"/>
        </w:rPr>
        <w:t>: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Utasítsa a beteget, hogy azonnal hagyja abba a deferipron és minden más olyan gyógyszer szedését, amely neutropeniát okozhat. Javasolni kell a betegnek, hogy kerülje </w:t>
      </w:r>
      <w:r w:rsidR="00B70908">
        <w:rPr>
          <w:sz w:val="22"/>
          <w:szCs w:val="22"/>
          <w:lang w:val="hu-HU"/>
        </w:rPr>
        <w:t xml:space="preserve">a </w:t>
      </w:r>
      <w:r w:rsidRPr="00A530FF">
        <w:rPr>
          <w:sz w:val="22"/>
          <w:szCs w:val="22"/>
          <w:lang w:val="hu-HU"/>
        </w:rPr>
        <w:t>személyes érintkezést másokkal, csökkentve ezáltal a fertőzés kockázatát. A diagnózist követően azonnal teljes vérvizsgálatot kell végezni, és ellenőrizni kell a magvas vörösvérsejtekkel korrigált fehérvérsejt-, és neutrofil- és thrombocytaszámot. Ezeket a vizsgálatokat naponta meg kell ismételni. A neutropeniából való felépülés után ajánlott további három héten át hetente ellenőrizni a teljes vérképet, a fehérvérsejt-, a neutrofil- és a thrombocytaszámot, hogy meggyőződjünk arról, hogy a csontvelő sejtképzése teljes mértékben helyreállt. Bármilyen fertőzésre utaló jel, így neutropenia jelentkezése esetén a szükséges tenyésztési és diagnosztikai vizsgálatokat el kell végezni, és a megfelelő terápiás kezelést el</w:t>
      </w:r>
      <w:r w:rsidR="00B70908">
        <w:rPr>
          <w:sz w:val="22"/>
          <w:szCs w:val="22"/>
          <w:lang w:val="hu-HU"/>
        </w:rPr>
        <w:t xml:space="preserve"> kell </w:t>
      </w:r>
      <w:r w:rsidRPr="00A530FF">
        <w:rPr>
          <w:sz w:val="22"/>
          <w:szCs w:val="22"/>
          <w:lang w:val="hu-HU"/>
        </w:rPr>
        <w:t>kezdeni.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35726F">
      <w:pPr>
        <w:keepNext/>
        <w:rPr>
          <w:iCs/>
          <w:sz w:val="22"/>
          <w:szCs w:val="22"/>
          <w:u w:val="single"/>
          <w:lang w:val="hu-HU"/>
        </w:rPr>
      </w:pPr>
      <w:r w:rsidRPr="00A076D1">
        <w:rPr>
          <w:sz w:val="22"/>
          <w:szCs w:val="22"/>
          <w:u w:val="single"/>
          <w:lang w:val="hu"/>
        </w:rPr>
        <w:t>Agranulocytosis esetén (ANC &lt; 0,5</w:t>
      </w:r>
      <w:r w:rsidR="00B70908">
        <w:rPr>
          <w:sz w:val="22"/>
          <w:szCs w:val="22"/>
          <w:u w:val="single"/>
          <w:lang w:val="hu"/>
        </w:rPr>
        <w:t>×</w:t>
      </w:r>
      <w:r w:rsidRPr="00A076D1">
        <w:rPr>
          <w:sz w:val="22"/>
          <w:szCs w:val="22"/>
          <w:u w:val="single"/>
          <w:lang w:val="hu"/>
        </w:rPr>
        <w:t>10</w:t>
      </w:r>
      <w:r w:rsidRPr="00A076D1">
        <w:rPr>
          <w:sz w:val="22"/>
          <w:szCs w:val="22"/>
          <w:u w:val="single"/>
          <w:vertAlign w:val="superscript"/>
          <w:lang w:val="hu"/>
        </w:rPr>
        <w:t>9</w:t>
      </w:r>
      <w:r w:rsidRPr="00A076D1">
        <w:rPr>
          <w:sz w:val="22"/>
          <w:szCs w:val="22"/>
          <w:u w:val="single"/>
          <w:lang w:val="hu"/>
        </w:rPr>
        <w:t>/l)</w:t>
      </w:r>
      <w:r w:rsidR="00DA1F84" w:rsidRPr="00A530FF">
        <w:rPr>
          <w:iCs/>
          <w:sz w:val="22"/>
          <w:szCs w:val="22"/>
          <w:u w:val="single"/>
          <w:lang w:val="hu-HU"/>
        </w:rPr>
        <w:t>: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fentiek szerint kell eljárni, és a pozitív diagnózis napján a megfelelő terápiát, pl. granulocyta kolóniastimuláló faktor alkalmazás</w:t>
      </w:r>
      <w:r w:rsidR="00B70908">
        <w:rPr>
          <w:sz w:val="22"/>
          <w:szCs w:val="22"/>
          <w:lang w:val="hu-HU"/>
        </w:rPr>
        <w:t>a,</w:t>
      </w:r>
      <w:r w:rsidRPr="00A530FF">
        <w:rPr>
          <w:sz w:val="22"/>
          <w:szCs w:val="22"/>
          <w:lang w:val="hu-HU"/>
        </w:rPr>
        <w:t xml:space="preserve"> meg kell kezdeni</w:t>
      </w:r>
      <w:r w:rsidR="00B70908">
        <w:rPr>
          <w:sz w:val="22"/>
          <w:szCs w:val="22"/>
          <w:lang w:val="hu-HU"/>
        </w:rPr>
        <w:t>, majd</w:t>
      </w:r>
      <w:r w:rsidRPr="00A530FF">
        <w:rPr>
          <w:sz w:val="22"/>
          <w:szCs w:val="22"/>
          <w:lang w:val="hu-HU"/>
        </w:rPr>
        <w:t xml:space="preserve"> naponta alkalmaz</w:t>
      </w:r>
      <w:r w:rsidR="00B70908">
        <w:rPr>
          <w:sz w:val="22"/>
          <w:szCs w:val="22"/>
          <w:lang w:val="hu-HU"/>
        </w:rPr>
        <w:t xml:space="preserve">ni </w:t>
      </w:r>
      <w:r w:rsidRPr="00A530FF">
        <w:rPr>
          <w:sz w:val="22"/>
          <w:szCs w:val="22"/>
          <w:lang w:val="hu-HU"/>
        </w:rPr>
        <w:t xml:space="preserve">a tünet(ek) megszűnéséig. Védelme érdekében </w:t>
      </w:r>
      <w:r w:rsidR="00B70908">
        <w:rPr>
          <w:sz w:val="22"/>
          <w:szCs w:val="22"/>
          <w:lang w:val="hu-HU"/>
        </w:rPr>
        <w:t xml:space="preserve">a beteget </w:t>
      </w:r>
      <w:r w:rsidRPr="00A530FF">
        <w:rPr>
          <w:sz w:val="22"/>
          <w:szCs w:val="22"/>
          <w:lang w:val="hu-HU"/>
        </w:rPr>
        <w:t xml:space="preserve">el kell különíteni, illetve ha orvosilag indokolt, kórházba </w:t>
      </w:r>
      <w:r w:rsidR="00B70908">
        <w:rPr>
          <w:sz w:val="22"/>
          <w:szCs w:val="22"/>
          <w:lang w:val="hu-HU"/>
        </w:rPr>
        <w:t xml:space="preserve">kell </w:t>
      </w:r>
      <w:r w:rsidRPr="00A530FF">
        <w:rPr>
          <w:sz w:val="22"/>
          <w:szCs w:val="22"/>
          <w:lang w:val="hu-HU"/>
        </w:rPr>
        <w:t>utalni.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kezelés ismételt megkezdésének hatásairól kevés adat áll rendelkezésre. Ezért neutropenia esetén a kezelés újbóli megkezdése nem javasolt. Agranulocytosis esetén a kezelés újrakezdése ellenjavallott.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Rákkeltő hatás/mutagén hatás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genotoxicitási eredmények alapján a deferipron rákkeltő hatása nem zárható ki (lásd 5.3 pont).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97009" w:rsidP="00C61FC8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 xml:space="preserve">A </w:t>
      </w:r>
      <w:r w:rsidR="00DA1F84" w:rsidRPr="00A530FF">
        <w:rPr>
          <w:iCs/>
          <w:sz w:val="22"/>
          <w:szCs w:val="22"/>
          <w:u w:val="single"/>
          <w:lang w:val="hu-HU"/>
        </w:rPr>
        <w:t>plazma Zn</w:t>
      </w:r>
      <w:r w:rsidR="00DA1F84" w:rsidRPr="00A530FF">
        <w:rPr>
          <w:iCs/>
          <w:sz w:val="22"/>
          <w:szCs w:val="22"/>
          <w:u w:val="single"/>
          <w:vertAlign w:val="superscript"/>
          <w:lang w:val="hu-HU"/>
        </w:rPr>
        <w:t>2+</w:t>
      </w:r>
      <w:r w:rsidR="00B70908">
        <w:rPr>
          <w:iCs/>
          <w:sz w:val="22"/>
          <w:szCs w:val="22"/>
          <w:u w:val="single"/>
          <w:lang w:val="hu-HU"/>
        </w:rPr>
        <w:t>-</w:t>
      </w:r>
      <w:r w:rsidR="00DA1F84" w:rsidRPr="00A530FF">
        <w:rPr>
          <w:iCs/>
          <w:sz w:val="22"/>
          <w:szCs w:val="22"/>
          <w:u w:val="single"/>
          <w:lang w:val="hu-HU"/>
        </w:rPr>
        <w:t>koncentrációja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Javasolt a plazma Zn</w:t>
      </w:r>
      <w:r w:rsidRPr="00A530FF">
        <w:rPr>
          <w:sz w:val="22"/>
          <w:szCs w:val="22"/>
          <w:vertAlign w:val="superscript"/>
          <w:lang w:val="hu-HU"/>
        </w:rPr>
        <w:t>2+</w:t>
      </w:r>
      <w:r w:rsidR="00B70908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szintjének ellenőrzése, illetve hiány esetén pótlása.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HIV-pozitív illetve egyéb immunkompromittált állapotban lévő betegek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áll rendelkezésre adat a deferipron alkalmazásáról HIV-pozitív vagy egyéb immunkompromittált állapotban lévő betegek esetében. Mivel a deferipron neutropeniát és agranulocytosist okozhat, immunkompromittált állapotban lévő betegek esetében csak akkor alkalmazható a kezelést, ha a várható potenciális előnyök nagyobbak, mint a kezelés potenciális kockázata.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Vese- vagy májkárosodás, májfibrózis</w:t>
      </w:r>
    </w:p>
    <w:p w:rsidR="008A5B48" w:rsidRPr="00A530FF" w:rsidRDefault="008A5B48" w:rsidP="008A5B48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Nem állnak rendelkezésre adatok deferipron alkalmazására </w:t>
      </w:r>
      <w:r w:rsidRPr="00EC17FF">
        <w:rPr>
          <w:sz w:val="22"/>
          <w:szCs w:val="22"/>
          <w:lang w:val="hu-HU"/>
        </w:rPr>
        <w:t xml:space="preserve">vonatkozóan a végstádiumú vesebetegségben vagy súlyos májkárosodásban szenvedő betegeknél (lásd 5.2 pont). </w:t>
      </w:r>
      <w:r w:rsidRPr="00EC17FF">
        <w:rPr>
          <w:sz w:val="22"/>
          <w:szCs w:val="22"/>
          <w:lang w:val="hu"/>
        </w:rPr>
        <w:t xml:space="preserve">Végstádiumú vesebetegségben vagy súlyos májkárosodásban szenvedő betegeknél </w:t>
      </w:r>
      <w:r w:rsidRPr="00A530FF">
        <w:rPr>
          <w:sz w:val="22"/>
          <w:szCs w:val="22"/>
          <w:lang w:val="hu-HU"/>
        </w:rPr>
        <w:t>elővigyázatossággal kell eljárni. A deferipron</w:t>
      </w:r>
      <w:r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terápia alatt folyamatosan ellenőrizni kell az ilyen betegek vese- és májműködését. Amennyiben állandó növekedés figyelhető meg a szérum alanin</w:t>
      </w:r>
      <w:r w:rsidR="00C94B2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aminotranszferáz</w:t>
      </w:r>
      <w:r w:rsidR="00C94B2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 xml:space="preserve"> (AL</w:t>
      </w:r>
      <w:r w:rsidR="00C94B2F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T</w:t>
      </w:r>
      <w:r w:rsidR="00B70908">
        <w:rPr>
          <w:sz w:val="22"/>
          <w:szCs w:val="22"/>
          <w:lang w:val="hu-HU"/>
        </w:rPr>
        <w:t>, SGPT</w:t>
      </w:r>
      <w:r w:rsidRPr="00A530FF">
        <w:rPr>
          <w:sz w:val="22"/>
          <w:szCs w:val="22"/>
          <w:lang w:val="hu-HU"/>
        </w:rPr>
        <w:t>) szintjében, fontolóra kell venni a deferipron-terápia felfüggesztését.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Thalessaemiás betegek esetében kapcsolat áll fenn a májfibrózis valamint a vastúlterhelés és/vagy hepatitis C között. Különös figyelmet kell fordítani a hepatitis C-ben szenvedő betegek optimális vaskelációjának biztosítására. Ilyen betegeknél javasolt a máj hisztológiai elváltozásának gondos megfigyelése.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A vizelet elszíneződése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Tájékoztatni kell a betegeket, hogy vizeletük pirosas-barnásra színeződhet a vas-deferipron komplex kiválasztása következtében.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316F9F" w:rsidRPr="00A530FF" w:rsidRDefault="00316F9F" w:rsidP="00316F9F">
      <w:pPr>
        <w:keepNext/>
        <w:rPr>
          <w:iCs/>
          <w:sz w:val="22"/>
          <w:szCs w:val="22"/>
          <w:u w:val="single"/>
          <w:lang w:val="hu-HU"/>
        </w:rPr>
      </w:pPr>
      <w:r>
        <w:rPr>
          <w:iCs/>
          <w:sz w:val="22"/>
          <w:szCs w:val="22"/>
          <w:u w:val="single"/>
          <w:lang w:val="hu-HU"/>
        </w:rPr>
        <w:t>N</w:t>
      </w:r>
      <w:r w:rsidRPr="00A530FF">
        <w:rPr>
          <w:iCs/>
          <w:sz w:val="22"/>
          <w:szCs w:val="22"/>
          <w:u w:val="single"/>
          <w:lang w:val="hu-HU"/>
        </w:rPr>
        <w:t>eurológiai rendellenességek</w:t>
      </w:r>
    </w:p>
    <w:p w:rsidR="00316F9F" w:rsidRPr="00A530FF" w:rsidRDefault="00316F9F" w:rsidP="00316F9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Neurológiai rendellenességeket észleltek olyan gyermekeknél, akiket több éven át a javasolt </w:t>
      </w:r>
      <w:r w:rsidRPr="00316F9F">
        <w:rPr>
          <w:sz w:val="22"/>
          <w:szCs w:val="22"/>
          <w:lang w:val="hu-HU"/>
        </w:rPr>
        <w:t xml:space="preserve">maximális </w:t>
      </w:r>
      <w:r w:rsidRPr="00A530FF">
        <w:rPr>
          <w:sz w:val="22"/>
          <w:szCs w:val="22"/>
          <w:lang w:val="hu-HU"/>
        </w:rPr>
        <w:t>dózis két és félszeresével kezeltek</w:t>
      </w:r>
      <w:r w:rsidRPr="00316F9F">
        <w:rPr>
          <w:sz w:val="22"/>
          <w:szCs w:val="22"/>
          <w:lang w:val="hu-HU"/>
        </w:rPr>
        <w:t>, de olyanoknál is, akiket standard dózisú deferipronnal kezeltek</w:t>
      </w:r>
      <w:r w:rsidRPr="00A530FF">
        <w:rPr>
          <w:sz w:val="22"/>
          <w:szCs w:val="22"/>
          <w:lang w:val="hu-HU"/>
        </w:rPr>
        <w:t>. Felhívjuk a gyógyszert felíró orvosok figyelmét, hogy a 100 mg/testtömegkilogramm/nap feletti dózisok alkalmazása nem javasolt</w:t>
      </w:r>
      <w:r w:rsidRPr="00316F9F">
        <w:rPr>
          <w:sz w:val="22"/>
          <w:szCs w:val="22"/>
          <w:lang w:val="hu-HU"/>
        </w:rPr>
        <w:t xml:space="preserve">. A deferipron alkalmazását </w:t>
      </w:r>
      <w:r w:rsidR="00CC5774">
        <w:rPr>
          <w:sz w:val="22"/>
          <w:szCs w:val="22"/>
          <w:lang w:val="hu-HU"/>
        </w:rPr>
        <w:t>abba</w:t>
      </w:r>
      <w:r w:rsidR="00CC5774" w:rsidRPr="00316F9F">
        <w:rPr>
          <w:sz w:val="22"/>
          <w:szCs w:val="22"/>
          <w:lang w:val="hu-HU"/>
        </w:rPr>
        <w:t xml:space="preserve"> kell </w:t>
      </w:r>
      <w:r w:rsidR="00CC5774">
        <w:rPr>
          <w:sz w:val="22"/>
          <w:szCs w:val="22"/>
          <w:lang w:val="hu-HU"/>
        </w:rPr>
        <w:t>hagyni</w:t>
      </w:r>
      <w:r w:rsidR="00CC5774" w:rsidRPr="00316F9F">
        <w:rPr>
          <w:sz w:val="22"/>
          <w:szCs w:val="22"/>
          <w:lang w:val="hu-HU"/>
        </w:rPr>
        <w:t xml:space="preserve">, </w:t>
      </w:r>
      <w:r w:rsidRPr="00316F9F">
        <w:rPr>
          <w:sz w:val="22"/>
          <w:szCs w:val="22"/>
          <w:lang w:val="hu-HU"/>
        </w:rPr>
        <w:t>ha neurológiai rendellenességeket észlelnek</w:t>
      </w:r>
      <w:r w:rsidRPr="00A530FF">
        <w:rPr>
          <w:sz w:val="22"/>
          <w:szCs w:val="22"/>
          <w:lang w:val="hu-HU"/>
        </w:rPr>
        <w:t xml:space="preserve"> (lásd 4.8 és 4.9 pont).</w:t>
      </w:r>
    </w:p>
    <w:p w:rsidR="00B86235" w:rsidRPr="00B86235" w:rsidRDefault="00B86235" w:rsidP="00B86235">
      <w:pPr>
        <w:tabs>
          <w:tab w:val="left" w:pos="567"/>
        </w:tabs>
        <w:rPr>
          <w:sz w:val="22"/>
          <w:szCs w:val="22"/>
          <w:lang w:val="hu-HU"/>
        </w:rPr>
      </w:pPr>
    </w:p>
    <w:p w:rsidR="008652E8" w:rsidRPr="00B86235" w:rsidRDefault="008652E8" w:rsidP="008652E8">
      <w:pPr>
        <w:keepNext/>
        <w:tabs>
          <w:tab w:val="left" w:pos="567"/>
        </w:tabs>
        <w:rPr>
          <w:sz w:val="22"/>
          <w:szCs w:val="22"/>
          <w:u w:val="single"/>
          <w:lang w:val="hu-HU"/>
        </w:rPr>
      </w:pPr>
      <w:r w:rsidRPr="0031302E">
        <w:rPr>
          <w:sz w:val="22"/>
          <w:szCs w:val="22"/>
          <w:u w:val="single"/>
          <w:lang w:val="hu-HU"/>
        </w:rPr>
        <w:t>Együttes alkalmazása más vaskelátorokkal</w:t>
      </w:r>
    </w:p>
    <w:p w:rsidR="008652E8" w:rsidRPr="00B86235" w:rsidRDefault="008652E8" w:rsidP="008652E8">
      <w:pPr>
        <w:tabs>
          <w:tab w:val="left" w:pos="567"/>
        </w:tabs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 xml:space="preserve">A kombinált kezelést eseti elbírálás alapján kell </w:t>
      </w:r>
      <w:r>
        <w:rPr>
          <w:sz w:val="22"/>
          <w:szCs w:val="22"/>
          <w:lang w:val="hu-HU"/>
        </w:rPr>
        <w:t>mérlegelni</w:t>
      </w:r>
      <w:r w:rsidRPr="0031302E">
        <w:rPr>
          <w:sz w:val="22"/>
          <w:szCs w:val="22"/>
          <w:lang w:val="hu-HU"/>
        </w:rPr>
        <w:t xml:space="preserve">. A terápiára adott választ rendszeresen értékelni kell, és a </w:t>
      </w:r>
      <w:r>
        <w:rPr>
          <w:sz w:val="22"/>
          <w:szCs w:val="22"/>
          <w:lang w:val="hu-HU"/>
        </w:rPr>
        <w:t>nemkívánatos események</w:t>
      </w:r>
      <w:r w:rsidRPr="0031302E">
        <w:rPr>
          <w:sz w:val="22"/>
          <w:szCs w:val="22"/>
          <w:lang w:val="hu-HU"/>
        </w:rPr>
        <w:t xml:space="preserve"> előfordulását szorosan </w:t>
      </w:r>
      <w:r>
        <w:rPr>
          <w:sz w:val="22"/>
          <w:szCs w:val="22"/>
          <w:lang w:val="hu-HU"/>
        </w:rPr>
        <w:t>monitorozni</w:t>
      </w:r>
      <w:r w:rsidRPr="0031302E">
        <w:rPr>
          <w:sz w:val="22"/>
          <w:szCs w:val="22"/>
          <w:lang w:val="hu-HU"/>
        </w:rPr>
        <w:t xml:space="preserve"> kell. A deferipronnal kombinált deferoxamin</w:t>
      </w:r>
      <w:r w:rsidR="00B70908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 xml:space="preserve">kezeléseknél </w:t>
      </w:r>
      <w:r>
        <w:rPr>
          <w:sz w:val="22"/>
          <w:szCs w:val="22"/>
          <w:lang w:val="hu-HU"/>
        </w:rPr>
        <w:t xml:space="preserve">(agranulocytosis okozta) </w:t>
      </w:r>
      <w:r w:rsidRPr="0031302E">
        <w:rPr>
          <w:sz w:val="22"/>
          <w:szCs w:val="22"/>
          <w:lang w:val="hu-HU"/>
        </w:rPr>
        <w:t xml:space="preserve">halálesetek és életveszélyes helyzetek is előfordultak. A deferoxaminnal kombinált terápia nem ajánlott, ha a monoterápia </w:t>
      </w:r>
      <w:r w:rsidR="00B70908">
        <w:rPr>
          <w:sz w:val="22"/>
          <w:szCs w:val="22"/>
          <w:lang w:val="hu-HU"/>
        </w:rPr>
        <w:t xml:space="preserve">– </w:t>
      </w:r>
      <w:r w:rsidRPr="0031302E">
        <w:rPr>
          <w:sz w:val="22"/>
          <w:szCs w:val="22"/>
          <w:lang w:val="hu-HU"/>
        </w:rPr>
        <w:t>az egyik kelátképzővel</w:t>
      </w:r>
      <w:r w:rsidR="00B70908">
        <w:rPr>
          <w:sz w:val="22"/>
          <w:szCs w:val="22"/>
          <w:lang w:val="hu-HU"/>
        </w:rPr>
        <w:t xml:space="preserve"> –</w:t>
      </w:r>
      <w:r w:rsidRPr="0031302E">
        <w:rPr>
          <w:sz w:val="22"/>
          <w:szCs w:val="22"/>
          <w:lang w:val="hu-HU"/>
        </w:rPr>
        <w:t xml:space="preserve"> is megfelelő</w:t>
      </w:r>
      <w:r w:rsidR="00B70908">
        <w:rPr>
          <w:sz w:val="22"/>
          <w:szCs w:val="22"/>
          <w:lang w:val="hu-HU"/>
        </w:rPr>
        <w:t xml:space="preserve"> eredményt ad</w:t>
      </w:r>
      <w:r>
        <w:rPr>
          <w:sz w:val="22"/>
          <w:szCs w:val="22"/>
          <w:lang w:val="hu-HU"/>
        </w:rPr>
        <w:t>,</w:t>
      </w:r>
      <w:r w:rsidRPr="0031302E">
        <w:rPr>
          <w:sz w:val="22"/>
          <w:szCs w:val="22"/>
          <w:lang w:val="hu-HU"/>
        </w:rPr>
        <w:t xml:space="preserve"> vagy ha a szérumferritinszint 500</w:t>
      </w:r>
      <w:r>
        <w:rPr>
          <w:sz w:val="22"/>
          <w:szCs w:val="22"/>
          <w:lang w:val="hu-HU"/>
        </w:rPr>
        <w:t> </w:t>
      </w:r>
      <w:r w:rsidR="00B70908">
        <w:rPr>
          <w:sz w:val="22"/>
          <w:szCs w:val="22"/>
          <w:lang w:val="hu-HU"/>
        </w:rPr>
        <w:t>mikrogramm</w:t>
      </w:r>
      <w:r w:rsidRPr="0031302E">
        <w:rPr>
          <w:sz w:val="22"/>
          <w:szCs w:val="22"/>
          <w:lang w:val="hu-HU"/>
        </w:rPr>
        <w:t>/l alá esik. A Ferriprox és defera</w:t>
      </w:r>
      <w:r>
        <w:rPr>
          <w:sz w:val="22"/>
          <w:szCs w:val="22"/>
          <w:lang w:val="hu-HU"/>
        </w:rPr>
        <w:t>z</w:t>
      </w:r>
      <w:r w:rsidRPr="0031302E">
        <w:rPr>
          <w:sz w:val="22"/>
          <w:szCs w:val="22"/>
          <w:lang w:val="hu-HU"/>
        </w:rPr>
        <w:t>irox kombinált alkalmazására vonatkozóan csak korlátozott mennyiségű adat áll rendelkezésre, és az ilyen kombináció alkalmazás</w:t>
      </w:r>
      <w:r>
        <w:rPr>
          <w:sz w:val="22"/>
          <w:szCs w:val="22"/>
          <w:lang w:val="hu-HU"/>
        </w:rPr>
        <w:t>ának</w:t>
      </w:r>
      <w:r w:rsidRPr="0031302E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mérlegelésekor</w:t>
      </w:r>
      <w:r w:rsidRPr="0031302E">
        <w:rPr>
          <w:sz w:val="22"/>
          <w:szCs w:val="22"/>
          <w:lang w:val="hu-HU"/>
        </w:rPr>
        <w:t xml:space="preserve"> </w:t>
      </w:r>
      <w:r w:rsidR="00B70908">
        <w:rPr>
          <w:sz w:val="22"/>
          <w:szCs w:val="22"/>
          <w:lang w:val="hu-HU"/>
        </w:rPr>
        <w:t>körültekintéssel</w:t>
      </w:r>
      <w:r w:rsidR="00B70908" w:rsidRPr="0031302E">
        <w:rPr>
          <w:sz w:val="22"/>
          <w:szCs w:val="22"/>
          <w:lang w:val="hu-HU"/>
        </w:rPr>
        <w:t xml:space="preserve"> </w:t>
      </w:r>
      <w:r w:rsidRPr="0031302E">
        <w:rPr>
          <w:sz w:val="22"/>
          <w:szCs w:val="22"/>
          <w:lang w:val="hu-HU"/>
        </w:rPr>
        <w:t>kell eljárni.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EE4089">
      <w:pPr>
        <w:keepNext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Segédanyagok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belsőleges oldat Sunset Yellow (E110) színezőanyagot tartalmaz, amely allergiás reakciókat okozhat.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BE2D92">
      <w:pPr>
        <w:keepNext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4.5</w:t>
      </w:r>
      <w:r w:rsidRPr="00A530FF">
        <w:rPr>
          <w:b/>
          <w:sz w:val="22"/>
          <w:szCs w:val="22"/>
          <w:lang w:val="hu-HU"/>
        </w:rPr>
        <w:tab/>
        <w:t>Gyógyszerkölcsönhatások és egyéb interakciók</w:t>
      </w:r>
    </w:p>
    <w:p w:rsidR="00DA1F84" w:rsidRPr="00A530FF" w:rsidRDefault="00DA1F84" w:rsidP="00BE2D92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7F4079" w:rsidRPr="00A530FF" w:rsidRDefault="007F4079" w:rsidP="007F4079">
      <w:pPr>
        <w:pStyle w:val="BodyTextIndent"/>
        <w:ind w:left="0"/>
        <w:rPr>
          <w:szCs w:val="22"/>
          <w:lang w:val="hu-HU"/>
        </w:rPr>
      </w:pPr>
      <w:r w:rsidRPr="00A530FF">
        <w:rPr>
          <w:szCs w:val="22"/>
          <w:lang w:val="hu-HU"/>
        </w:rPr>
        <w:t>A deferipron kiváltotta neutropenia tisztázatlan mechanizmusa miatt, a betegeknek tilos olyan gyógyszereket szedniük, amelyekről ismert, hogy neutropeniát okoznak, vagy olyanokat, amelyek agranulocytosist idézhetnek elő (lásd 4.3 pont).</w:t>
      </w:r>
    </w:p>
    <w:p w:rsidR="007F4079" w:rsidRPr="00A530FF" w:rsidRDefault="007F4079" w:rsidP="007F4079">
      <w:pPr>
        <w:pStyle w:val="BodyTextIndent"/>
        <w:ind w:left="0"/>
        <w:rPr>
          <w:szCs w:val="22"/>
          <w:lang w:val="hu-HU"/>
        </w:rPr>
      </w:pPr>
    </w:p>
    <w:p w:rsidR="007F4079" w:rsidRPr="00A530FF" w:rsidRDefault="00B86235" w:rsidP="007F4079">
      <w:pPr>
        <w:tabs>
          <w:tab w:val="left" w:pos="567"/>
        </w:tabs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</w:t>
      </w:r>
      <w:r w:rsidR="007F4079" w:rsidRPr="00A530FF">
        <w:rPr>
          <w:sz w:val="22"/>
          <w:szCs w:val="22"/>
          <w:lang w:val="hu-HU"/>
        </w:rPr>
        <w:t>ivel a deferipron fém-kationokhoz kötődik, fennáll a lehetősége a deferipron és a három vegyértékű kationt tartalmazó gyógyszerek, pl. alumíniumtartalmú antacidumok közötti kölcsönhatásnak. Ezért nem javasolt alumíniumtartalmú antacidumok és deferipron egy</w:t>
      </w:r>
      <w:r w:rsidR="00B70908">
        <w:rPr>
          <w:sz w:val="22"/>
          <w:szCs w:val="22"/>
          <w:lang w:val="hu-HU"/>
        </w:rPr>
        <w:t xml:space="preserve"> </w:t>
      </w:r>
      <w:r w:rsidR="007F4079" w:rsidRPr="00A530FF">
        <w:rPr>
          <w:sz w:val="22"/>
          <w:szCs w:val="22"/>
          <w:lang w:val="hu-HU"/>
        </w:rPr>
        <w:t>időben történő bevétele.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és a C-vitamin együttes alkalmazhatóságának biztonságát tudományosan nem vizsgálták. A deferipron és a C-vitamin között létrejövő ismert, nemkívánatos kölcsönhatások miatt a deferipron és a C-vitamin együttes alkalmazásánál körültekintően kell eljárni.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4.6</w:t>
      </w:r>
      <w:r w:rsidRPr="00A530FF">
        <w:rPr>
          <w:b/>
          <w:sz w:val="22"/>
          <w:szCs w:val="22"/>
          <w:lang w:val="hu-HU"/>
        </w:rPr>
        <w:tab/>
      </w:r>
      <w:r w:rsidR="00D97009" w:rsidRPr="00A530FF">
        <w:rPr>
          <w:b/>
          <w:sz w:val="22"/>
          <w:szCs w:val="22"/>
          <w:lang w:val="hu-HU"/>
        </w:rPr>
        <w:t>Termékenység, t</w:t>
      </w:r>
      <w:r w:rsidRPr="00A530FF">
        <w:rPr>
          <w:b/>
          <w:sz w:val="22"/>
          <w:szCs w:val="22"/>
          <w:lang w:val="hu-HU"/>
        </w:rPr>
        <w:t>erhesség és szoptatás</w:t>
      </w:r>
    </w:p>
    <w:p w:rsidR="00DA1F84" w:rsidRPr="00A530FF" w:rsidRDefault="00DA1F84" w:rsidP="00C61FC8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iCs/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Terhesség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iCs/>
          <w:sz w:val="22"/>
          <w:szCs w:val="22"/>
          <w:lang w:val="hu-HU"/>
        </w:rPr>
        <w:t xml:space="preserve">Terhes nőkön történő alkalmazásra nincs megfelelő adat a deferipron tekintetében. </w:t>
      </w:r>
      <w:r w:rsidRPr="00A530FF">
        <w:rPr>
          <w:sz w:val="22"/>
          <w:szCs w:val="22"/>
          <w:lang w:val="hu-HU"/>
        </w:rPr>
        <w:t>Az állatokon végzett kísérletek reprodukciós toxicitást mutattak (lásd 5.3 pont). Ember</w:t>
      </w:r>
      <w:r w:rsidR="00B70908">
        <w:rPr>
          <w:sz w:val="22"/>
          <w:szCs w:val="22"/>
          <w:lang w:val="hu-HU"/>
        </w:rPr>
        <w:t>ekre vonatkozó</w:t>
      </w:r>
      <w:r w:rsidRPr="00A530FF">
        <w:rPr>
          <w:sz w:val="22"/>
          <w:szCs w:val="22"/>
          <w:lang w:val="hu-HU"/>
        </w:rPr>
        <w:t xml:space="preserve"> potenciális veszély nem ismert.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865F53" w:rsidRPr="00A530FF" w:rsidRDefault="00865F53" w:rsidP="00865F53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fogamzóképes nőket tájékoztatni kell, hogy a gyógyszer klasztogén és teratogén tulajdonságai miatt kerüljék el a terhességet. Az ilyen nőknek javasolni kell </w:t>
      </w:r>
      <w:r w:rsidR="00C47F28">
        <w:rPr>
          <w:szCs w:val="22"/>
          <w:lang w:val="hu-HU"/>
        </w:rPr>
        <w:t xml:space="preserve">valamilyen </w:t>
      </w:r>
      <w:r w:rsidRPr="00A530FF">
        <w:rPr>
          <w:szCs w:val="22"/>
          <w:lang w:val="hu-HU"/>
        </w:rPr>
        <w:t>fogamzásgátló módszer alkalmazását, valamint javasolni kell a deferipron szedésének azonnali abbahagyását, amennyiben terhesek lesznek vagy terhességet terveznek (lásd 4.3 pont).</w:t>
      </w:r>
    </w:p>
    <w:p w:rsidR="00DA5480" w:rsidRPr="00A530FF" w:rsidRDefault="00DA5480" w:rsidP="00DA5480">
      <w:pPr>
        <w:pStyle w:val="BodyText"/>
        <w:rPr>
          <w:szCs w:val="22"/>
          <w:lang w:val="hu-HU"/>
        </w:rPr>
      </w:pPr>
    </w:p>
    <w:p w:rsidR="00DA5480" w:rsidRPr="00A530FF" w:rsidRDefault="00DA5480" w:rsidP="00C61FC8">
      <w:pPr>
        <w:pStyle w:val="BodyText"/>
        <w:keepNext/>
        <w:rPr>
          <w:iCs/>
          <w:szCs w:val="22"/>
          <w:u w:val="single"/>
          <w:lang w:val="hu-HU"/>
        </w:rPr>
      </w:pPr>
      <w:r w:rsidRPr="00A530FF">
        <w:rPr>
          <w:iCs/>
          <w:szCs w:val="22"/>
          <w:u w:val="single"/>
          <w:lang w:val="hu-HU"/>
        </w:rPr>
        <w:t>Szoptatás</w:t>
      </w:r>
    </w:p>
    <w:p w:rsidR="00DA5480" w:rsidRPr="00A530FF" w:rsidRDefault="00DA5480" w:rsidP="006C031F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Nem ismert, hogy a deferipron kiválasztódik-e az emberi tejbe. Nem végeztek pr</w:t>
      </w:r>
      <w:r w:rsidR="00C47F28">
        <w:rPr>
          <w:szCs w:val="22"/>
          <w:lang w:val="hu-HU"/>
        </w:rPr>
        <w:t>a</w:t>
      </w:r>
      <w:r w:rsidRPr="00A530FF">
        <w:rPr>
          <w:szCs w:val="22"/>
          <w:lang w:val="hu-HU"/>
        </w:rPr>
        <w:t>enat</w:t>
      </w:r>
      <w:r w:rsidR="00C47F28">
        <w:rPr>
          <w:szCs w:val="22"/>
          <w:lang w:val="hu-HU"/>
        </w:rPr>
        <w:t>a</w:t>
      </w:r>
      <w:r w:rsidRPr="00A530FF">
        <w:rPr>
          <w:szCs w:val="22"/>
          <w:lang w:val="hu-HU"/>
        </w:rPr>
        <w:t>lis és postnat</w:t>
      </w:r>
      <w:r w:rsidR="00C47F28">
        <w:rPr>
          <w:szCs w:val="22"/>
          <w:lang w:val="hu-HU"/>
        </w:rPr>
        <w:t>a</w:t>
      </w:r>
      <w:r w:rsidRPr="00A530FF">
        <w:rPr>
          <w:szCs w:val="22"/>
          <w:lang w:val="hu-HU"/>
        </w:rPr>
        <w:t>lis reprodukciós vizsgálatokat</w:t>
      </w:r>
      <w:r w:rsidR="006C031F" w:rsidRPr="00A530FF">
        <w:rPr>
          <w:szCs w:val="22"/>
          <w:lang w:val="hu-HU"/>
        </w:rPr>
        <w:t xml:space="preserve"> állatokon</w:t>
      </w:r>
      <w:r w:rsidRPr="00A530FF">
        <w:rPr>
          <w:szCs w:val="22"/>
          <w:lang w:val="hu-HU"/>
        </w:rPr>
        <w:t xml:space="preserve">. Tilos a deferipron alkalmazása szoptató anyáknál. Ha a kezelés elkerülhetetlen, a szoptatást abba kell hagyni (lásd 4.3 </w:t>
      </w:r>
      <w:r w:rsidR="006C031F" w:rsidRPr="00A530FF">
        <w:rPr>
          <w:szCs w:val="22"/>
          <w:lang w:val="hu-HU"/>
        </w:rPr>
        <w:t>pont</w:t>
      </w:r>
      <w:r w:rsidRPr="00A530FF">
        <w:rPr>
          <w:szCs w:val="22"/>
          <w:lang w:val="hu-HU"/>
        </w:rPr>
        <w:t>).</w:t>
      </w:r>
    </w:p>
    <w:p w:rsidR="00D97009" w:rsidRPr="00A530FF" w:rsidRDefault="00D97009" w:rsidP="006C031F">
      <w:pPr>
        <w:pStyle w:val="BodyText"/>
        <w:jc w:val="left"/>
        <w:rPr>
          <w:szCs w:val="22"/>
          <w:lang w:val="hu-HU"/>
        </w:rPr>
      </w:pPr>
    </w:p>
    <w:p w:rsidR="00D97009" w:rsidRPr="00A530FF" w:rsidRDefault="00D97009" w:rsidP="00D97009">
      <w:pPr>
        <w:pStyle w:val="EndnoteText"/>
        <w:keepNext/>
        <w:tabs>
          <w:tab w:val="left" w:pos="567"/>
        </w:tabs>
        <w:rPr>
          <w:szCs w:val="22"/>
          <w:u w:val="single"/>
          <w:lang w:val="hu-HU"/>
        </w:rPr>
      </w:pPr>
      <w:r w:rsidRPr="00A530FF">
        <w:rPr>
          <w:szCs w:val="22"/>
          <w:u w:val="single"/>
          <w:lang w:val="hu-HU"/>
        </w:rPr>
        <w:t>Termékenység</w:t>
      </w:r>
    </w:p>
    <w:p w:rsidR="00DA1F84" w:rsidRPr="00A530FF" w:rsidRDefault="001A12C0">
      <w:pPr>
        <w:pStyle w:val="EndnoteText"/>
        <w:tabs>
          <w:tab w:val="left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t>Állatok</w:t>
      </w:r>
      <w:r w:rsidR="007C0118" w:rsidRPr="00A530FF">
        <w:rPr>
          <w:szCs w:val="22"/>
          <w:lang w:val="hu-HU"/>
        </w:rPr>
        <w:t>nál</w:t>
      </w:r>
      <w:r w:rsidRPr="00A530FF">
        <w:rPr>
          <w:szCs w:val="22"/>
          <w:lang w:val="hu-HU"/>
        </w:rPr>
        <w:t xml:space="preserve"> nem észleltek a termékenységre vagy a korai embrionális fejlődésre gyakorolt hatásokat (lásd 5.3 pont).</w:t>
      </w:r>
    </w:p>
    <w:p w:rsidR="008318B7" w:rsidRPr="00A530FF" w:rsidRDefault="008318B7">
      <w:pPr>
        <w:pStyle w:val="EndnoteText"/>
        <w:tabs>
          <w:tab w:val="left" w:pos="567"/>
        </w:tabs>
        <w:rPr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4.7</w:t>
      </w:r>
      <w:r w:rsidRPr="00A530FF">
        <w:rPr>
          <w:b/>
          <w:sz w:val="22"/>
          <w:szCs w:val="22"/>
          <w:lang w:val="hu-HU"/>
        </w:rPr>
        <w:tab/>
        <w:t xml:space="preserve">A készítmény hatásai a gépjárművezetéshez és </w:t>
      </w:r>
      <w:r w:rsidR="003707EE" w:rsidRPr="00A530FF">
        <w:rPr>
          <w:b/>
          <w:sz w:val="22"/>
          <w:szCs w:val="22"/>
          <w:lang w:val="hu-HU"/>
        </w:rPr>
        <w:t xml:space="preserve">a </w:t>
      </w:r>
      <w:r w:rsidRPr="00A530FF">
        <w:rPr>
          <w:b/>
          <w:sz w:val="22"/>
          <w:szCs w:val="22"/>
          <w:lang w:val="hu-HU"/>
        </w:rPr>
        <w:t>gépek kezeléséhez szükséges képességekre</w:t>
      </w:r>
    </w:p>
    <w:p w:rsidR="00DA1F84" w:rsidRPr="00A530FF" w:rsidRDefault="00DA1F84" w:rsidP="00C61FC8">
      <w:pPr>
        <w:pStyle w:val="EndnoteText"/>
        <w:keepNext/>
        <w:tabs>
          <w:tab w:val="left" w:pos="567"/>
        </w:tabs>
        <w:rPr>
          <w:szCs w:val="22"/>
          <w:lang w:val="hu-HU"/>
        </w:rPr>
      </w:pPr>
    </w:p>
    <w:p w:rsidR="00DA1F84" w:rsidRPr="00A530FF" w:rsidRDefault="00D97009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4.8</w:t>
      </w:r>
      <w:r w:rsidRPr="00A530FF">
        <w:rPr>
          <w:b/>
          <w:sz w:val="22"/>
          <w:szCs w:val="22"/>
          <w:lang w:val="hu-HU"/>
        </w:rPr>
        <w:tab/>
        <w:t>Nemkívánatos hatások, mellékhatások</w:t>
      </w:r>
    </w:p>
    <w:p w:rsidR="00DA1F84" w:rsidRPr="00A530FF" w:rsidRDefault="00DA1F84" w:rsidP="00C61FC8">
      <w:pPr>
        <w:keepNext/>
        <w:tabs>
          <w:tab w:val="left" w:pos="567"/>
        </w:tabs>
        <w:rPr>
          <w:sz w:val="22"/>
          <w:szCs w:val="22"/>
          <w:lang w:val="hu-HU"/>
        </w:rPr>
      </w:pPr>
    </w:p>
    <w:p w:rsidR="008B1F6A" w:rsidRPr="00A530FF" w:rsidRDefault="008B1F6A" w:rsidP="000A32DE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A biztonságossági profil összefoglalása</w:t>
      </w:r>
    </w:p>
    <w:p w:rsidR="005C41A6" w:rsidRDefault="00600BEF" w:rsidP="00E76AF8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Klinikai vizsgálatokban a deferipron</w:t>
      </w:r>
      <w:r w:rsidRPr="00A530FF">
        <w:rPr>
          <w:szCs w:val="22"/>
          <w:lang w:val="hu-HU"/>
        </w:rPr>
        <w:noBreakHyphen/>
        <w:t>terápia során jelentett leggyakoribb mellékhatások a betegek több mint 10%</w:t>
      </w:r>
      <w:r w:rsidRPr="00A530FF">
        <w:rPr>
          <w:szCs w:val="22"/>
          <w:lang w:val="hu-HU"/>
        </w:rPr>
        <w:noBreakHyphen/>
      </w:r>
      <w:r w:rsidR="00C47F28">
        <w:rPr>
          <w:szCs w:val="22"/>
          <w:lang w:val="hu-HU"/>
        </w:rPr>
        <w:t>á</w:t>
      </w:r>
      <w:r w:rsidRPr="00A530FF">
        <w:rPr>
          <w:szCs w:val="22"/>
          <w:lang w:val="hu-HU"/>
        </w:rPr>
        <w:t>nál jelentett hányinger, hányás, hasi fájdalom és chromaturia voltak. A deferipronnal folytatott klinikai vizsgálatok</w:t>
      </w:r>
      <w:r w:rsidR="00C47F28">
        <w:rPr>
          <w:szCs w:val="22"/>
          <w:lang w:val="hu-HU"/>
        </w:rPr>
        <w:t xml:space="preserve"> során</w:t>
      </w:r>
      <w:r w:rsidRPr="00A530FF">
        <w:rPr>
          <w:szCs w:val="22"/>
          <w:lang w:val="hu-HU"/>
        </w:rPr>
        <w:t xml:space="preserve"> jelentett legsúlyosabb mellékhatás az agranulocytosis volt, a meghatározás szerint az abszolút neutrophilszám kevesebb mint 0,5 × 10</w:t>
      </w:r>
      <w:r w:rsidRPr="00A530FF">
        <w:rPr>
          <w:szCs w:val="22"/>
          <w:vertAlign w:val="superscript"/>
          <w:lang w:val="hu-HU"/>
        </w:rPr>
        <w:t>9</w:t>
      </w:r>
      <w:r w:rsidRPr="00A530FF">
        <w:rPr>
          <w:szCs w:val="22"/>
          <w:lang w:val="hu-HU"/>
        </w:rPr>
        <w:t>/l, ez a betegek kb. 1%</w:t>
      </w:r>
      <w:r w:rsidRPr="00A530FF">
        <w:rPr>
          <w:szCs w:val="22"/>
          <w:lang w:val="hu-HU"/>
        </w:rPr>
        <w:noBreakHyphen/>
        <w:t>ánál fordult elő. Kevésbé súlyos neutropeniát a betegek kb. 5%</w:t>
      </w:r>
      <w:r w:rsidRPr="00A530FF">
        <w:rPr>
          <w:szCs w:val="22"/>
          <w:lang w:val="hu-HU"/>
        </w:rPr>
        <w:noBreakHyphen/>
        <w:t>ánál jelentettek</w:t>
      </w:r>
      <w:r w:rsidR="0061737F" w:rsidRPr="00A530FF">
        <w:rPr>
          <w:szCs w:val="22"/>
          <w:lang w:val="hu-HU"/>
        </w:rPr>
        <w:t>.</w:t>
      </w:r>
    </w:p>
    <w:p w:rsidR="00186D01" w:rsidRPr="00A530FF" w:rsidRDefault="00186D01" w:rsidP="00921A2B">
      <w:pPr>
        <w:pStyle w:val="BodyText"/>
        <w:jc w:val="left"/>
        <w:rPr>
          <w:szCs w:val="22"/>
          <w:lang w:val="hu-HU"/>
        </w:rPr>
      </w:pPr>
    </w:p>
    <w:p w:rsidR="008B1F6A" w:rsidRPr="00A530FF" w:rsidRDefault="008B1F6A" w:rsidP="000A32DE">
      <w:pPr>
        <w:pStyle w:val="BodyText"/>
        <w:keepNext/>
        <w:jc w:val="left"/>
        <w:rPr>
          <w:szCs w:val="22"/>
          <w:u w:val="single"/>
          <w:lang w:val="hu-HU"/>
        </w:rPr>
      </w:pPr>
      <w:r w:rsidRPr="00A530FF">
        <w:rPr>
          <w:szCs w:val="22"/>
          <w:u w:val="single"/>
          <w:lang w:val="hu-HU"/>
        </w:rPr>
        <w:t>A mellékhatások táblázatos felsorolása</w:t>
      </w:r>
    </w:p>
    <w:p w:rsidR="00D97009" w:rsidRPr="00A530FF" w:rsidRDefault="00D97009" w:rsidP="000A32DE">
      <w:pPr>
        <w:pStyle w:val="BodyText"/>
        <w:keepNext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Mellékhatások gyakorisága: </w:t>
      </w:r>
      <w:r w:rsidRPr="00A530FF">
        <w:rPr>
          <w:noProof/>
          <w:szCs w:val="22"/>
          <w:lang w:val="hu-HU"/>
        </w:rPr>
        <w:t>nagyon gyakori (</w:t>
      </w:r>
      <w:r w:rsidRPr="00A530FF">
        <w:rPr>
          <w:rFonts w:ascii="Symbol" w:hAnsi="Symbol"/>
          <w:noProof/>
          <w:szCs w:val="22"/>
          <w:lang w:val="hu-HU"/>
        </w:rPr>
        <w:sym w:font="Symbol" w:char="F0B3"/>
      </w:r>
      <w:r w:rsidRPr="00A530FF">
        <w:rPr>
          <w:noProof/>
          <w:szCs w:val="22"/>
          <w:lang w:val="hu-HU"/>
        </w:rPr>
        <w:t>1/10)</w:t>
      </w:r>
      <w:r w:rsidRPr="00A530FF">
        <w:rPr>
          <w:szCs w:val="22"/>
          <w:lang w:val="hu-HU"/>
        </w:rPr>
        <w:t xml:space="preserve">, </w:t>
      </w:r>
      <w:r w:rsidRPr="00A530FF">
        <w:rPr>
          <w:noProof/>
          <w:szCs w:val="22"/>
          <w:lang w:val="hu-HU"/>
        </w:rPr>
        <w:t>gyakori (</w:t>
      </w:r>
      <w:r w:rsidRPr="00A530FF">
        <w:rPr>
          <w:rFonts w:ascii="Symbol" w:hAnsi="Symbol"/>
          <w:noProof/>
          <w:szCs w:val="22"/>
          <w:lang w:val="hu-HU"/>
        </w:rPr>
        <w:sym w:font="Symbol" w:char="F0B3"/>
      </w:r>
      <w:r w:rsidRPr="00A530FF">
        <w:rPr>
          <w:noProof/>
          <w:szCs w:val="22"/>
          <w:lang w:val="hu-HU"/>
        </w:rPr>
        <w:t>1/100 – &lt;1/10)</w:t>
      </w:r>
      <w:r w:rsidR="008B1F6A" w:rsidRPr="00A530FF">
        <w:rPr>
          <w:noProof/>
          <w:szCs w:val="22"/>
          <w:lang w:val="hu-HU"/>
        </w:rPr>
        <w:t xml:space="preserve">, </w:t>
      </w:r>
      <w:r w:rsidR="008B1F6A" w:rsidRPr="00A530FF">
        <w:rPr>
          <w:szCs w:val="22"/>
          <w:lang w:val="hu-HU"/>
        </w:rPr>
        <w:t>nem ismert (</w:t>
      </w:r>
      <w:r w:rsidR="008B1F6A" w:rsidRPr="00A530FF">
        <w:rPr>
          <w:noProof/>
          <w:szCs w:val="22"/>
          <w:lang w:val="hu-HU"/>
        </w:rPr>
        <w:t xml:space="preserve">a </w:t>
      </w:r>
      <w:r w:rsidR="00C47F28">
        <w:rPr>
          <w:noProof/>
          <w:szCs w:val="22"/>
          <w:lang w:val="hu-HU"/>
        </w:rPr>
        <w:t xml:space="preserve">gyakoriság a </w:t>
      </w:r>
      <w:r w:rsidR="008B1F6A" w:rsidRPr="00A530FF">
        <w:rPr>
          <w:noProof/>
          <w:szCs w:val="22"/>
          <w:lang w:val="hu-HU"/>
        </w:rPr>
        <w:t>rendelkezésre álló adatokból nem állapítható meg</w:t>
      </w:r>
      <w:r w:rsidR="008B1F6A" w:rsidRPr="00A530FF">
        <w:rPr>
          <w:szCs w:val="22"/>
          <w:lang w:val="hu-HU"/>
        </w:rPr>
        <w:t>)</w:t>
      </w:r>
      <w:r w:rsidRPr="00A530FF">
        <w:rPr>
          <w:szCs w:val="22"/>
          <w:lang w:val="hu-HU"/>
        </w:rPr>
        <w:t>.</w:t>
      </w:r>
    </w:p>
    <w:p w:rsidR="00D97009" w:rsidRPr="00A530FF" w:rsidRDefault="00D97009" w:rsidP="00D97009">
      <w:pPr>
        <w:keepNext/>
        <w:rPr>
          <w:b/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0"/>
        <w:gridCol w:w="1895"/>
        <w:gridCol w:w="2111"/>
        <w:gridCol w:w="1903"/>
      </w:tblGrid>
      <w:tr w:rsidR="00930597" w:rsidTr="008B1F6A">
        <w:tc>
          <w:tcPr>
            <w:tcW w:w="3448" w:type="dxa"/>
            <w:shd w:val="clear" w:color="auto" w:fill="auto"/>
          </w:tcPr>
          <w:p w:rsidR="008B1F6A" w:rsidRPr="00A530FF" w:rsidRDefault="008B1F6A" w:rsidP="00D97009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SZERVRENDSZERENKÉNTI CSOPORTOSÍTÁS</w:t>
            </w:r>
          </w:p>
        </w:tc>
        <w:tc>
          <w:tcPr>
            <w:tcW w:w="2070" w:type="dxa"/>
            <w:shd w:val="clear" w:color="auto" w:fill="auto"/>
          </w:tcPr>
          <w:p w:rsidR="008B1F6A" w:rsidRPr="00A530FF" w:rsidRDefault="008B1F6A" w:rsidP="00D97009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NAGYON GYAKORI (</w:t>
            </w:r>
            <w:r w:rsidRPr="00A530FF">
              <w:rPr>
                <w:noProof/>
                <w:sz w:val="22"/>
                <w:szCs w:val="22"/>
                <w:lang w:val="hu-HU"/>
              </w:rPr>
              <w:t>≥</w:t>
            </w:r>
            <w:r w:rsidRPr="00A530FF">
              <w:rPr>
                <w:b/>
                <w:sz w:val="22"/>
                <w:szCs w:val="22"/>
                <w:lang w:val="hu-HU"/>
              </w:rPr>
              <w:t>1/10)</w:t>
            </w:r>
          </w:p>
        </w:tc>
        <w:tc>
          <w:tcPr>
            <w:tcW w:w="2228" w:type="dxa"/>
            <w:shd w:val="clear" w:color="auto" w:fill="auto"/>
          </w:tcPr>
          <w:p w:rsidR="008B1F6A" w:rsidRPr="00A530FF" w:rsidRDefault="008B1F6A" w:rsidP="00D97009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GYAKORI (</w:t>
            </w:r>
            <w:r w:rsidRPr="00A530FF">
              <w:rPr>
                <w:noProof/>
                <w:sz w:val="22"/>
                <w:szCs w:val="22"/>
                <w:lang w:val="hu-HU"/>
              </w:rPr>
              <w:t>≥</w:t>
            </w:r>
            <w:r w:rsidRPr="00A530FF">
              <w:rPr>
                <w:b/>
                <w:sz w:val="22"/>
                <w:szCs w:val="22"/>
                <w:lang w:val="hu-HU"/>
              </w:rPr>
              <w:t>1/100 – &lt;1/10)</w:t>
            </w:r>
          </w:p>
        </w:tc>
        <w:tc>
          <w:tcPr>
            <w:tcW w:w="1543" w:type="dxa"/>
            <w:shd w:val="clear" w:color="auto" w:fill="auto"/>
          </w:tcPr>
          <w:p w:rsidR="008B1F6A" w:rsidRPr="00A530FF" w:rsidRDefault="008B1F6A" w:rsidP="00D97009">
            <w:pPr>
              <w:keepNext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GYAKORISÁGA NEM ISMERT</w:t>
            </w: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Vérképzőszervi és nyirokrendszeri betegségek és tünetek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Neutropenia</w:t>
            </w:r>
          </w:p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Agranulocytosis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Immunrendszeri betegségek és tünetek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 xml:space="preserve">Túlérzékenységi </w:t>
            </w:r>
            <w:r w:rsidR="000A32DE" w:rsidRPr="00A530FF">
              <w:rPr>
                <w:bCs/>
                <w:sz w:val="22"/>
                <w:szCs w:val="22"/>
                <w:lang w:val="hu-HU"/>
              </w:rPr>
              <w:t>reakciók</w:t>
            </w: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Anyagcsere- és táplálkozási betegségek és tünetek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Fokozott étvágy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Idegrendszeri betegségek és tünetek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Fejfájás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Emésztőrendszeri betegségek és tünetek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Émelygés</w:t>
            </w:r>
          </w:p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Hasi fájdalom</w:t>
            </w:r>
          </w:p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Hányás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Hasmenés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 bőr és a bőr alatti szövet betegségei és tünetei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9E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Kiütés</w:t>
            </w:r>
          </w:p>
          <w:p w:rsidR="00C429EA" w:rsidRPr="00A530FF" w:rsidRDefault="00C429E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Csalánkiütés</w:t>
            </w: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A csont- és izomrendszer, valamint a kötőszövet betegségei és tünetei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Ízületi fájdalom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Vese- és húgyúti betegségek és tünetek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Chromaturia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Általános tünetek, az alkalmazás helyén fellépő reakciók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Fáradékonyság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D97009">
            <w:pPr>
              <w:keepNext/>
              <w:rPr>
                <w:bCs/>
                <w:sz w:val="22"/>
                <w:szCs w:val="22"/>
                <w:lang w:val="hu-HU"/>
              </w:rPr>
            </w:pPr>
          </w:p>
        </w:tc>
      </w:tr>
      <w:tr w:rsidR="00930597" w:rsidTr="008B1F6A"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503850">
            <w:pPr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 xml:space="preserve">Laboratóriumi </w:t>
            </w:r>
            <w:r w:rsidRPr="00A530FF">
              <w:rPr>
                <w:sz w:val="22"/>
                <w:szCs w:val="22"/>
                <w:lang w:val="hu-HU"/>
              </w:rPr>
              <w:t xml:space="preserve">és egyéb </w:t>
            </w:r>
            <w:r w:rsidRPr="00A530FF">
              <w:rPr>
                <w:bCs/>
                <w:sz w:val="22"/>
                <w:szCs w:val="22"/>
                <w:lang w:val="hu-HU"/>
              </w:rPr>
              <w:t>vizsgálatok eredményei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503850">
            <w:pPr>
              <w:rPr>
                <w:bCs/>
                <w:sz w:val="22"/>
                <w:szCs w:val="22"/>
                <w:lang w:val="hu-H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4B5B1C">
            <w:pPr>
              <w:rPr>
                <w:bCs/>
                <w:sz w:val="22"/>
                <w:szCs w:val="22"/>
                <w:lang w:val="hu-HU"/>
              </w:rPr>
            </w:pPr>
            <w:r w:rsidRPr="00A530FF">
              <w:rPr>
                <w:bCs/>
                <w:sz w:val="22"/>
                <w:szCs w:val="22"/>
                <w:lang w:val="hu-HU"/>
              </w:rPr>
              <w:t>Emelkedett májenzimértékek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F6A" w:rsidRPr="00A530FF" w:rsidRDefault="008B1F6A" w:rsidP="00503850">
            <w:pPr>
              <w:rPr>
                <w:bCs/>
                <w:sz w:val="22"/>
                <w:szCs w:val="22"/>
                <w:lang w:val="hu-HU"/>
              </w:rPr>
            </w:pPr>
          </w:p>
        </w:tc>
      </w:tr>
    </w:tbl>
    <w:p w:rsidR="00D97009" w:rsidRPr="00A530FF" w:rsidRDefault="00D97009" w:rsidP="00D97009">
      <w:pPr>
        <w:rPr>
          <w:b/>
          <w:sz w:val="22"/>
          <w:szCs w:val="22"/>
          <w:lang w:val="hu-HU"/>
        </w:rPr>
      </w:pPr>
    </w:p>
    <w:p w:rsidR="00C429EA" w:rsidRPr="00A530FF" w:rsidRDefault="000A32DE" w:rsidP="00FD0C7A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 xml:space="preserve">Egyes kiválasztott </w:t>
      </w:r>
      <w:r w:rsidR="00C429EA" w:rsidRPr="00A530FF">
        <w:rPr>
          <w:sz w:val="22"/>
          <w:szCs w:val="22"/>
          <w:u w:val="single"/>
          <w:lang w:val="hu-HU"/>
        </w:rPr>
        <w:t>mellékhatások leírása</w:t>
      </w:r>
    </w:p>
    <w:p w:rsidR="00DA1F84" w:rsidRPr="00A530FF" w:rsidRDefault="00DA1F84" w:rsidP="00626DC2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deferipron klinikai vizsgálatai során feljegyzett legsúlyosabb mellékhatás </w:t>
      </w:r>
      <w:r w:rsidR="00626DC2" w:rsidRPr="00A530FF">
        <w:rPr>
          <w:sz w:val="22"/>
          <w:szCs w:val="22"/>
          <w:lang w:val="hu-HU"/>
        </w:rPr>
        <w:t>1,1</w:t>
      </w:r>
      <w:r w:rsidRPr="00A530FF">
        <w:rPr>
          <w:sz w:val="22"/>
          <w:szCs w:val="22"/>
          <w:lang w:val="hu-HU"/>
        </w:rPr>
        <w:t>%-os (0,</w:t>
      </w:r>
      <w:r w:rsidR="00626DC2" w:rsidRPr="00A530FF">
        <w:rPr>
          <w:sz w:val="22"/>
          <w:szCs w:val="22"/>
          <w:lang w:val="hu-HU"/>
        </w:rPr>
        <w:t>6</w:t>
      </w:r>
      <w:r w:rsidR="004B5B1C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eset/100</w:t>
      </w:r>
      <w:r w:rsidR="00114522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kezelési betegév) előfordulási gyakorisággal az agranulocytosis (neutrofilszám &lt;0,5</w:t>
      </w:r>
      <w:r w:rsidR="004B5B1C">
        <w:rPr>
          <w:sz w:val="22"/>
          <w:szCs w:val="22"/>
          <w:lang w:val="hu-HU"/>
        </w:rPr>
        <w:t>×</w:t>
      </w:r>
      <w:r w:rsidRPr="00A530FF">
        <w:rPr>
          <w:sz w:val="22"/>
          <w:szCs w:val="22"/>
          <w:lang w:val="hu-HU"/>
        </w:rPr>
        <w:t>10</w:t>
      </w:r>
      <w:r w:rsidRPr="00A530FF">
        <w:rPr>
          <w:sz w:val="22"/>
          <w:szCs w:val="22"/>
          <w:vertAlign w:val="superscript"/>
          <w:lang w:val="hu-HU"/>
        </w:rPr>
        <w:t>9</w:t>
      </w:r>
      <w:r w:rsidRPr="00A530FF">
        <w:rPr>
          <w:sz w:val="22"/>
          <w:szCs w:val="22"/>
          <w:lang w:val="hu-HU"/>
        </w:rPr>
        <w:t>/l) volt (lásd 4.4</w:t>
      </w:r>
      <w:r w:rsidR="004B5B1C">
        <w:rPr>
          <w:sz w:val="22"/>
          <w:szCs w:val="22"/>
          <w:lang w:val="hu-HU"/>
        </w:rPr>
        <w:t xml:space="preserve"> pont</w:t>
      </w:r>
      <w:r w:rsidRPr="00A530FF">
        <w:rPr>
          <w:sz w:val="22"/>
          <w:szCs w:val="22"/>
          <w:lang w:val="hu-HU"/>
        </w:rPr>
        <w:t xml:space="preserve">). </w:t>
      </w:r>
      <w:r w:rsidR="0035726F" w:rsidRPr="00A076D1">
        <w:rPr>
          <w:sz w:val="22"/>
          <w:szCs w:val="22"/>
          <w:lang w:val="hu"/>
        </w:rPr>
        <w:t>A szisztémás vastúlterhelésben szenvedő betegekkel végzett klinikai vizsgálatok összesített adatai szerint az agranulocytosisos esetek 63%-a a kezelés első hat hónapjában, 74%</w:t>
      </w:r>
      <w:r w:rsidR="004B5B1C">
        <w:rPr>
          <w:sz w:val="22"/>
          <w:szCs w:val="22"/>
          <w:lang w:val="hu"/>
        </w:rPr>
        <w:t>-a</w:t>
      </w:r>
      <w:r w:rsidR="0035726F" w:rsidRPr="00A076D1">
        <w:rPr>
          <w:sz w:val="22"/>
          <w:szCs w:val="22"/>
          <w:lang w:val="hu"/>
        </w:rPr>
        <w:t xml:space="preserve"> az első évében és 26%-a az első év után jelentkezett. Az első agranulocytosisos epizód jelentkezésének mediánja 190 nap volt (tartomány</w:t>
      </w:r>
      <w:r w:rsidR="004B5B1C">
        <w:rPr>
          <w:sz w:val="22"/>
          <w:szCs w:val="22"/>
          <w:lang w:val="hu"/>
        </w:rPr>
        <w:t>:</w:t>
      </w:r>
      <w:r w:rsidR="0035726F" w:rsidRPr="00A076D1">
        <w:rPr>
          <w:sz w:val="22"/>
          <w:szCs w:val="22"/>
          <w:lang w:val="hu"/>
        </w:rPr>
        <w:t xml:space="preserve"> 22 nap – 17,6 év), az időtartam mediánja pedig 10</w:t>
      </w:r>
      <w:r w:rsidR="004B5B1C">
        <w:rPr>
          <w:sz w:val="22"/>
          <w:szCs w:val="22"/>
          <w:lang w:val="hu"/>
        </w:rPr>
        <w:t> </w:t>
      </w:r>
      <w:r w:rsidR="0035726F" w:rsidRPr="00A076D1">
        <w:rPr>
          <w:sz w:val="22"/>
          <w:szCs w:val="22"/>
          <w:lang w:val="hu"/>
        </w:rPr>
        <w:t>nap volt a klinikai vizsgálatok</w:t>
      </w:r>
      <w:r w:rsidR="004B5B1C">
        <w:rPr>
          <w:sz w:val="22"/>
          <w:szCs w:val="22"/>
          <w:lang w:val="hu"/>
        </w:rPr>
        <w:t xml:space="preserve"> során</w:t>
      </w:r>
      <w:r w:rsidR="0035726F" w:rsidRPr="00A076D1">
        <w:rPr>
          <w:sz w:val="22"/>
          <w:szCs w:val="22"/>
          <w:lang w:val="hu"/>
        </w:rPr>
        <w:t>. A klinikai vizsgálatok és a forgalomba hozatalt követő visszajelzések tapasztalatai alapján az agranulocytosis bejelentett epizódjainak</w:t>
      </w:r>
      <w:r w:rsidR="0035726F">
        <w:rPr>
          <w:sz w:val="22"/>
          <w:szCs w:val="22"/>
          <w:lang w:val="hu"/>
        </w:rPr>
        <w:t xml:space="preserve"> 8,3%-a halálos kimenetelű volt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Deferipronnal kezelt betegeknél feljegyeztek hasmenéses időszakokat, amelyek nagyobbrészt enyhék és átmeneti jellegűek voltak. Az emésztőszervrendszerre gyakorolt hatások gyakrabban jelentkeznek a terápia kezdetén és a legtöbb betegnél a terápia folytatása mellett is néhány hét alatt megszűnnek. Egyes betegeknél hatásos lehet a deferipron dózisának csökkentése, majd a korábbi adagra való visszaállítása. Ízületi fájdalmakat szintén feljegyeztek a deferipronnal kezelt betegeknél. Ezek az események az egy vagy több ízületre kiterjedő, enyhe fájdalomtól a bevérzéssel és komoly mozgáskorlátozással járó súlyos arthritisig terjedtek. Az enyhe arthropatiák általában átmeneti jellegűek.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600BE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májenzimek emelkedett szérumszintjeit jelentették néhány, deferipront szedő beteg esetén</w:t>
      </w:r>
      <w:r w:rsidR="0061737F" w:rsidRPr="00A530FF">
        <w:rPr>
          <w:sz w:val="22"/>
          <w:szCs w:val="22"/>
          <w:lang w:val="hu-HU"/>
        </w:rPr>
        <w:t xml:space="preserve">. </w:t>
      </w:r>
      <w:r w:rsidR="00DA1F84" w:rsidRPr="00A530FF">
        <w:rPr>
          <w:sz w:val="22"/>
          <w:szCs w:val="22"/>
          <w:lang w:val="hu-HU"/>
        </w:rPr>
        <w:t>A legtöbb beteg esetében az emelkedés aszimptomatikus és átmeneti jellegű volt, és az érték visszaállt az alapszintre a deferipron adagolásának megszüntetése vagy az adag csökkentése nélkül. (lásd 4.4 pont).</w:t>
      </w:r>
    </w:p>
    <w:p w:rsidR="00DA1F84" w:rsidRPr="00A530FF" w:rsidRDefault="00DA1F84">
      <w:pPr>
        <w:tabs>
          <w:tab w:val="left" w:pos="0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Néhány betegnél a fibrosis előrehaladása jelentkezett vastúlterheléssel vagy hepatitis C-vel összefüggésben.</w:t>
      </w:r>
    </w:p>
    <w:p w:rsidR="00DA1F84" w:rsidRPr="00A530FF" w:rsidRDefault="00DA1F84">
      <w:pPr>
        <w:tabs>
          <w:tab w:val="left" w:pos="567"/>
        </w:tabs>
        <w:ind w:left="562" w:hanging="562"/>
        <w:rPr>
          <w:sz w:val="22"/>
          <w:szCs w:val="22"/>
          <w:lang w:val="hu-HU"/>
        </w:rPr>
      </w:pPr>
    </w:p>
    <w:p w:rsidR="00DA1F84" w:rsidRPr="00A530FF" w:rsidRDefault="00DA1F84">
      <w:pPr>
        <w:pStyle w:val="InsideAddress"/>
        <w:keepLines w:val="0"/>
        <w:tabs>
          <w:tab w:val="left" w:pos="567"/>
        </w:tabs>
        <w:rPr>
          <w:rFonts w:ascii="Times New Roman" w:hAnsi="Times New Roman"/>
          <w:szCs w:val="22"/>
          <w:lang w:val="hu-HU"/>
        </w:rPr>
      </w:pPr>
      <w:r w:rsidRPr="00A530FF">
        <w:rPr>
          <w:rFonts w:ascii="Times New Roman" w:hAnsi="Times New Roman"/>
          <w:szCs w:val="22"/>
          <w:lang w:val="hu-HU"/>
        </w:rPr>
        <w:t>A betegek egy kis hányadánál a plazma alacsony cinktartalma összefüggésbe hozható a deferipronnal. Orális cinkpótló alkalmazásával a szint normalizálódott.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807437" w:rsidRPr="00A530FF" w:rsidRDefault="00807437" w:rsidP="00807437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Neurológiai rendellenességeket (például kisagyi tüneteket, diplopiát, lateralis nystagmust, psychomotoros meglassulást, kézmozgásokat és axiális hypotoniát) figyeltek meg olyan gyermekeknél, akiknek több éven át szándékosan a javasolt maximális 100 mg/testtömegkilogramm/nap dózis két és félszeresét meghaladó dózisokat írtak fel. </w:t>
      </w:r>
      <w:r w:rsidRPr="00316F9F">
        <w:rPr>
          <w:sz w:val="22"/>
          <w:szCs w:val="22"/>
          <w:lang w:val="hu-HU"/>
        </w:rPr>
        <w:t xml:space="preserve">A forgalomba hozatalt követően hypotonia, instabilitás, járásképtelenség és a végtag mozgásképtelenségével járó hypertonia epizódjait észlelték olyan gyermekeknél, akiket standard dózisú deferipronnal kezeltek. </w:t>
      </w:r>
      <w:r w:rsidRPr="00A530FF">
        <w:rPr>
          <w:sz w:val="22"/>
          <w:szCs w:val="22"/>
          <w:lang w:val="hu-HU"/>
        </w:rPr>
        <w:t>A neurológiai rendellenességek a deferipron szedésének megszakítását követően progresszív</w:t>
      </w:r>
      <w:r w:rsidR="004B5B1C">
        <w:rPr>
          <w:sz w:val="22"/>
          <w:szCs w:val="22"/>
          <w:lang w:val="hu-HU"/>
        </w:rPr>
        <w:t xml:space="preserve"> módon</w:t>
      </w:r>
      <w:r w:rsidRPr="00A530FF">
        <w:rPr>
          <w:sz w:val="22"/>
          <w:szCs w:val="22"/>
          <w:lang w:val="hu-HU"/>
        </w:rPr>
        <w:t xml:space="preserve"> visszafejlődtek (lásd 4.4 és 4.9 pont).</w:t>
      </w:r>
    </w:p>
    <w:p w:rsidR="0031302E" w:rsidRDefault="0031302E" w:rsidP="0031302E">
      <w:pPr>
        <w:rPr>
          <w:sz w:val="22"/>
          <w:szCs w:val="22"/>
          <w:lang w:val="hu-HU"/>
        </w:rPr>
      </w:pPr>
    </w:p>
    <w:p w:rsidR="008652E8" w:rsidRPr="0031302E" w:rsidRDefault="008652E8" w:rsidP="008652E8">
      <w:pPr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>A kombinált terápia (deferipron és deferoxamin) biztonság</w:t>
      </w:r>
      <w:r>
        <w:rPr>
          <w:sz w:val="22"/>
          <w:szCs w:val="22"/>
          <w:lang w:val="hu-HU"/>
        </w:rPr>
        <w:t>osság</w:t>
      </w:r>
      <w:r w:rsidRPr="0031302E">
        <w:rPr>
          <w:sz w:val="22"/>
          <w:szCs w:val="22"/>
          <w:lang w:val="hu-HU"/>
        </w:rPr>
        <w:t>i profilja, amelyet klinikai vizsgálatokból, a forgalomba hozatal utáni tapasztalatokból, illetve a publikált szakirodalomból lehet megismerni, összhangban volt a monoterápiára jellemző biztonság</w:t>
      </w:r>
      <w:r>
        <w:rPr>
          <w:sz w:val="22"/>
          <w:szCs w:val="22"/>
          <w:lang w:val="hu-HU"/>
        </w:rPr>
        <w:t>osság</w:t>
      </w:r>
      <w:r w:rsidRPr="0031302E">
        <w:rPr>
          <w:sz w:val="22"/>
          <w:szCs w:val="22"/>
          <w:lang w:val="hu-HU"/>
        </w:rPr>
        <w:t>i profillal.</w:t>
      </w:r>
    </w:p>
    <w:p w:rsidR="008652E8" w:rsidRPr="0031302E" w:rsidRDefault="008652E8" w:rsidP="008652E8">
      <w:pPr>
        <w:rPr>
          <w:sz w:val="22"/>
          <w:szCs w:val="22"/>
          <w:lang w:val="hu-HU"/>
        </w:rPr>
      </w:pPr>
    </w:p>
    <w:p w:rsidR="008652E8" w:rsidRPr="0031302E" w:rsidRDefault="008652E8" w:rsidP="008652E8">
      <w:pPr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>A klinikai vizsgálatok összegyűjtött biztonság</w:t>
      </w:r>
      <w:r>
        <w:rPr>
          <w:sz w:val="22"/>
          <w:szCs w:val="22"/>
          <w:lang w:val="hu-HU"/>
        </w:rPr>
        <w:t>osság</w:t>
      </w:r>
      <w:r w:rsidRPr="0031302E">
        <w:rPr>
          <w:sz w:val="22"/>
          <w:szCs w:val="22"/>
          <w:lang w:val="hu-HU"/>
        </w:rPr>
        <w:t>i adatbázisának adatai (1343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betegév Ferriprox</w:t>
      </w:r>
      <w:r w:rsidR="004B5B1C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>monoterápia</w:t>
      </w:r>
      <w:r w:rsidR="004B5B1C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>expozíció és 244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betegév Ferriprox</w:t>
      </w:r>
      <w:r w:rsidR="004B5B1C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 xml:space="preserve"> és deferoxamin</w:t>
      </w:r>
      <w:r w:rsidR="004B5B1C">
        <w:rPr>
          <w:sz w:val="22"/>
          <w:szCs w:val="22"/>
          <w:lang w:val="hu-HU"/>
        </w:rPr>
        <w:t>-</w:t>
      </w:r>
      <w:r w:rsidRPr="0031302E">
        <w:rPr>
          <w:sz w:val="22"/>
          <w:szCs w:val="22"/>
          <w:lang w:val="hu-HU"/>
        </w:rPr>
        <w:t>expozíció) statisztikailag szignifikáns (p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&lt;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0,05) különbséget jeleztek a mellékhatások előfordulási gyakoriságában a „Szívbetegségek és a szívvel kapcsolatos tünetek”, „A csont- és izomrendszer, valamint a kötőszövet betegségei és tünetei” és a „Vese- és húgyúti betegségek és tünetek” szervrendszereknél. „A csont- és izomrendszer, valamint a kötőszövet betegségei és tünetei” és a „Vese- és húgyúti betegségek és tünetek” előfordulása ritkább volt a kombinált terápia alatt, mint a monoterápia alatt, a „Szívbetegségek és a szívvel kapcsolatos tünetek” előfordulása pedig gyakoribb volt a kombinált terápia alatt, mint a monoterápia alatt. A „Szívbetegségek és a szívvel kapcsolatos tünetek” kombinált terápia alatti gyakoribb előfordulásának az oka valószínűleg az volt, hogy ezeknél a betegeknél eleve nagyobb volt a meglévő szívműködési zavarok előfordulása, mint a monoterápiában részesült betegeknél. A kombinált terápiában részesülő betegeknél a kardi</w:t>
      </w:r>
      <w:r>
        <w:rPr>
          <w:sz w:val="22"/>
          <w:szCs w:val="22"/>
          <w:lang w:val="hu-HU"/>
        </w:rPr>
        <w:t>ális</w:t>
      </w:r>
      <w:r w:rsidRPr="0031302E">
        <w:rPr>
          <w:sz w:val="22"/>
          <w:szCs w:val="22"/>
          <w:lang w:val="hu-HU"/>
        </w:rPr>
        <w:t xml:space="preserve"> események gondos </w:t>
      </w:r>
      <w:r>
        <w:rPr>
          <w:sz w:val="22"/>
          <w:szCs w:val="22"/>
          <w:lang w:val="hu-HU"/>
        </w:rPr>
        <w:t>monitorozása indokolt</w:t>
      </w:r>
      <w:r w:rsidRPr="0031302E">
        <w:rPr>
          <w:sz w:val="22"/>
          <w:szCs w:val="22"/>
          <w:lang w:val="hu-HU"/>
        </w:rPr>
        <w:t xml:space="preserve"> (lásd 4.4</w:t>
      </w:r>
      <w:r>
        <w:rPr>
          <w:sz w:val="22"/>
          <w:szCs w:val="22"/>
          <w:lang w:val="hu-HU"/>
        </w:rPr>
        <w:t> pont</w:t>
      </w:r>
      <w:r w:rsidRPr="0031302E">
        <w:rPr>
          <w:sz w:val="22"/>
          <w:szCs w:val="22"/>
          <w:lang w:val="hu-HU"/>
        </w:rPr>
        <w:t>).</w:t>
      </w:r>
    </w:p>
    <w:p w:rsidR="008652E8" w:rsidRPr="0031302E" w:rsidRDefault="008652E8" w:rsidP="008652E8">
      <w:pPr>
        <w:rPr>
          <w:sz w:val="22"/>
          <w:szCs w:val="22"/>
          <w:lang w:val="hu-HU"/>
        </w:rPr>
      </w:pPr>
    </w:p>
    <w:p w:rsidR="008652E8" w:rsidRDefault="008652E8" w:rsidP="008652E8">
      <w:pPr>
        <w:rPr>
          <w:sz w:val="22"/>
          <w:szCs w:val="22"/>
          <w:lang w:val="hu-HU"/>
        </w:rPr>
      </w:pPr>
      <w:r w:rsidRPr="0031302E">
        <w:rPr>
          <w:sz w:val="22"/>
          <w:szCs w:val="22"/>
          <w:lang w:val="hu-HU"/>
        </w:rPr>
        <w:t>A kombinált terápiával kezelt 18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gyermeknél és 97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felnőttnél tapasztalt mellékhatások előfordulásában nem volt szignifikáns különbség a két korcsoport között, kivéve az arthropathiát (11,1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% a gyerekeknél, nulla a felnőtteknél, p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=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0,02). A 100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betegév expozícióra adott reakciók hányadának értékelése azt mutatta, hogy csak a hasmenés aránya volt szignifikánsan magasabb a gyermekeknél (11,</w:t>
      </w:r>
      <w:r w:rsidR="006B0D4C">
        <w:rPr>
          <w:sz w:val="22"/>
          <w:szCs w:val="22"/>
          <w:lang w:val="hu-HU"/>
        </w:rPr>
        <w:t>1</w:t>
      </w:r>
      <w:r w:rsidRPr="0031302E">
        <w:rPr>
          <w:sz w:val="22"/>
          <w:szCs w:val="22"/>
          <w:lang w:val="hu-HU"/>
        </w:rPr>
        <w:t>), mint felnőtteknél (2,0, p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=</w:t>
      </w:r>
      <w:r>
        <w:rPr>
          <w:sz w:val="22"/>
          <w:szCs w:val="22"/>
          <w:lang w:val="hu-HU"/>
        </w:rPr>
        <w:t> </w:t>
      </w:r>
      <w:r w:rsidRPr="0031302E">
        <w:rPr>
          <w:sz w:val="22"/>
          <w:szCs w:val="22"/>
          <w:lang w:val="hu-HU"/>
        </w:rPr>
        <w:t>0,01).</w:t>
      </w:r>
    </w:p>
    <w:p w:rsidR="00612330" w:rsidRPr="00A530FF" w:rsidRDefault="00612330" w:rsidP="00612330">
      <w:pPr>
        <w:rPr>
          <w:sz w:val="22"/>
          <w:szCs w:val="22"/>
          <w:lang w:val="hu-HU"/>
        </w:rPr>
      </w:pPr>
    </w:p>
    <w:p w:rsidR="00612330" w:rsidRPr="00A530FF" w:rsidRDefault="00612330" w:rsidP="003707EE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Feltételezett mellékhatások bejelentése</w:t>
      </w:r>
    </w:p>
    <w:p w:rsidR="00DA1F84" w:rsidRPr="00A530FF" w:rsidRDefault="00612330" w:rsidP="0015056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gyógyszer engedélyezését követően lényeges a feltételezett mellékhatások bejelentése, mert ez fontos eszköze annak, hogy a gyógyszer előny/kockázat profilját folyamatosan figyelemmel lehessen kísérni. Az egészségügyi szakembereket kérjük, hogy jelentsék be a feltételezett mellékhatásokat a hatóság részére az </w:t>
      </w:r>
      <w:hyperlink r:id="rId12" w:history="1">
        <w:r w:rsidR="00B86235" w:rsidRPr="00B86235">
          <w:rPr>
            <w:rStyle w:val="Hyperlink"/>
            <w:sz w:val="22"/>
            <w:highlight w:val="lightGray"/>
            <w:lang w:val="hu-HU"/>
          </w:rPr>
          <w:t>V. függelékben</w:t>
        </w:r>
      </w:hyperlink>
      <w:r w:rsidRPr="00A530FF">
        <w:rPr>
          <w:sz w:val="22"/>
          <w:szCs w:val="22"/>
          <w:highlight w:val="lightGray"/>
          <w:lang w:val="hu-HU"/>
        </w:rPr>
        <w:t xml:space="preserve"> található elérhetőségek valamelyikén keresztül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EE4089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4.9</w:t>
      </w:r>
      <w:r w:rsidRPr="00A530FF">
        <w:rPr>
          <w:b/>
          <w:sz w:val="22"/>
          <w:szCs w:val="22"/>
          <w:lang w:val="hu-HU"/>
        </w:rPr>
        <w:tab/>
        <w:t>Túladagolás</w:t>
      </w:r>
    </w:p>
    <w:p w:rsidR="00DA1F84" w:rsidRPr="00A530FF" w:rsidRDefault="00DA1F84" w:rsidP="00EE4089">
      <w:pPr>
        <w:pStyle w:val="EndnoteText"/>
        <w:keepNext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Az akut túladagolás eseteiről nem számoltak be. Azonban neurológiai rendellenességeket (például kisagyi tüneteket, diplopiát, lateralis nystagmust, pszichomotoros meglassulást, kézmozgásokat és axiális hypotoniát) </w:t>
      </w:r>
      <w:r w:rsidR="002E0B74">
        <w:rPr>
          <w:sz w:val="22"/>
          <w:szCs w:val="22"/>
          <w:lang w:val="hu-HU"/>
        </w:rPr>
        <w:t xml:space="preserve">észleltek </w:t>
      </w:r>
      <w:r w:rsidRPr="00A530FF">
        <w:rPr>
          <w:sz w:val="22"/>
          <w:szCs w:val="22"/>
          <w:lang w:val="hu-HU"/>
        </w:rPr>
        <w:t>olyan gyermekeknél, akiknek több éven át szándékosan a javasolt maximális 100 mg/testtömegkilogramm/nap dózis két és félszeresét meghaladó dózisokat írtak fel. A neurológiai rendellenességek a deferipron szedésének megszakítását követően progresszív</w:t>
      </w:r>
      <w:r w:rsidR="00070A6D">
        <w:rPr>
          <w:sz w:val="22"/>
          <w:szCs w:val="22"/>
          <w:lang w:val="hu-HU"/>
        </w:rPr>
        <w:t xml:space="preserve"> módon</w:t>
      </w:r>
      <w:r w:rsidRPr="00A530FF">
        <w:rPr>
          <w:sz w:val="22"/>
          <w:szCs w:val="22"/>
          <w:lang w:val="hu-HU"/>
        </w:rPr>
        <w:t xml:space="preserve"> visszafejlődtek.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Túladagolás esetén szigorú klinikai felügyelet szükséges.</w:t>
      </w: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5.</w:t>
      </w:r>
      <w:r w:rsidRPr="00A530FF">
        <w:rPr>
          <w:b/>
          <w:caps/>
          <w:sz w:val="22"/>
          <w:szCs w:val="22"/>
          <w:lang w:val="hu-HU"/>
        </w:rPr>
        <w:tab/>
        <w:t>Farmakológiai tulajdonságok</w:t>
      </w: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5.1 </w:t>
      </w:r>
      <w:r w:rsidRPr="00A530FF">
        <w:rPr>
          <w:b/>
          <w:sz w:val="22"/>
          <w:szCs w:val="22"/>
          <w:lang w:val="hu-HU"/>
        </w:rPr>
        <w:tab/>
        <w:t>Farmakodinámiás tulajdonságok</w:t>
      </w: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Farmakoterápiás csoport:</w:t>
      </w:r>
      <w:r w:rsidRPr="00A530FF">
        <w:rPr>
          <w:b/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Vassal kelátot képző anyagok, ATC kód:</w:t>
      </w:r>
      <w:r w:rsidRPr="00A530FF">
        <w:rPr>
          <w:b/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V03AC02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3018F4" w:rsidRPr="00A530FF" w:rsidRDefault="003018F4" w:rsidP="003018F4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Hatásmechanizmus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hatóanyag deferipron (1,2-dimetil-3-hidroxi-4-piridon), amely a vashoz 3:1 mólarányban kötődő két</w:t>
      </w:r>
      <w:r w:rsidR="00070A6D">
        <w:rPr>
          <w:sz w:val="22"/>
          <w:szCs w:val="22"/>
          <w:lang w:val="hu-HU"/>
        </w:rPr>
        <w:t>fogú</w:t>
      </w:r>
      <w:r w:rsidRPr="00A530FF">
        <w:rPr>
          <w:sz w:val="22"/>
          <w:szCs w:val="22"/>
          <w:lang w:val="hu-HU"/>
        </w:rPr>
        <w:t xml:space="preserve"> ligand.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3018F4" w:rsidRPr="00A530FF" w:rsidRDefault="003018F4" w:rsidP="003018F4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Farmakodinámiás hatások</w:t>
      </w:r>
    </w:p>
    <w:p w:rsidR="00DA1F84" w:rsidRPr="00A530FF" w:rsidRDefault="00DA1F84" w:rsidP="003F4864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A530FF">
        <w:rPr>
          <w:rFonts w:ascii="Times New Roman" w:hAnsi="Times New Roman"/>
          <w:szCs w:val="22"/>
          <w:lang w:val="hu-HU"/>
        </w:rPr>
        <w:t xml:space="preserve">A klinikai vizsgálatok azt mutatták, hogy a </w:t>
      </w:r>
      <w:r w:rsidR="00E62E9E" w:rsidRPr="00A530FF">
        <w:rPr>
          <w:rFonts w:ascii="Times New Roman" w:hAnsi="Times New Roman"/>
          <w:szCs w:val="22"/>
          <w:lang w:val="hu-HU"/>
        </w:rPr>
        <w:t xml:space="preserve">Ferriprox </w:t>
      </w:r>
      <w:r w:rsidRPr="00A530FF">
        <w:rPr>
          <w:rFonts w:ascii="Times New Roman" w:hAnsi="Times New Roman"/>
          <w:szCs w:val="22"/>
          <w:lang w:val="hu-HU"/>
        </w:rPr>
        <w:t xml:space="preserve">hatásosan gyorsítja a vas kiürülését és napi háromszor 25 mg/testtömegkilogramm adagban képes megakadályozni a vas felhalmozódását, amint azt transzfúziófüggő thalassaemiás betegeknél a szérumferritin-tartalom vizsgálata jelezte. </w:t>
      </w:r>
      <w:r w:rsidR="003F4864" w:rsidRPr="006F2F11">
        <w:rPr>
          <w:rFonts w:ascii="Times New Roman" w:hAnsi="Times New Roman"/>
          <w:szCs w:val="22"/>
          <w:lang w:val="hu-HU"/>
        </w:rPr>
        <w:t>A thalassaemi</w:t>
      </w:r>
      <w:r w:rsidR="003F4864">
        <w:rPr>
          <w:rFonts w:ascii="Times New Roman" w:hAnsi="Times New Roman"/>
          <w:szCs w:val="22"/>
          <w:lang w:val="hu-HU"/>
        </w:rPr>
        <w:t>a major</w:t>
      </w:r>
      <w:r w:rsidR="003F4864" w:rsidRPr="006F2F11">
        <w:rPr>
          <w:rFonts w:ascii="Times New Roman" w:hAnsi="Times New Roman"/>
          <w:szCs w:val="22"/>
          <w:lang w:val="hu-HU"/>
        </w:rPr>
        <w:t>ban szenvedő betegek vasegyensúly</w:t>
      </w:r>
      <w:r w:rsidR="00070A6D">
        <w:rPr>
          <w:rFonts w:ascii="Times New Roman" w:hAnsi="Times New Roman"/>
          <w:szCs w:val="22"/>
          <w:lang w:val="hu-HU"/>
        </w:rPr>
        <w:t>-</w:t>
      </w:r>
      <w:r w:rsidR="003F4864">
        <w:rPr>
          <w:rFonts w:ascii="Times New Roman" w:hAnsi="Times New Roman"/>
          <w:szCs w:val="22"/>
          <w:lang w:val="hu-HU"/>
        </w:rPr>
        <w:t>vizsgálatait</w:t>
      </w:r>
      <w:r w:rsidR="003F4864" w:rsidRPr="006F2F11">
        <w:rPr>
          <w:rFonts w:ascii="Times New Roman" w:hAnsi="Times New Roman"/>
          <w:szCs w:val="22"/>
          <w:lang w:val="hu-HU"/>
        </w:rPr>
        <w:t xml:space="preserve"> elemző szakirodalomban publikált adatok tanúsága szerint a Ferriprox és a deferoxamin együttes </w:t>
      </w:r>
      <w:r w:rsidR="003F4864">
        <w:rPr>
          <w:rFonts w:ascii="Times New Roman" w:hAnsi="Times New Roman"/>
          <w:szCs w:val="22"/>
          <w:lang w:val="hu-HU"/>
        </w:rPr>
        <w:t>alkalmazása</w:t>
      </w:r>
      <w:r w:rsidR="003F4864" w:rsidRPr="006F2F11">
        <w:rPr>
          <w:rFonts w:ascii="Times New Roman" w:hAnsi="Times New Roman"/>
          <w:szCs w:val="22"/>
          <w:lang w:val="hu-HU"/>
        </w:rPr>
        <w:t xml:space="preserve"> (mindkét kelátor bevétele ugyanazon a napon, akár egyszerre, akár egymás után, pl. Ferriprox</w:t>
      </w:r>
      <w:r w:rsidR="00070A6D">
        <w:rPr>
          <w:rFonts w:ascii="Times New Roman" w:hAnsi="Times New Roman"/>
          <w:szCs w:val="22"/>
          <w:lang w:val="hu-HU"/>
        </w:rPr>
        <w:t>-ot</w:t>
      </w:r>
      <w:r w:rsidR="003F4864" w:rsidRPr="006F2F11">
        <w:rPr>
          <w:rFonts w:ascii="Times New Roman" w:hAnsi="Times New Roman"/>
          <w:szCs w:val="22"/>
          <w:lang w:val="hu-HU"/>
        </w:rPr>
        <w:t xml:space="preserve"> nappal és deferoxamin</w:t>
      </w:r>
      <w:r w:rsidR="00070A6D">
        <w:rPr>
          <w:rFonts w:ascii="Times New Roman" w:hAnsi="Times New Roman"/>
          <w:szCs w:val="22"/>
          <w:lang w:val="hu-HU"/>
        </w:rPr>
        <w:t>t</w:t>
      </w:r>
      <w:r w:rsidR="003F4864" w:rsidRPr="006F2F11">
        <w:rPr>
          <w:rFonts w:ascii="Times New Roman" w:hAnsi="Times New Roman"/>
          <w:szCs w:val="22"/>
          <w:lang w:val="hu-HU"/>
        </w:rPr>
        <w:t xml:space="preserve"> éjszaka) jobban elősegíti a vas kiürülését, mint bármelyik gyógyszer önmagában. Ezeknél a vizsgálatoknál a Ferriprox dózisa 50 és 100</w:t>
      </w:r>
      <w:r w:rsidR="003F4864">
        <w:rPr>
          <w:rFonts w:ascii="Times New Roman" w:hAnsi="Times New Roman"/>
          <w:szCs w:val="22"/>
          <w:lang w:val="hu-HU"/>
        </w:rPr>
        <w:t> </w:t>
      </w:r>
      <w:r w:rsidR="003F4864" w:rsidRPr="006F2F11">
        <w:rPr>
          <w:rFonts w:ascii="Times New Roman" w:hAnsi="Times New Roman"/>
          <w:szCs w:val="22"/>
          <w:lang w:val="hu-HU"/>
        </w:rPr>
        <w:t>mg/</w:t>
      </w:r>
      <w:r w:rsidR="00070A6D">
        <w:rPr>
          <w:rFonts w:ascii="Times New Roman" w:hAnsi="Times New Roman"/>
          <w:szCs w:val="22"/>
          <w:lang w:val="hu-HU"/>
        </w:rPr>
        <w:t>tt</w:t>
      </w:r>
      <w:r w:rsidR="003F4864" w:rsidRPr="006F2F11">
        <w:rPr>
          <w:rFonts w:ascii="Times New Roman" w:hAnsi="Times New Roman"/>
          <w:szCs w:val="22"/>
          <w:lang w:val="hu-HU"/>
        </w:rPr>
        <w:t>kg/nap</w:t>
      </w:r>
      <w:r w:rsidR="003F4864">
        <w:rPr>
          <w:rFonts w:ascii="Times New Roman" w:hAnsi="Times New Roman"/>
          <w:szCs w:val="22"/>
          <w:lang w:val="hu-HU"/>
        </w:rPr>
        <w:t>,</w:t>
      </w:r>
      <w:r w:rsidR="003F4864" w:rsidRPr="006F2F11">
        <w:rPr>
          <w:rFonts w:ascii="Times New Roman" w:hAnsi="Times New Roman"/>
          <w:szCs w:val="22"/>
          <w:lang w:val="hu-HU"/>
        </w:rPr>
        <w:t xml:space="preserve"> és a deferoxamin dózisa 40 és 60</w:t>
      </w:r>
      <w:r w:rsidR="003F4864">
        <w:rPr>
          <w:rFonts w:ascii="Times New Roman" w:hAnsi="Times New Roman"/>
          <w:szCs w:val="22"/>
          <w:lang w:val="hu-HU"/>
        </w:rPr>
        <w:t> </w:t>
      </w:r>
      <w:r w:rsidR="003F4864" w:rsidRPr="006F2F11">
        <w:rPr>
          <w:rFonts w:ascii="Times New Roman" w:hAnsi="Times New Roman"/>
          <w:szCs w:val="22"/>
          <w:lang w:val="hu-HU"/>
        </w:rPr>
        <w:t>mg/</w:t>
      </w:r>
      <w:r w:rsidR="00070A6D">
        <w:rPr>
          <w:rFonts w:ascii="Times New Roman" w:hAnsi="Times New Roman"/>
          <w:szCs w:val="22"/>
          <w:lang w:val="hu-HU"/>
        </w:rPr>
        <w:t>tt</w:t>
      </w:r>
      <w:r w:rsidR="003F4864" w:rsidRPr="006F2F11">
        <w:rPr>
          <w:rFonts w:ascii="Times New Roman" w:hAnsi="Times New Roman"/>
          <w:szCs w:val="22"/>
          <w:lang w:val="hu-HU"/>
        </w:rPr>
        <w:t>kg/nap között mozgott.</w:t>
      </w:r>
      <w:r w:rsidR="006F2F11" w:rsidRPr="00B86235">
        <w:rPr>
          <w:rFonts w:ascii="Times New Roman" w:hAnsi="Times New Roman"/>
          <w:szCs w:val="22"/>
          <w:lang w:val="hu-HU"/>
        </w:rPr>
        <w:t xml:space="preserve"> </w:t>
      </w:r>
      <w:r w:rsidRPr="00A530FF">
        <w:rPr>
          <w:rFonts w:ascii="Times New Roman" w:hAnsi="Times New Roman"/>
          <w:szCs w:val="22"/>
          <w:lang w:val="hu-HU"/>
        </w:rPr>
        <w:t>A kelációs terápia azonban nem feltétlenül nyújt védelmet a vas okozta szervkárosodással szemben.</w:t>
      </w:r>
    </w:p>
    <w:p w:rsidR="00AA1601" w:rsidRPr="00A530FF" w:rsidRDefault="00AA1601" w:rsidP="00AA1601">
      <w:pPr>
        <w:rPr>
          <w:lang w:val="hu-HU"/>
        </w:rPr>
      </w:pPr>
    </w:p>
    <w:p w:rsidR="003018F4" w:rsidRPr="00A530FF" w:rsidRDefault="003018F4" w:rsidP="003018F4">
      <w:pPr>
        <w:keepNext/>
        <w:rPr>
          <w:sz w:val="22"/>
          <w:szCs w:val="22"/>
          <w:u w:val="single"/>
          <w:lang w:val="hu-HU"/>
        </w:rPr>
      </w:pPr>
      <w:r w:rsidRPr="00A530FF">
        <w:rPr>
          <w:sz w:val="22"/>
          <w:szCs w:val="22"/>
          <w:u w:val="single"/>
          <w:lang w:val="hu-HU"/>
        </w:rPr>
        <w:t>Klinikai hatásosság és biztonságosság</w:t>
      </w:r>
    </w:p>
    <w:p w:rsidR="00600BEF" w:rsidRPr="00A530FF" w:rsidRDefault="00600BEF" w:rsidP="00600BE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LA16-0102-, LA-01- és LA08-9701</w:t>
      </w:r>
      <w:r w:rsidRPr="00A530FF">
        <w:rPr>
          <w:sz w:val="22"/>
          <w:szCs w:val="22"/>
          <w:lang w:val="hu-HU"/>
        </w:rPr>
        <w:noBreakHyphen/>
        <w:t>vizsgálat a Ferriprox és a deferoxamin szérumferritinszint</w:t>
      </w:r>
      <w:r w:rsidR="00070A6D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szabályozásában mutatott hatásosságát hasonlították össze transzfúzió-függő thalass</w:t>
      </w:r>
      <w:r w:rsidR="009634F0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emiás betegek esetén. A Ferriprox és a deferoxamin egyformán segítette elő a nettó stabilizációt vagy a szervezet vasterhelésének csökkentését, annak ellenére, hogy e betegek folyamatosan kaptak transzfúzióban vasat (a regressziós elemzés szerint a két kezelési csoport között nincs különbség a s</w:t>
      </w:r>
      <w:r w:rsidR="00070A6D">
        <w:rPr>
          <w:sz w:val="22"/>
          <w:szCs w:val="22"/>
          <w:lang w:val="hu-HU"/>
        </w:rPr>
        <w:t>zé</w:t>
      </w:r>
      <w:r w:rsidRPr="00A530FF">
        <w:rPr>
          <w:sz w:val="22"/>
          <w:szCs w:val="22"/>
          <w:lang w:val="hu-HU"/>
        </w:rPr>
        <w:t>rumferritin tekintetében negatív trendet mutató betegek arányában, p &gt; 0,05).</w:t>
      </w:r>
    </w:p>
    <w:p w:rsidR="00600BEF" w:rsidRPr="00A530FF" w:rsidRDefault="00600BEF" w:rsidP="00600BEF">
      <w:pPr>
        <w:rPr>
          <w:sz w:val="22"/>
          <w:szCs w:val="22"/>
          <w:lang w:val="hu-HU"/>
        </w:rPr>
      </w:pPr>
    </w:p>
    <w:p w:rsidR="00600BEF" w:rsidRPr="00A530FF" w:rsidRDefault="00600BEF" w:rsidP="00600BE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T2* mágnesesrezonancia</w:t>
      </w:r>
      <w:r w:rsidR="00070A6D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vizsgálatot (MRI</w:t>
      </w:r>
      <w:r w:rsidR="00070A6D">
        <w:rPr>
          <w:sz w:val="22"/>
          <w:szCs w:val="22"/>
          <w:lang w:val="hu-HU"/>
        </w:rPr>
        <w:t>-t</w:t>
      </w:r>
      <w:r w:rsidRPr="00A530FF">
        <w:rPr>
          <w:sz w:val="22"/>
          <w:szCs w:val="22"/>
          <w:lang w:val="hu-HU"/>
        </w:rPr>
        <w:t>) is alkalmaztak a myocardialis vasterhelés számszerűsítésére. A vasterhelés koncentrációfüggő MRI T2*</w:t>
      </w:r>
      <w:r w:rsidR="00070A6D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jelveszteséget okoz, ezért a megnövekedett myocardialis vasmennyiség csökkenti a myocardialis MRI T2*</w:t>
      </w:r>
      <w:r w:rsidRPr="00A530FF">
        <w:rPr>
          <w:sz w:val="22"/>
          <w:szCs w:val="22"/>
          <w:lang w:val="hu-HU"/>
        </w:rPr>
        <w:noBreakHyphen/>
        <w:t>értékeket. A 20 ms</w:t>
      </w:r>
      <w:r w:rsidRPr="00A530FF">
        <w:rPr>
          <w:sz w:val="22"/>
          <w:szCs w:val="22"/>
          <w:lang w:val="hu-HU"/>
        </w:rPr>
        <w:noBreakHyphen/>
        <w:t>nál kisebb MRI T2*</w:t>
      </w:r>
      <w:r w:rsidRPr="00A530FF">
        <w:rPr>
          <w:sz w:val="22"/>
          <w:szCs w:val="22"/>
          <w:lang w:val="hu-HU"/>
        </w:rPr>
        <w:noBreakHyphen/>
        <w:t>értékek a szívben fellépő vastúlterhelést jelentenek. A kezelés során az MRI</w:t>
      </w:r>
      <w:r w:rsidR="00070A6D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T2*</w:t>
      </w:r>
      <w:r w:rsidRPr="00A530FF">
        <w:rPr>
          <w:sz w:val="22"/>
          <w:szCs w:val="22"/>
          <w:lang w:val="hu-HU"/>
        </w:rPr>
        <w:noBreakHyphen/>
        <w:t>értékek növekedése arra utal, hogy a vas eltávozik a szívből. Az MRI T2*</w:t>
      </w:r>
      <w:r w:rsidRPr="00A530FF">
        <w:rPr>
          <w:sz w:val="22"/>
          <w:szCs w:val="22"/>
          <w:lang w:val="hu-HU"/>
        </w:rPr>
        <w:noBreakHyphen/>
        <w:t>értékek és a szívműködés közötti pozitív korrelációt (balkamra ejekciós frakcióval – Left Ventricular Ejection Fraction [LVEF] mérve) dokumentálták.</w:t>
      </w:r>
    </w:p>
    <w:p w:rsidR="00600BEF" w:rsidRPr="00A530FF" w:rsidRDefault="00600BEF" w:rsidP="00600BEF">
      <w:pPr>
        <w:rPr>
          <w:sz w:val="22"/>
          <w:szCs w:val="22"/>
          <w:lang w:val="hu-HU"/>
        </w:rPr>
      </w:pPr>
    </w:p>
    <w:p w:rsidR="00600BEF" w:rsidRPr="00A530FF" w:rsidRDefault="00600BEF" w:rsidP="00B646A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LA16-0102</w:t>
      </w:r>
      <w:r w:rsidRPr="00A530FF">
        <w:rPr>
          <w:sz w:val="22"/>
          <w:szCs w:val="22"/>
          <w:lang w:val="hu-HU"/>
        </w:rPr>
        <w:noBreakHyphen/>
        <w:t>vizsgálat a Ferriprox</w:t>
      </w:r>
      <w:r w:rsidRPr="00A530FF">
        <w:rPr>
          <w:sz w:val="22"/>
          <w:szCs w:val="22"/>
          <w:lang w:val="hu-HU"/>
        </w:rPr>
        <w:noBreakHyphen/>
        <w:t>nak és a deferoxaminnak a szív vastúlterhelése csökkentésében és a szívműködés javításában mutatott hatásosságát hasonlította össze (LVEF</w:t>
      </w:r>
      <w:r w:rsidRPr="00A530FF">
        <w:rPr>
          <w:sz w:val="22"/>
          <w:szCs w:val="22"/>
          <w:lang w:val="hu-HU"/>
        </w:rPr>
        <w:noBreakHyphen/>
        <w:t>fel mérve) transzfúzió</w:t>
      </w:r>
      <w:r w:rsidRPr="00A530FF">
        <w:rPr>
          <w:sz w:val="22"/>
          <w:szCs w:val="22"/>
          <w:lang w:val="hu-HU"/>
        </w:rPr>
        <w:noBreakHyphen/>
        <w:t>függő thalass</w:t>
      </w:r>
      <w:r w:rsidR="009634F0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emiás betegek esetében. A szív vastúlterhelésében szenvedő, előzetesen deferoxaminnal kezelt 61 beteget randomizáltak a deferoxamin</w:t>
      </w:r>
      <w:r w:rsidRPr="00A530FF">
        <w:rPr>
          <w:sz w:val="22"/>
          <w:szCs w:val="22"/>
          <w:lang w:val="hu-HU"/>
        </w:rPr>
        <w:noBreakHyphen/>
        <w:t>kezelés folytatására (az átlagos adag 43</w:t>
      </w:r>
      <w:r w:rsidR="00B646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070A6D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kg/nap; N = 31) vagy Ferriprox-ra való átállításra (az átlagos adag 92</w:t>
      </w:r>
      <w:r w:rsidR="00B646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070A6D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kg/nap N = 29). A vizsgálat 12 hónapos időtartama alatt a Ferriprox a deferoxaminnál jobban csökkentette a szív vastúlterhelését. A szív T2* több mint 3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ms értékkel javult a Ferriprox</w:t>
      </w:r>
      <w:r w:rsidRPr="00A530FF">
        <w:rPr>
          <w:sz w:val="22"/>
          <w:szCs w:val="22"/>
          <w:lang w:val="hu-HU"/>
        </w:rPr>
        <w:noBreakHyphen/>
        <w:t>szal kezelt betegeknél, mint a deferoxaminnal kezelt betegeknél. Ugyanabban a vizsgálati időpontban az LVEF a kiindulási értékhez viszonyítva 3,07 ± 3,58 abszolút egységgel nőtt (%) a Ferriprox</w:t>
      </w:r>
      <w:r w:rsidRPr="00A530FF">
        <w:rPr>
          <w:sz w:val="22"/>
          <w:szCs w:val="22"/>
          <w:lang w:val="hu-HU"/>
        </w:rPr>
        <w:noBreakHyphen/>
        <w:t xml:space="preserve"> és 0,32 ± 3,38 abszolút egységgel (%) a deferoxamin</w:t>
      </w:r>
      <w:r w:rsidRPr="00A530FF">
        <w:rPr>
          <w:sz w:val="22"/>
          <w:szCs w:val="22"/>
          <w:lang w:val="hu-HU"/>
        </w:rPr>
        <w:noBreakHyphen/>
        <w:t>csoportban (a csoportok közötti különbség: p = 0,003).</w:t>
      </w:r>
    </w:p>
    <w:p w:rsidR="00600BEF" w:rsidRPr="00A530FF" w:rsidRDefault="00600BEF" w:rsidP="00600BEF">
      <w:pPr>
        <w:rPr>
          <w:sz w:val="22"/>
          <w:szCs w:val="22"/>
          <w:lang w:val="hu-HU"/>
        </w:rPr>
      </w:pPr>
    </w:p>
    <w:p w:rsidR="00600BEF" w:rsidRPr="00A530FF" w:rsidRDefault="00600BEF" w:rsidP="00600BE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LA12-9907</w:t>
      </w:r>
      <w:r w:rsidRPr="00A530FF">
        <w:rPr>
          <w:sz w:val="22"/>
          <w:szCs w:val="22"/>
          <w:lang w:val="hu-HU"/>
        </w:rPr>
        <w:noBreakHyphen/>
        <w:t>vizsgálat a túlélést, a szívbetegség előfordulását és a szívbetegség progresszióját hasonlította össze 129, thalass</w:t>
      </w:r>
      <w:r w:rsidR="009634F0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>emia ma</w:t>
      </w:r>
      <w:r w:rsidR="009634F0">
        <w:rPr>
          <w:sz w:val="22"/>
          <w:szCs w:val="22"/>
          <w:lang w:val="hu-HU"/>
        </w:rPr>
        <w:t>j</w:t>
      </w:r>
      <w:r w:rsidRPr="00A530FF">
        <w:rPr>
          <w:sz w:val="22"/>
          <w:szCs w:val="22"/>
          <w:lang w:val="hu-HU"/>
        </w:rPr>
        <w:t>orban szenvedő beteg esetében, akiket legalább 4 évig kezeltek Ferriprox</w:t>
      </w:r>
      <w:r w:rsidRPr="00A530FF">
        <w:rPr>
          <w:sz w:val="22"/>
          <w:szCs w:val="22"/>
          <w:lang w:val="hu-HU"/>
        </w:rPr>
        <w:noBreakHyphen/>
        <w:t xml:space="preserve">szal (N = 54) vagy deferoxaminnal (N = 75). A kardiális végpontokat echokardiogram, elektrokardiogram, a New York Heart Association </w:t>
      </w:r>
      <w:r w:rsidR="00070A6D">
        <w:rPr>
          <w:sz w:val="22"/>
          <w:szCs w:val="22"/>
          <w:lang w:val="hu-HU"/>
        </w:rPr>
        <w:t xml:space="preserve">által meghatározott </w:t>
      </w:r>
      <w:r w:rsidRPr="00A530FF">
        <w:rPr>
          <w:sz w:val="22"/>
          <w:szCs w:val="22"/>
          <w:lang w:val="hu-HU"/>
        </w:rPr>
        <w:t>stádium</w:t>
      </w:r>
      <w:r w:rsidR="00070A6D">
        <w:rPr>
          <w:sz w:val="22"/>
          <w:szCs w:val="22"/>
          <w:lang w:val="hu-HU"/>
        </w:rPr>
        <w:t>ok</w:t>
      </w:r>
      <w:r w:rsidRPr="00A530FF">
        <w:rPr>
          <w:sz w:val="22"/>
          <w:szCs w:val="22"/>
          <w:lang w:val="hu-HU"/>
        </w:rPr>
        <w:t xml:space="preserve"> és a szívbetegség miatti halálozás segítségével értékelték. Az első vizsgálatkor nem volt szignifikáns eltérés a szívműködési zavarban szenvedő betegek százalékarányában (13% a Ferriprox-szal, és 16% a deferoxaminnal kezelt betegek között). Az első vizsgálatkor szívműködési zavart mutató betegek között a deferipronnal kezelt betegek közül egynél sem, de a deferoxaminnal kezeltek közül négy beteg (33%) esetében a kardiális status romlása (p = 0,245) következett be. Az olyan betegek között, akik az első vizsgálatkor nem voltak szívbetegek, újonnan diagnosztizált szívműködési zavar a deferoxaminnal kezelt betegek közül 13</w:t>
      </w:r>
      <w:r w:rsidRPr="00A530FF">
        <w:rPr>
          <w:sz w:val="24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nál (20,6%) és a Ferriprox</w:t>
      </w:r>
      <w:r w:rsidRPr="00A530FF">
        <w:rPr>
          <w:sz w:val="22"/>
          <w:szCs w:val="22"/>
          <w:lang w:val="hu-HU"/>
        </w:rPr>
        <w:noBreakHyphen/>
        <w:t>szal kezelt betegek közül 2</w:t>
      </w:r>
      <w:r w:rsidRPr="00A530FF">
        <w:rPr>
          <w:sz w:val="22"/>
          <w:szCs w:val="22"/>
          <w:lang w:val="hu-HU"/>
        </w:rPr>
        <w:noBreakHyphen/>
        <w:t>nél (4,3%) fordult elő (p = 0,013). Összességében a deferoxaminnal kezelt betegekhez képest kevesebb Ferriprox</w:t>
      </w:r>
      <w:r w:rsidRPr="00A530FF">
        <w:rPr>
          <w:sz w:val="22"/>
          <w:szCs w:val="22"/>
          <w:lang w:val="hu-HU"/>
        </w:rPr>
        <w:noBreakHyphen/>
        <w:t>szal kezelt betegnél jelentkezett szívműködési zavar az első és az utolsó vizsgálat között (4%, illetve 20%, p = 0,007).</w:t>
      </w:r>
    </w:p>
    <w:p w:rsidR="00600BEF" w:rsidRPr="00A530FF" w:rsidRDefault="00600BEF" w:rsidP="00600BEF">
      <w:pPr>
        <w:rPr>
          <w:sz w:val="22"/>
          <w:szCs w:val="22"/>
          <w:lang w:val="hu-HU"/>
        </w:rPr>
      </w:pPr>
    </w:p>
    <w:p w:rsidR="00600BEF" w:rsidRPr="00A530FF" w:rsidRDefault="00600BEF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szakirodalmi adatok összhangban vannak az Apotex</w:t>
      </w:r>
      <w:r w:rsidRPr="00A530FF">
        <w:rPr>
          <w:sz w:val="22"/>
          <w:szCs w:val="22"/>
          <w:lang w:val="hu-HU"/>
        </w:rPr>
        <w:noBreakHyphen/>
        <w:t>vizsgálatok eredményeivel, amelyek a deferoxaminnal kezelt betegekhez képest a Ferriprox</w:t>
      </w:r>
      <w:r w:rsidRPr="00A530FF">
        <w:rPr>
          <w:sz w:val="22"/>
          <w:szCs w:val="22"/>
          <w:lang w:val="hu-HU"/>
        </w:rPr>
        <w:noBreakHyphen/>
        <w:t>szal kezelt betegek esetében kevesebb szívbetegséget és/vagy jobb túlélési arányt bizonyítanak.</w:t>
      </w:r>
    </w:p>
    <w:p w:rsidR="000F2062" w:rsidRPr="00A530FF" w:rsidRDefault="000F2062" w:rsidP="000F2062">
      <w:pPr>
        <w:tabs>
          <w:tab w:val="left" w:pos="567"/>
        </w:tabs>
        <w:rPr>
          <w:sz w:val="22"/>
          <w:szCs w:val="22"/>
          <w:lang w:val="hu-HU"/>
        </w:rPr>
      </w:pPr>
    </w:p>
    <w:p w:rsidR="003F4864" w:rsidRDefault="003F4864" w:rsidP="000D70E5">
      <w:pPr>
        <w:tabs>
          <w:tab w:val="left" w:pos="567"/>
        </w:tabs>
        <w:rPr>
          <w:sz w:val="22"/>
          <w:szCs w:val="22"/>
          <w:lang w:val="hu-HU"/>
        </w:rPr>
      </w:pPr>
      <w:r w:rsidRPr="00574B3D">
        <w:rPr>
          <w:sz w:val="22"/>
          <w:szCs w:val="22"/>
          <w:lang w:val="hu-HU"/>
        </w:rPr>
        <w:t>Randomizált, placeb</w:t>
      </w:r>
      <w:r>
        <w:rPr>
          <w:sz w:val="22"/>
          <w:szCs w:val="22"/>
          <w:lang w:val="hu-HU"/>
        </w:rPr>
        <w:t>o</w:t>
      </w:r>
      <w:r w:rsidRPr="00574B3D">
        <w:rPr>
          <w:sz w:val="22"/>
          <w:szCs w:val="22"/>
          <w:lang w:val="hu-HU"/>
        </w:rPr>
        <w:t>kontroll</w:t>
      </w:r>
      <w:r>
        <w:rPr>
          <w:sz w:val="22"/>
          <w:szCs w:val="22"/>
          <w:lang w:val="hu-HU"/>
        </w:rPr>
        <w:t>os</w:t>
      </w:r>
      <w:r w:rsidRPr="00574B3D">
        <w:rPr>
          <w:sz w:val="22"/>
          <w:szCs w:val="22"/>
          <w:lang w:val="hu-HU"/>
        </w:rPr>
        <w:t xml:space="preserve"> kettős vak klinikai vizsgálatban értékelték a Ferriprox és deferoxamin együttes terápiáját </w:t>
      </w:r>
      <w:r w:rsidRPr="009634F0">
        <w:rPr>
          <w:sz w:val="22"/>
          <w:szCs w:val="22"/>
          <w:lang w:val="hu-HU"/>
        </w:rPr>
        <w:t xml:space="preserve">olyan </w:t>
      </w:r>
      <w:r w:rsidRPr="00F75EF0">
        <w:rPr>
          <w:sz w:val="22"/>
          <w:szCs w:val="22"/>
          <w:lang w:val="hu-HU"/>
        </w:rPr>
        <w:t xml:space="preserve">thalassaemia majorban </w:t>
      </w:r>
      <w:r w:rsidRPr="009634F0">
        <w:rPr>
          <w:sz w:val="22"/>
          <w:szCs w:val="22"/>
          <w:lang w:val="hu-HU"/>
        </w:rPr>
        <w:t>szenvedő betegeknél</w:t>
      </w:r>
      <w:r w:rsidRPr="00574B3D">
        <w:rPr>
          <w:sz w:val="22"/>
          <w:szCs w:val="22"/>
          <w:lang w:val="hu-HU"/>
        </w:rPr>
        <w:t xml:space="preserve">, akik korábban szokásos kelátképzőszeres monoterápiában részesültek szubkután deferoxamin formájában és enyhe vagy közepes súlyosságú </w:t>
      </w:r>
      <w:r>
        <w:rPr>
          <w:sz w:val="22"/>
          <w:szCs w:val="22"/>
          <w:lang w:val="hu-HU"/>
        </w:rPr>
        <w:t xml:space="preserve">cardialis </w:t>
      </w:r>
      <w:r w:rsidRPr="00574B3D">
        <w:rPr>
          <w:sz w:val="22"/>
          <w:szCs w:val="22"/>
          <w:lang w:val="hu-HU"/>
        </w:rPr>
        <w:t>vasterhelés jelentkezett náluk (</w:t>
      </w:r>
      <w:r w:rsidR="000D70E5" w:rsidRPr="00A530FF">
        <w:rPr>
          <w:sz w:val="22"/>
          <w:szCs w:val="22"/>
          <w:lang w:val="hu-HU"/>
        </w:rPr>
        <w:t>myocardialis</w:t>
      </w:r>
      <w:r w:rsidRPr="00574B3D">
        <w:rPr>
          <w:sz w:val="22"/>
          <w:szCs w:val="22"/>
          <w:lang w:val="hu-HU"/>
        </w:rPr>
        <w:t xml:space="preserve"> T2* értéke 8–20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ms). A randomizálást követően 32 beteg kapott deferoxamint (</w:t>
      </w:r>
      <w:r w:rsidR="00E829C3" w:rsidRPr="00574B3D">
        <w:rPr>
          <w:sz w:val="22"/>
          <w:szCs w:val="22"/>
          <w:lang w:val="hu-HU"/>
        </w:rPr>
        <w:t>34,9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mg/</w:t>
      </w:r>
      <w:r w:rsidR="00070A6D">
        <w:rPr>
          <w:sz w:val="22"/>
          <w:szCs w:val="22"/>
          <w:lang w:val="hu-HU"/>
        </w:rPr>
        <w:t>tt</w:t>
      </w:r>
      <w:r w:rsidRPr="00574B3D">
        <w:rPr>
          <w:sz w:val="22"/>
          <w:szCs w:val="22"/>
          <w:lang w:val="hu-HU"/>
        </w:rPr>
        <w:t>kg/nap, 5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nap/hét) és Ferriproxot (75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mg/</w:t>
      </w:r>
      <w:r w:rsidR="00070A6D">
        <w:rPr>
          <w:sz w:val="22"/>
          <w:szCs w:val="22"/>
          <w:lang w:val="hu-HU"/>
        </w:rPr>
        <w:t>tt</w:t>
      </w:r>
      <w:r w:rsidRPr="00574B3D">
        <w:rPr>
          <w:sz w:val="22"/>
          <w:szCs w:val="22"/>
          <w:lang w:val="hu-HU"/>
        </w:rPr>
        <w:t>kg/nap) és 33 beteg részesült deferoxamin monoterápiában (</w:t>
      </w:r>
      <w:r w:rsidR="00E829C3" w:rsidRPr="00574B3D">
        <w:rPr>
          <w:sz w:val="22"/>
          <w:szCs w:val="22"/>
          <w:lang w:val="hu-HU"/>
        </w:rPr>
        <w:t>43,4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mg/</w:t>
      </w:r>
      <w:r w:rsidR="00070A6D">
        <w:rPr>
          <w:sz w:val="22"/>
          <w:szCs w:val="22"/>
          <w:lang w:val="hu-HU"/>
        </w:rPr>
        <w:t>tt</w:t>
      </w:r>
      <w:r w:rsidRPr="00574B3D">
        <w:rPr>
          <w:sz w:val="22"/>
          <w:szCs w:val="22"/>
          <w:lang w:val="hu-HU"/>
        </w:rPr>
        <w:t>kg/nap, 5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nap/hét). Egy év vizsgálati terápia után megállapították, hogy az együttes kelátterápiában részesült betegeknél szignifikánsan nagyobb volt a szérumferritinszint csökkenése (1574</w:t>
      </w:r>
      <w:r>
        <w:rPr>
          <w:sz w:val="22"/>
          <w:szCs w:val="22"/>
          <w:lang w:val="hu-HU"/>
        </w:rPr>
        <w:t> </w:t>
      </w:r>
      <w:r w:rsidR="00070A6D">
        <w:rPr>
          <w:sz w:val="22"/>
          <w:szCs w:val="22"/>
          <w:lang w:val="hu-HU"/>
        </w:rPr>
        <w:t>mikrogramm</w:t>
      </w:r>
      <w:r w:rsidRPr="00574B3D">
        <w:rPr>
          <w:sz w:val="22"/>
          <w:szCs w:val="22"/>
          <w:lang w:val="hu-HU"/>
        </w:rPr>
        <w:t>/l értékről 598</w:t>
      </w:r>
      <w:r>
        <w:rPr>
          <w:sz w:val="22"/>
          <w:szCs w:val="22"/>
          <w:lang w:val="hu-HU"/>
        </w:rPr>
        <w:t> </w:t>
      </w:r>
      <w:r w:rsidR="00070A6D">
        <w:rPr>
          <w:sz w:val="22"/>
          <w:szCs w:val="22"/>
          <w:lang w:val="hu-HU"/>
        </w:rPr>
        <w:t>mikrogramm</w:t>
      </w:r>
      <w:r w:rsidRPr="00574B3D">
        <w:rPr>
          <w:sz w:val="22"/>
          <w:szCs w:val="22"/>
          <w:lang w:val="hu-HU"/>
        </w:rPr>
        <w:t>/l értékre az együttes terápiánál, és 1379</w:t>
      </w:r>
      <w:r>
        <w:rPr>
          <w:sz w:val="22"/>
          <w:szCs w:val="22"/>
          <w:lang w:val="hu-HU"/>
        </w:rPr>
        <w:t> </w:t>
      </w:r>
      <w:r w:rsidR="00070A6D">
        <w:rPr>
          <w:sz w:val="22"/>
          <w:szCs w:val="22"/>
          <w:lang w:val="hu-HU"/>
        </w:rPr>
        <w:t>mikrogramm</w:t>
      </w:r>
      <w:r w:rsidRPr="00574B3D">
        <w:rPr>
          <w:sz w:val="22"/>
          <w:szCs w:val="22"/>
          <w:lang w:val="hu-HU"/>
        </w:rPr>
        <w:t>/l értékről 1146</w:t>
      </w:r>
      <w:r>
        <w:rPr>
          <w:sz w:val="22"/>
          <w:szCs w:val="22"/>
          <w:lang w:val="hu-HU"/>
        </w:rPr>
        <w:t> </w:t>
      </w:r>
      <w:r w:rsidR="00070A6D">
        <w:rPr>
          <w:sz w:val="22"/>
          <w:szCs w:val="22"/>
          <w:lang w:val="hu-HU"/>
        </w:rPr>
        <w:t>mikrogramm</w:t>
      </w:r>
      <w:r w:rsidRPr="00574B3D">
        <w:rPr>
          <w:sz w:val="22"/>
          <w:szCs w:val="22"/>
          <w:lang w:val="hu-HU"/>
        </w:rPr>
        <w:t>/l értékre a deferoxamin</w:t>
      </w:r>
      <w:r w:rsidR="00330FDB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monoterápiánál, p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 xml:space="preserve">&lt; 0,001), szignifikánsan jobban csökkent a </w:t>
      </w:r>
      <w:r w:rsidR="000D70E5" w:rsidRPr="00574B3D">
        <w:rPr>
          <w:sz w:val="22"/>
          <w:szCs w:val="22"/>
          <w:lang w:val="hu-HU"/>
        </w:rPr>
        <w:t>m</w:t>
      </w:r>
      <w:r w:rsidR="000D70E5">
        <w:rPr>
          <w:sz w:val="22"/>
          <w:szCs w:val="22"/>
          <w:lang w:val="hu-HU"/>
        </w:rPr>
        <w:t>y</w:t>
      </w:r>
      <w:r w:rsidR="000D70E5" w:rsidRPr="00574B3D">
        <w:rPr>
          <w:sz w:val="22"/>
          <w:szCs w:val="22"/>
          <w:lang w:val="hu-HU"/>
        </w:rPr>
        <w:t>o</w:t>
      </w:r>
      <w:r w:rsidR="000D70E5">
        <w:rPr>
          <w:sz w:val="22"/>
          <w:szCs w:val="22"/>
          <w:lang w:val="hu-HU"/>
        </w:rPr>
        <w:t>c</w:t>
      </w:r>
      <w:r w:rsidR="000D70E5" w:rsidRPr="00574B3D">
        <w:rPr>
          <w:sz w:val="22"/>
          <w:szCs w:val="22"/>
          <w:lang w:val="hu-HU"/>
        </w:rPr>
        <w:t>ardi</w:t>
      </w:r>
      <w:r w:rsidR="000D70E5">
        <w:rPr>
          <w:sz w:val="22"/>
          <w:szCs w:val="22"/>
          <w:lang w:val="hu-HU"/>
        </w:rPr>
        <w:t>a</w:t>
      </w:r>
      <w:r w:rsidR="000D70E5" w:rsidRPr="00574B3D">
        <w:rPr>
          <w:sz w:val="22"/>
          <w:szCs w:val="22"/>
          <w:lang w:val="hu-HU"/>
        </w:rPr>
        <w:t>lis</w:t>
      </w:r>
      <w:r w:rsidRPr="00574B3D">
        <w:rPr>
          <w:sz w:val="22"/>
          <w:szCs w:val="22"/>
          <w:lang w:val="hu-HU"/>
        </w:rPr>
        <w:t xml:space="preserve"> vastúlterhelés, az MRI T2* értékének növekedése alapján ítélve (11,7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17,7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az együttes terápiánál, és 12,4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 15,7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 deferoxamin</w:t>
      </w:r>
      <w:r w:rsidR="00070A6D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monoterápiánál, p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=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0,02)</w:t>
      </w:r>
      <w:r>
        <w:rPr>
          <w:sz w:val="22"/>
          <w:szCs w:val="22"/>
          <w:lang w:val="hu-HU"/>
        </w:rPr>
        <w:t>,</w:t>
      </w:r>
      <w:r w:rsidRPr="00574B3D">
        <w:rPr>
          <w:sz w:val="22"/>
          <w:szCs w:val="22"/>
          <w:lang w:val="hu-HU"/>
        </w:rPr>
        <w:t xml:space="preserve"> és szignifikánsan jobban csökkent a máj vaskoncentrációja, szintén az MRI T2* értékének a növekedése alapján ítélve (4,9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 10,7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az együttes terápiánál, és 4,2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értékről 5,0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ms értékre a deferoxamin</w:t>
      </w:r>
      <w:r w:rsidR="00070A6D">
        <w:rPr>
          <w:sz w:val="22"/>
          <w:szCs w:val="22"/>
          <w:lang w:val="hu-HU"/>
        </w:rPr>
        <w:t>-</w:t>
      </w:r>
      <w:r w:rsidRPr="00574B3D">
        <w:rPr>
          <w:sz w:val="22"/>
          <w:szCs w:val="22"/>
          <w:lang w:val="hu-HU"/>
        </w:rPr>
        <w:t>monoterápiánál, p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&lt;</w:t>
      </w:r>
      <w:r>
        <w:rPr>
          <w:sz w:val="22"/>
          <w:szCs w:val="22"/>
          <w:lang w:val="hu-HU"/>
        </w:rPr>
        <w:t> </w:t>
      </w:r>
      <w:r w:rsidRPr="00574B3D">
        <w:rPr>
          <w:sz w:val="22"/>
          <w:szCs w:val="22"/>
          <w:lang w:val="hu-HU"/>
        </w:rPr>
        <w:t>0,001).</w:t>
      </w:r>
    </w:p>
    <w:p w:rsidR="00B86235" w:rsidRDefault="00B86235" w:rsidP="00396B44">
      <w:pPr>
        <w:tabs>
          <w:tab w:val="left" w:pos="567"/>
        </w:tabs>
        <w:rPr>
          <w:sz w:val="22"/>
          <w:szCs w:val="22"/>
          <w:lang w:val="hu-HU"/>
        </w:rPr>
      </w:pPr>
    </w:p>
    <w:p w:rsidR="00396B44" w:rsidRPr="00A530FF" w:rsidRDefault="00396B44" w:rsidP="00B646AF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LA37-1111 vizsgálatot azért végezték, hogy egészséges vizsgálati alanyoknál értékelje, milyen hatással van a deferipron egyszeri terápiás (33</w:t>
      </w:r>
      <w:r w:rsidR="00B646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330FDB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kg) és szupraterápiás (50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mg/</w:t>
      </w:r>
      <w:r w:rsidR="00330FDB">
        <w:rPr>
          <w:sz w:val="22"/>
          <w:szCs w:val="22"/>
          <w:lang w:val="hu-HU"/>
        </w:rPr>
        <w:t>tt</w:t>
      </w:r>
      <w:r w:rsidRPr="00A530FF">
        <w:rPr>
          <w:sz w:val="22"/>
          <w:szCs w:val="22"/>
          <w:lang w:val="hu-HU"/>
        </w:rPr>
        <w:t>kg) orális dózisa a QT-intervallumra. A terápiás dózis és a placebo legkisebb négyzetei átlagainak legnagyobb különbsége 3,01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ms (95%</w:t>
      </w:r>
      <w:r w:rsidRPr="00A530FF">
        <w:rPr>
          <w:sz w:val="22"/>
          <w:szCs w:val="22"/>
          <w:lang w:val="hu-HU"/>
        </w:rPr>
        <w:noBreakHyphen/>
        <w:t xml:space="preserve">os egyoldalas </w:t>
      </w:r>
      <w:r w:rsidR="00330FDB" w:rsidRPr="00330FDB">
        <w:rPr>
          <w:sz w:val="22"/>
          <w:szCs w:val="22"/>
          <w:lang w:val="hu-HU"/>
        </w:rPr>
        <w:t>konfidencia intervallum felső határa</w:t>
      </w:r>
      <w:r w:rsidRPr="00A530FF">
        <w:rPr>
          <w:sz w:val="22"/>
          <w:szCs w:val="22"/>
          <w:lang w:val="hu-HU"/>
        </w:rPr>
        <w:t>: 5,01 ms), a szupraterápiás dózis és a placebo közötti legkisebb négyzete</w:t>
      </w:r>
      <w:r w:rsidR="00330FDB">
        <w:rPr>
          <w:sz w:val="22"/>
          <w:szCs w:val="22"/>
          <w:lang w:val="hu-HU"/>
        </w:rPr>
        <w:t>k</w:t>
      </w:r>
      <w:r w:rsidRPr="00A530FF">
        <w:rPr>
          <w:sz w:val="22"/>
          <w:szCs w:val="22"/>
          <w:lang w:val="hu-HU"/>
        </w:rPr>
        <w:t xml:space="preserve"> átlag</w:t>
      </w:r>
      <w:r w:rsidR="00330FDB">
        <w:rPr>
          <w:sz w:val="22"/>
          <w:szCs w:val="22"/>
          <w:lang w:val="hu-HU"/>
        </w:rPr>
        <w:t>aié</w:t>
      </w:r>
      <w:r w:rsidRPr="00A530FF">
        <w:rPr>
          <w:sz w:val="22"/>
          <w:szCs w:val="22"/>
          <w:lang w:val="hu-HU"/>
        </w:rPr>
        <w:t xml:space="preserve"> pedig 5,23</w:t>
      </w:r>
      <w:r w:rsidR="000D64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ms (95%</w:t>
      </w:r>
      <w:r w:rsidRPr="00A530FF">
        <w:rPr>
          <w:sz w:val="22"/>
          <w:szCs w:val="22"/>
          <w:lang w:val="hu-HU"/>
        </w:rPr>
        <w:noBreakHyphen/>
        <w:t>os egyoldalas konfidencia</w:t>
      </w:r>
      <w:r w:rsidR="00330FDB">
        <w:rPr>
          <w:sz w:val="22"/>
          <w:szCs w:val="22"/>
          <w:lang w:val="hu-HU"/>
        </w:rPr>
        <w:t xml:space="preserve"> </w:t>
      </w:r>
      <w:r w:rsidR="00330FDB" w:rsidRPr="00330FDB">
        <w:rPr>
          <w:sz w:val="22"/>
          <w:szCs w:val="22"/>
          <w:lang w:val="hu-HU"/>
        </w:rPr>
        <w:t>intervallum felső határa</w:t>
      </w:r>
      <w:r w:rsidRPr="00A530FF">
        <w:rPr>
          <w:sz w:val="22"/>
          <w:szCs w:val="22"/>
          <w:lang w:val="hu-HU"/>
        </w:rPr>
        <w:t xml:space="preserve">: 7,19 ms) volt. A számítások alapján a Ferriprox nem nyújtja meg </w:t>
      </w:r>
      <w:r w:rsidR="00330FDB">
        <w:rPr>
          <w:sz w:val="22"/>
          <w:szCs w:val="22"/>
          <w:lang w:val="hu-HU"/>
        </w:rPr>
        <w:t>szignifikánsan</w:t>
      </w:r>
      <w:r w:rsidR="00330FDB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a QT-intervallumot.</w:t>
      </w:r>
    </w:p>
    <w:p w:rsidR="00F4434A" w:rsidRPr="00A530FF" w:rsidRDefault="00F4434A">
      <w:pPr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5.2</w:t>
      </w:r>
      <w:r w:rsidRPr="00A530FF">
        <w:rPr>
          <w:b/>
          <w:sz w:val="22"/>
          <w:szCs w:val="22"/>
          <w:lang w:val="hu-HU"/>
        </w:rPr>
        <w:tab/>
        <w:t>Farmakokinetikai tulajdonságok</w:t>
      </w:r>
    </w:p>
    <w:p w:rsidR="00DA1F84" w:rsidRPr="00A530FF" w:rsidRDefault="00DA1F84" w:rsidP="00C61FC8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bCs/>
          <w:iCs/>
          <w:sz w:val="22"/>
          <w:szCs w:val="22"/>
          <w:u w:val="single"/>
          <w:lang w:val="hu-HU"/>
        </w:rPr>
      </w:pPr>
      <w:r w:rsidRPr="00A530FF">
        <w:rPr>
          <w:bCs/>
          <w:iCs/>
          <w:sz w:val="22"/>
          <w:szCs w:val="22"/>
          <w:u w:val="single"/>
          <w:lang w:val="hu-HU"/>
        </w:rPr>
        <w:t>Felszívódás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gyorsan felszívódik a tápcsatorna felső szakaszában. A szérum</w:t>
      </w:r>
      <w:r w:rsidR="00330FDB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csúcskoncentráció 45</w:t>
      </w:r>
      <w:r w:rsidR="00114522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60</w:t>
      </w:r>
      <w:r w:rsidR="009220CE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perccel a betegnek éhgyomorra adott egyszeri dózis után jelentkezik. Ez akár 2 órát is igénybe vehet teli gyomor esetén.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pStyle w:val="InsideAddress"/>
        <w:keepLines w:val="0"/>
        <w:rPr>
          <w:rFonts w:ascii="Times New Roman" w:hAnsi="Times New Roman"/>
          <w:szCs w:val="22"/>
          <w:lang w:val="hu-HU"/>
        </w:rPr>
      </w:pPr>
      <w:r w:rsidRPr="00A530FF">
        <w:rPr>
          <w:rFonts w:ascii="Times New Roman" w:hAnsi="Times New Roman"/>
          <w:szCs w:val="22"/>
          <w:lang w:val="hu-HU"/>
        </w:rPr>
        <w:t>Egy 25 mg/testtömegkilogramm dózist követően alacsonyabb csúcskoncentrációt (85 </w:t>
      </w:r>
      <w:r w:rsidR="009220CE">
        <w:rPr>
          <w:rFonts w:ascii="Times New Roman" w:hAnsi="Times New Roman"/>
          <w:szCs w:val="22"/>
          <w:lang w:val="hu-HU"/>
        </w:rPr>
        <w:t>mikro</w:t>
      </w:r>
      <w:r w:rsidRPr="00A530FF">
        <w:rPr>
          <w:rFonts w:ascii="Times New Roman" w:hAnsi="Times New Roman"/>
          <w:szCs w:val="22"/>
          <w:lang w:val="hu-HU"/>
        </w:rPr>
        <w:t>mol/l) jegyeztek fel jóllakott betegeknél, mint üres gyomor esetén (126 </w:t>
      </w:r>
      <w:r w:rsidR="009220CE">
        <w:rPr>
          <w:rFonts w:ascii="Times New Roman" w:hAnsi="Times New Roman"/>
          <w:szCs w:val="22"/>
          <w:lang w:val="hu-HU"/>
        </w:rPr>
        <w:t>mikro</w:t>
      </w:r>
      <w:r w:rsidRPr="00A530FF">
        <w:rPr>
          <w:rFonts w:ascii="Times New Roman" w:hAnsi="Times New Roman"/>
          <w:szCs w:val="22"/>
          <w:lang w:val="hu-HU"/>
        </w:rPr>
        <w:t>mol/l), jóllehet a felszívódó deferipron mennyisége nem csökkent ha azt a táplálékkal együtt adták be.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C61FC8">
      <w:pPr>
        <w:keepNext/>
        <w:rPr>
          <w:bCs/>
          <w:iCs/>
          <w:sz w:val="22"/>
          <w:szCs w:val="22"/>
          <w:u w:val="single"/>
          <w:lang w:val="hu-HU"/>
        </w:rPr>
      </w:pPr>
      <w:r w:rsidRPr="00A530FF">
        <w:rPr>
          <w:bCs/>
          <w:iCs/>
          <w:sz w:val="22"/>
          <w:szCs w:val="22"/>
          <w:u w:val="single"/>
          <w:lang w:val="hu-HU"/>
        </w:rPr>
        <w:t>Biotranszformáció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deferipron a szervezetben elsősorban glükuronid</w:t>
      </w:r>
      <w:r w:rsidR="009220CE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konjugáttá metabolizálódik. Ez a metabolit nem képes a vas megkötésére a deferipron 3-hidroxi</w:t>
      </w:r>
      <w:r w:rsidR="009220CE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csoportjának inaktiválása miatt. A glükuronid csúcskoncentrációja a szérumban 2-3 órával a deferipron alkalmazása után figyelhető meg.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bCs/>
          <w:iCs/>
          <w:sz w:val="22"/>
          <w:szCs w:val="22"/>
          <w:u w:val="single"/>
          <w:lang w:val="hu-HU"/>
        </w:rPr>
      </w:pPr>
      <w:r w:rsidRPr="00A530FF">
        <w:rPr>
          <w:bCs/>
          <w:iCs/>
          <w:sz w:val="22"/>
          <w:szCs w:val="22"/>
          <w:u w:val="single"/>
          <w:lang w:val="hu-HU"/>
        </w:rPr>
        <w:t>Kiválasztás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emberi szervezetben a deferipron elsősorban a vesékben választódik ki, és a feljegyzések szerint az első 24 óra során a bevett dózis 75-90%-a megjelenik a vizeletben szabad deferipron, glükuronid</w:t>
      </w:r>
      <w:r w:rsidR="009220CE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metabolit és vas-deferipron komplex formájában. Az adatok változó mennyiségű kiürülést mutatnak a székletbe. Az eliminációs felezési idő a betegek többségénél 2-3 óra.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B6527F" w:rsidRPr="008A5B48" w:rsidRDefault="00B6527F" w:rsidP="00B6527F">
      <w:pPr>
        <w:keepNext/>
        <w:rPr>
          <w:bCs/>
          <w:sz w:val="22"/>
          <w:szCs w:val="22"/>
          <w:u w:val="single"/>
          <w:lang w:val="hu-HU"/>
        </w:rPr>
      </w:pPr>
      <w:r>
        <w:rPr>
          <w:sz w:val="22"/>
          <w:szCs w:val="22"/>
          <w:u w:val="single"/>
          <w:lang w:val="hu"/>
        </w:rPr>
        <w:t>Vesekárosodás</w:t>
      </w:r>
    </w:p>
    <w:p w:rsidR="00B6527F" w:rsidRPr="008A5B48" w:rsidRDefault="00B6527F" w:rsidP="00B6527F">
      <w:pPr>
        <w:rPr>
          <w:bCs/>
          <w:sz w:val="22"/>
          <w:szCs w:val="22"/>
          <w:lang w:val="hu"/>
        </w:rPr>
      </w:pPr>
      <w:r>
        <w:rPr>
          <w:sz w:val="22"/>
          <w:szCs w:val="22"/>
          <w:lang w:val="hu"/>
        </w:rPr>
        <w:t xml:space="preserve">Nyílt </w:t>
      </w:r>
      <w:r w:rsidR="00717017">
        <w:rPr>
          <w:sz w:val="22"/>
          <w:szCs w:val="22"/>
          <w:lang w:val="hu"/>
        </w:rPr>
        <w:t>elrendezésű</w:t>
      </w:r>
      <w:r>
        <w:rPr>
          <w:sz w:val="22"/>
          <w:szCs w:val="22"/>
          <w:lang w:val="hu"/>
        </w:rPr>
        <w:t>, nem randomizált, párhuzamos csoportos klinikai vizsgálatot végeztek annak érdekében, hogy értékeljék a vesekárosodás hatását a Ferriprox egyszeri 33 mg/</w:t>
      </w:r>
      <w:r w:rsidR="009220CE">
        <w:rPr>
          <w:sz w:val="22"/>
          <w:szCs w:val="22"/>
          <w:lang w:val="hu"/>
        </w:rPr>
        <w:t>tt</w:t>
      </w:r>
      <w:r>
        <w:rPr>
          <w:sz w:val="22"/>
          <w:szCs w:val="22"/>
          <w:lang w:val="hu"/>
        </w:rPr>
        <w:t>kg orális dózisának biztonságosságára, tolerálhatóságára és farmakokinetikájára. Az alanyokat 4 csoportba sorolták a becsült glomeruláris filtrációs ráta (eGFR) alapján: egészséges önkéntesek (eGFR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≥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90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ml/perc/1,73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), enyhe vesekárosodás (eGFR 60</w:t>
      </w:r>
      <w:r>
        <w:rPr>
          <w:sz w:val="22"/>
          <w:szCs w:val="22"/>
          <w:lang w:val="hu"/>
        </w:rPr>
        <w:noBreakHyphen/>
        <w:t>89 ml/perc/1,73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), közepesen súlyos vesekárosodás (eGFR 30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59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ml/perc/1,73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 és súlyos vesekárosodás (eGFR 15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29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ml/perc/1,73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m</w:t>
      </w:r>
      <w:r>
        <w:rPr>
          <w:sz w:val="22"/>
          <w:szCs w:val="22"/>
          <w:vertAlign w:val="superscript"/>
          <w:lang w:val="hu"/>
        </w:rPr>
        <w:t>2</w:t>
      </w:r>
      <w:r>
        <w:rPr>
          <w:sz w:val="22"/>
          <w:szCs w:val="22"/>
          <w:lang w:val="hu"/>
        </w:rPr>
        <w:t>). A deferipron és a deferipron 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</w:t>
      </w:r>
      <w:r w:rsidR="009220CE">
        <w:rPr>
          <w:sz w:val="22"/>
          <w:szCs w:val="22"/>
          <w:lang w:val="hu"/>
        </w:rPr>
        <w:t>-</w:t>
      </w:r>
      <w:r>
        <w:rPr>
          <w:sz w:val="22"/>
          <w:szCs w:val="22"/>
          <w:lang w:val="hu"/>
        </w:rPr>
        <w:t>metabolitjának szisztémás expozícióját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és AUC PK-paraméterek alapján értékelték.</w:t>
      </w:r>
    </w:p>
    <w:p w:rsidR="00B6527F" w:rsidRPr="008A5B48" w:rsidRDefault="00B6527F" w:rsidP="00B6527F">
      <w:pPr>
        <w:rPr>
          <w:bCs/>
          <w:sz w:val="22"/>
          <w:szCs w:val="22"/>
          <w:lang w:val="hu"/>
        </w:rPr>
      </w:pPr>
    </w:p>
    <w:p w:rsidR="00B6527F" w:rsidRPr="008A5B48" w:rsidRDefault="00B6527F" w:rsidP="00B6527F">
      <w:pPr>
        <w:rPr>
          <w:bCs/>
          <w:sz w:val="22"/>
          <w:szCs w:val="22"/>
          <w:lang w:val="hu"/>
        </w:rPr>
      </w:pPr>
      <w:r>
        <w:rPr>
          <w:sz w:val="22"/>
          <w:szCs w:val="22"/>
          <w:lang w:val="hu"/>
        </w:rPr>
        <w:t>A vesekárosodás mértékétől függetlenül a Ferriprox adagjának nagy része az első 24 órában a vizelettel ürült deferipron-3-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 formájában. A vesekárosodás hatása a deferipron szisztémás expozíciójára nem volt szignifikáns. Az inaktív 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 szisztémás expozíciója az eGFR csökkenésével nőtt. A vizsgálat eredményei alapján a vesekárosodásban szenvedő betegeknél a Ferriprox adagolási rendjét nem kell külön beállítani. A Ferriprox biztonságossága és farmakokinetikája a végstádiumú vesebetegségben szenvedő betegeknél nem ismert.</w:t>
      </w:r>
    </w:p>
    <w:p w:rsidR="00B6527F" w:rsidRPr="008A5B48" w:rsidRDefault="00B6527F" w:rsidP="00B6527F">
      <w:pPr>
        <w:rPr>
          <w:bCs/>
          <w:sz w:val="22"/>
          <w:szCs w:val="22"/>
          <w:lang w:val="hu"/>
        </w:rPr>
      </w:pPr>
    </w:p>
    <w:p w:rsidR="00B6527F" w:rsidRPr="008A5B48" w:rsidRDefault="00B6527F" w:rsidP="00B6527F">
      <w:pPr>
        <w:keepNext/>
        <w:rPr>
          <w:bCs/>
          <w:sz w:val="22"/>
          <w:szCs w:val="22"/>
          <w:u w:val="single"/>
          <w:lang w:val="hu"/>
        </w:rPr>
      </w:pPr>
      <w:r>
        <w:rPr>
          <w:sz w:val="22"/>
          <w:szCs w:val="22"/>
          <w:u w:val="single"/>
          <w:lang w:val="hu"/>
        </w:rPr>
        <w:t>Májkárosodás</w:t>
      </w:r>
    </w:p>
    <w:p w:rsidR="00B6527F" w:rsidRPr="008A5B48" w:rsidRDefault="00B6527F" w:rsidP="00B6527F">
      <w:pPr>
        <w:rPr>
          <w:bCs/>
          <w:sz w:val="22"/>
          <w:szCs w:val="22"/>
          <w:lang w:val="hu"/>
        </w:rPr>
      </w:pPr>
      <w:r>
        <w:rPr>
          <w:sz w:val="22"/>
          <w:szCs w:val="22"/>
          <w:lang w:val="hu"/>
        </w:rPr>
        <w:t xml:space="preserve">Nyílt </w:t>
      </w:r>
      <w:r w:rsidR="00717017">
        <w:rPr>
          <w:sz w:val="22"/>
          <w:szCs w:val="22"/>
          <w:lang w:val="hu"/>
        </w:rPr>
        <w:t>elrendezésű</w:t>
      </w:r>
      <w:r>
        <w:rPr>
          <w:sz w:val="22"/>
          <w:szCs w:val="22"/>
          <w:lang w:val="hu"/>
        </w:rPr>
        <w:t>, nem randomizált, párhuzamos csoportos klinikai vizsgálatot végeztek annak érdekében, hogy értékeljék a májkárosodás hatását a Ferriprox egyszeri 33 mg/</w:t>
      </w:r>
      <w:r w:rsidR="009220CE">
        <w:rPr>
          <w:sz w:val="22"/>
          <w:szCs w:val="22"/>
          <w:lang w:val="hu"/>
        </w:rPr>
        <w:t>tt</w:t>
      </w:r>
      <w:r>
        <w:rPr>
          <w:sz w:val="22"/>
          <w:szCs w:val="22"/>
          <w:lang w:val="hu"/>
        </w:rPr>
        <w:t>kg orális dózisának biztonságosságára, tolerálhatóságára és farmakokinetikájára. Az alanyokat a Child-Pugh-féle pontrendszer alapján 3 csoportba sorolták: egészséges önkéntesek, enyhe májkárosodás (A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osztály: 5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6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pont) és közepesen súlyos májkárosodás (B</w:t>
      </w:r>
      <w:r w:rsidR="00AC2454">
        <w:rPr>
          <w:sz w:val="22"/>
          <w:szCs w:val="22"/>
          <w:lang w:val="hu"/>
        </w:rPr>
        <w:t> </w:t>
      </w:r>
      <w:r>
        <w:rPr>
          <w:sz w:val="22"/>
          <w:szCs w:val="22"/>
          <w:lang w:val="hu"/>
        </w:rPr>
        <w:t>osztály: 7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9 pont). A deferipron és a deferipron 3</w:t>
      </w:r>
      <w:r w:rsidR="00AC2454">
        <w:rPr>
          <w:sz w:val="22"/>
          <w:szCs w:val="22"/>
          <w:lang w:val="hu"/>
        </w:rPr>
        <w:noBreakHyphen/>
      </w:r>
      <w:r>
        <w:rPr>
          <w:i/>
          <w:iCs/>
          <w:sz w:val="22"/>
          <w:szCs w:val="22"/>
          <w:lang w:val="hu"/>
        </w:rPr>
        <w:t>O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glükuronid</w:t>
      </w:r>
      <w:r w:rsidR="009220CE">
        <w:rPr>
          <w:sz w:val="22"/>
          <w:szCs w:val="22"/>
          <w:lang w:val="hu"/>
        </w:rPr>
        <w:t>-</w:t>
      </w:r>
      <w:r>
        <w:rPr>
          <w:sz w:val="22"/>
          <w:szCs w:val="22"/>
          <w:lang w:val="hu"/>
        </w:rPr>
        <w:t>metabolitjának szisztémás expozícióját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és AUC PK-paraméterek alapján értékelték. A deferipron AUC-értéke</w:t>
      </w:r>
      <w:r w:rsidR="00AC2454">
        <w:rPr>
          <w:sz w:val="22"/>
          <w:szCs w:val="22"/>
          <w:lang w:val="hu"/>
        </w:rPr>
        <w:t>i</w:t>
      </w:r>
      <w:r>
        <w:rPr>
          <w:sz w:val="22"/>
          <w:szCs w:val="22"/>
          <w:lang w:val="hu"/>
        </w:rPr>
        <w:t xml:space="preserve"> nem különböztek a kezelési csoportoknál, de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értéke 20%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kal kisebb volt az enyhe vagy közepesen súlyos májkárosodásban szenvedő betegeknél, mint az egészséges önkénteseknél. A deferipron-3-</w:t>
      </w:r>
      <w:r>
        <w:rPr>
          <w:i/>
          <w:iCs/>
          <w:sz w:val="22"/>
          <w:szCs w:val="22"/>
          <w:lang w:val="hu"/>
        </w:rPr>
        <w:t>O</w:t>
      </w:r>
      <w:r>
        <w:rPr>
          <w:sz w:val="22"/>
          <w:szCs w:val="22"/>
          <w:lang w:val="hu"/>
        </w:rPr>
        <w:t>-glükuronid AUC-értéke 10%-kal és a C</w:t>
      </w:r>
      <w:r>
        <w:rPr>
          <w:sz w:val="22"/>
          <w:szCs w:val="22"/>
          <w:vertAlign w:val="subscript"/>
          <w:lang w:val="hu"/>
        </w:rPr>
        <w:t>max</w:t>
      </w:r>
      <w:r>
        <w:rPr>
          <w:sz w:val="22"/>
          <w:szCs w:val="22"/>
          <w:lang w:val="hu"/>
        </w:rPr>
        <w:t xml:space="preserve"> értéke 20%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kal kisebb volt az enyhe vagy közepesen súlyos májkárosodásban szenvedő betegeknél, mint az egészséges önkénteseknél. Egy közepesen súlyos májkárosodásban szenvedő személynél súlyos akut máj- és vesekárosodás jelentkezett. A vizsgálat eredményei alapján az enyhe vagy közepesen súlyos májkárosodásban szenvedő betegeknél a Ferriprox adagolási rendjét nem kell külön beállítani.</w:t>
      </w:r>
    </w:p>
    <w:p w:rsidR="00B6527F" w:rsidRPr="008A5B48" w:rsidRDefault="00B6527F" w:rsidP="00B6527F">
      <w:pPr>
        <w:rPr>
          <w:bCs/>
          <w:sz w:val="22"/>
          <w:szCs w:val="22"/>
          <w:lang w:val="hu"/>
        </w:rPr>
      </w:pPr>
    </w:p>
    <w:p w:rsidR="00B6527F" w:rsidRDefault="00B6527F" w:rsidP="00B6527F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"/>
        </w:rPr>
        <w:t>A súlyos májkárosodásnak a deferipron és a deferipron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3</w:t>
      </w:r>
      <w:r>
        <w:rPr>
          <w:sz w:val="22"/>
          <w:szCs w:val="22"/>
          <w:lang w:val="hu"/>
        </w:rPr>
        <w:noBreakHyphen/>
      </w:r>
      <w:r>
        <w:rPr>
          <w:i/>
          <w:iCs/>
          <w:sz w:val="22"/>
          <w:szCs w:val="22"/>
          <w:lang w:val="hu"/>
        </w:rPr>
        <w:t>O</w:t>
      </w:r>
      <w:r w:rsidR="00AC2454">
        <w:rPr>
          <w:sz w:val="22"/>
          <w:szCs w:val="22"/>
          <w:lang w:val="hu"/>
        </w:rPr>
        <w:noBreakHyphen/>
      </w:r>
      <w:r>
        <w:rPr>
          <w:sz w:val="22"/>
          <w:szCs w:val="22"/>
          <w:lang w:val="hu"/>
        </w:rPr>
        <w:t>glükuronid farmakokinetikájára gyakorolt hatását nem vizsgálták. A Ferriprox biztonságossága és farmakokinetikája a súlyos májkárosodásban szenvedő betegeknél nem ismert.</w:t>
      </w:r>
    </w:p>
    <w:p w:rsidR="00B6527F" w:rsidRPr="00A530FF" w:rsidRDefault="00B6527F" w:rsidP="00B6527F">
      <w:pPr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5.3</w:t>
      </w:r>
      <w:r w:rsidRPr="00A530FF">
        <w:rPr>
          <w:b/>
          <w:sz w:val="22"/>
          <w:szCs w:val="22"/>
          <w:lang w:val="hu-HU"/>
        </w:rPr>
        <w:tab/>
        <w:t>A preklinikai biztonságossági vizsgálatok eredményei</w:t>
      </w: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klinikai vizsgálatokat végeztek állatokon, többek között egereken, patkányokon, nyulakon, kutyákon és majmokon.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vassal nem terhelt állatokban 100 mg/testtömegkilogramm/nap</w:t>
      </w:r>
      <w:r w:rsidR="009220CE">
        <w:rPr>
          <w:sz w:val="22"/>
          <w:szCs w:val="22"/>
          <w:lang w:val="hu-HU"/>
        </w:rPr>
        <w:t>, illetve</w:t>
      </w:r>
      <w:r w:rsidRPr="00A530FF">
        <w:rPr>
          <w:sz w:val="22"/>
          <w:szCs w:val="22"/>
          <w:lang w:val="hu-HU"/>
        </w:rPr>
        <w:t xml:space="preserve"> ennél magasabb dózis</w:t>
      </w:r>
      <w:r w:rsidR="009220CE">
        <w:rPr>
          <w:sz w:val="22"/>
          <w:szCs w:val="22"/>
          <w:lang w:val="hu-HU"/>
        </w:rPr>
        <w:t xml:space="preserve"> esetén</w:t>
      </w:r>
      <w:r w:rsidRPr="00A530FF">
        <w:rPr>
          <w:sz w:val="22"/>
          <w:szCs w:val="22"/>
          <w:lang w:val="hu-HU"/>
        </w:rPr>
        <w:t xml:space="preserve"> a leggyakrabban haematológiai elváltozások voltak megfigyelhetők, úgymint a csontvelő hypocellularitása, a perifériás vérben csökkent fehérvérsejt-, csökkent vörösvérsejt-, és/vagy csökkent thrombocytaszám.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vassal nem terhelt állatoknál 100 mg/testtömegkilogramm/nap dózisnál és ennél magasabb dózisban megfigyelhető volt a csecsemőmirigy, a nyirokszövetek és a herék atrófiája, valamint a mellékvese hipertrófiája.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deferipron rákkeltő hatását állatkísérletekben nem vizsgálták. A deferipron genotoxikus hatását több </w:t>
      </w:r>
      <w:r w:rsidRPr="00A530FF">
        <w:rPr>
          <w:i/>
          <w:iCs/>
          <w:sz w:val="22"/>
          <w:szCs w:val="22"/>
          <w:lang w:val="hu-HU"/>
        </w:rPr>
        <w:t>in vitro</w:t>
      </w:r>
      <w:r w:rsidRPr="00A530FF">
        <w:rPr>
          <w:sz w:val="22"/>
          <w:szCs w:val="22"/>
          <w:lang w:val="hu-HU"/>
        </w:rPr>
        <w:t xml:space="preserve"> és </w:t>
      </w:r>
      <w:r w:rsidRPr="00A530FF">
        <w:rPr>
          <w:i/>
          <w:iCs/>
          <w:sz w:val="22"/>
          <w:szCs w:val="22"/>
          <w:lang w:val="hu-HU"/>
        </w:rPr>
        <w:t>in vivo</w:t>
      </w:r>
      <w:r w:rsidRPr="00A530FF">
        <w:rPr>
          <w:sz w:val="22"/>
          <w:szCs w:val="22"/>
          <w:lang w:val="hu-HU"/>
        </w:rPr>
        <w:t xml:space="preserve"> tesztben vizsgálták. A deferipron nem mutatott direkt mutagén hatást, azonban </w:t>
      </w:r>
      <w:r w:rsidRPr="00A530FF">
        <w:rPr>
          <w:i/>
          <w:iCs/>
          <w:sz w:val="22"/>
          <w:szCs w:val="22"/>
          <w:lang w:val="hu-HU"/>
        </w:rPr>
        <w:t>in vitro</w:t>
      </w:r>
      <w:r w:rsidRPr="00A530FF">
        <w:rPr>
          <w:sz w:val="22"/>
          <w:szCs w:val="22"/>
          <w:lang w:val="hu-HU"/>
        </w:rPr>
        <w:t xml:space="preserve"> tesztekben és állatkísérletekben klasztogén tulajdonságai voltak.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1A12C0" w:rsidRPr="00A530FF" w:rsidRDefault="00DA1F84" w:rsidP="00B646A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Reproduktív kísérletekben nem vasterhelt </w:t>
      </w:r>
      <w:r w:rsidR="001A12C0" w:rsidRPr="00A530FF">
        <w:rPr>
          <w:sz w:val="22"/>
          <w:szCs w:val="22"/>
          <w:lang w:val="hu-HU"/>
        </w:rPr>
        <w:t xml:space="preserve">vemhes </w:t>
      </w:r>
      <w:r w:rsidRPr="00A530FF">
        <w:rPr>
          <w:sz w:val="22"/>
          <w:szCs w:val="22"/>
          <w:lang w:val="hu-HU"/>
        </w:rPr>
        <w:t>patkányok és nyulak esetében</w:t>
      </w:r>
      <w:r w:rsidR="00E27718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25 mg/testtömegkilogramm/nap dózisnál a deferipron teratogén és embriotoxikus hatást mutatott.</w:t>
      </w:r>
      <w:r w:rsidR="001A12C0" w:rsidRPr="00A530FF">
        <w:rPr>
          <w:sz w:val="22"/>
          <w:szCs w:val="22"/>
          <w:lang w:val="hu-HU"/>
        </w:rPr>
        <w:t xml:space="preserve"> </w:t>
      </w:r>
      <w:r w:rsidR="00B80149" w:rsidRPr="00A530FF">
        <w:rPr>
          <w:sz w:val="22"/>
          <w:szCs w:val="22"/>
          <w:lang w:val="hu-HU"/>
        </w:rPr>
        <w:t>Nem vasterhelt hím és nőstény patkányoknál, amelyek napi kétszeri 75</w:t>
      </w:r>
      <w:r w:rsidR="00B646AF">
        <w:rPr>
          <w:sz w:val="22"/>
          <w:szCs w:val="22"/>
          <w:lang w:val="hu-HU"/>
        </w:rPr>
        <w:t> </w:t>
      </w:r>
      <w:r w:rsidR="00B80149" w:rsidRPr="00A530FF">
        <w:rPr>
          <w:sz w:val="22"/>
          <w:szCs w:val="22"/>
          <w:lang w:val="hu-HU"/>
        </w:rPr>
        <w:t>mg/</w:t>
      </w:r>
      <w:r w:rsidR="00E27718">
        <w:rPr>
          <w:sz w:val="22"/>
          <w:szCs w:val="22"/>
          <w:lang w:val="hu-HU"/>
        </w:rPr>
        <w:t>tt</w:t>
      </w:r>
      <w:r w:rsidR="00B80149" w:rsidRPr="00A530FF">
        <w:rPr>
          <w:sz w:val="22"/>
          <w:szCs w:val="22"/>
          <w:lang w:val="hu-HU"/>
        </w:rPr>
        <w:t>kg deferip</w:t>
      </w:r>
      <w:r w:rsidR="00E27718">
        <w:rPr>
          <w:sz w:val="22"/>
          <w:szCs w:val="22"/>
          <w:lang w:val="hu-HU"/>
        </w:rPr>
        <w:t>r</w:t>
      </w:r>
      <w:r w:rsidR="00B80149" w:rsidRPr="00A530FF">
        <w:rPr>
          <w:sz w:val="22"/>
          <w:szCs w:val="22"/>
          <w:lang w:val="hu-HU"/>
        </w:rPr>
        <w:t>ont kaptak, hímek esetében 28 nappal, nőstények esetében két héttel a párzást megelőző időponttól a kísérlet végéig (hímek), illetve a vemhesség korai szakaszának végéig (nőstények), nem észleltek a termékenységre vagy a korai embrionális fejlődésre gyakorolt hatásokat. Nőstényekben egy, az ösztrusz-ciklusra kifejtett hatás minden vizsgált adag mellett megnyújtotta az igazolt párzásig eltelő időt</w:t>
      </w:r>
      <w:r w:rsidR="001A12C0" w:rsidRPr="00A530FF">
        <w:rPr>
          <w:sz w:val="22"/>
          <w:szCs w:val="22"/>
          <w:lang w:val="hu-HU"/>
        </w:rPr>
        <w:t>.</w:t>
      </w:r>
    </w:p>
    <w:p w:rsidR="001A12C0" w:rsidRPr="00A530FF" w:rsidRDefault="001A12C0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végeztek sem praenatalis, sem postnatalis reproduktív állatkísérleteket.</w:t>
      </w: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>
      <w:pPr>
        <w:rPr>
          <w:b/>
          <w:caps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caps/>
          <w:sz w:val="22"/>
          <w:szCs w:val="22"/>
          <w:lang w:val="hu-HU"/>
        </w:rPr>
      </w:pPr>
      <w:r w:rsidRPr="00A530FF">
        <w:rPr>
          <w:b/>
          <w:caps/>
          <w:sz w:val="22"/>
          <w:szCs w:val="22"/>
          <w:lang w:val="hu-HU"/>
        </w:rPr>
        <w:t>6.</w:t>
      </w:r>
      <w:r w:rsidRPr="00A530FF">
        <w:rPr>
          <w:b/>
          <w:caps/>
          <w:sz w:val="22"/>
          <w:szCs w:val="22"/>
          <w:lang w:val="hu-HU"/>
        </w:rPr>
        <w:tab/>
        <w:t>gyógyszerészeti jellemzők</w:t>
      </w: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ind w:left="570" w:hanging="570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6.1</w:t>
      </w:r>
      <w:r w:rsidRPr="00A530FF">
        <w:rPr>
          <w:b/>
          <w:sz w:val="22"/>
          <w:szCs w:val="22"/>
          <w:lang w:val="hu-HU"/>
        </w:rPr>
        <w:tab/>
        <w:t>Segédanyagok felsorolása</w:t>
      </w:r>
    </w:p>
    <w:p w:rsidR="00DA1F84" w:rsidRPr="00A530FF" w:rsidRDefault="00DA1F84" w:rsidP="00C61FC8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Tisztított víz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Hidroxietilcellulóz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Glicerin</w:t>
      </w:r>
      <w:r w:rsidR="00B856BC">
        <w:rPr>
          <w:sz w:val="22"/>
          <w:szCs w:val="22"/>
          <w:lang w:val="hu-HU"/>
        </w:rPr>
        <w:t xml:space="preserve"> (E422)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Tömény sósav</w:t>
      </w:r>
      <w:r w:rsidR="00B6527F" w:rsidRPr="00B6527F">
        <w:rPr>
          <w:sz w:val="22"/>
          <w:szCs w:val="22"/>
          <w:lang w:val="hu-HU"/>
        </w:rPr>
        <w:t>, pH beállításához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Mesterséges cseresznyearoma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Borsmentaolaj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Sunset Yellow (E110)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Szukralóz (E955)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6.2</w:t>
      </w:r>
      <w:r w:rsidRPr="00A530FF">
        <w:rPr>
          <w:b/>
          <w:sz w:val="22"/>
          <w:szCs w:val="22"/>
          <w:lang w:val="hu-HU"/>
        </w:rPr>
        <w:tab/>
        <w:t>Inkompatibilitások</w:t>
      </w: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6.3</w:t>
      </w:r>
      <w:r w:rsidRPr="00A530FF">
        <w:rPr>
          <w:b/>
          <w:sz w:val="22"/>
          <w:szCs w:val="22"/>
          <w:lang w:val="hu-HU"/>
        </w:rPr>
        <w:tab/>
        <w:t>Felhasználhatósági időtartam</w:t>
      </w:r>
    </w:p>
    <w:p w:rsidR="00DA1F84" w:rsidRPr="00A530FF" w:rsidRDefault="00DA1F84" w:rsidP="00C61FC8">
      <w:pPr>
        <w:keepNext/>
        <w:rPr>
          <w:b/>
          <w:sz w:val="22"/>
          <w:szCs w:val="22"/>
          <w:lang w:val="hu-HU"/>
        </w:rPr>
      </w:pPr>
    </w:p>
    <w:p w:rsidR="00DA1F84" w:rsidRPr="00A530FF" w:rsidRDefault="0075070E" w:rsidP="00C61FC8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3</w:t>
      </w:r>
      <w:r w:rsidR="00DA1F84" w:rsidRPr="00A530FF">
        <w:rPr>
          <w:sz w:val="22"/>
          <w:szCs w:val="22"/>
          <w:lang w:val="hu-HU"/>
        </w:rPr>
        <w:t xml:space="preserve"> év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Felbontás után 35 napon belül felhasználandó.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6.4</w:t>
      </w:r>
      <w:r w:rsidRPr="00A530FF">
        <w:rPr>
          <w:b/>
          <w:sz w:val="22"/>
          <w:szCs w:val="22"/>
          <w:lang w:val="hu-HU"/>
        </w:rPr>
        <w:tab/>
        <w:t>Különleges tárolási előírások</w:t>
      </w: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Legfeljebb 30ºC-on tárolandó. A fénytől </w:t>
      </w:r>
      <w:r w:rsidR="00AC5B65" w:rsidRPr="00A530FF">
        <w:rPr>
          <w:sz w:val="22"/>
          <w:szCs w:val="22"/>
          <w:lang w:val="hu-HU"/>
        </w:rPr>
        <w:t xml:space="preserve">való védelem érdekében az eredeti csomagolásban </w:t>
      </w:r>
      <w:r w:rsidRPr="00A530FF">
        <w:rPr>
          <w:sz w:val="22"/>
          <w:szCs w:val="22"/>
          <w:lang w:val="hu-HU"/>
        </w:rPr>
        <w:t>tárolandó.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6.5</w:t>
      </w:r>
      <w:r w:rsidRPr="00A530FF">
        <w:rPr>
          <w:b/>
          <w:sz w:val="22"/>
          <w:szCs w:val="22"/>
          <w:lang w:val="hu-HU"/>
        </w:rPr>
        <w:tab/>
        <w:t>Csomagolás típusa és kiszerelése</w:t>
      </w:r>
    </w:p>
    <w:p w:rsidR="00DA1F84" w:rsidRPr="00A530FF" w:rsidRDefault="00DA1F84" w:rsidP="00C61FC8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Borostyánszínű polietilén-tereftalát (PET) palack, gyermekbiztonsági záras kupakkal (polipropilén) és adagolópohár beosztásokkal (polipropilén).</w:t>
      </w:r>
    </w:p>
    <w:p w:rsidR="00C429EA" w:rsidRPr="00A530FF" w:rsidRDefault="00C429EA">
      <w:pPr>
        <w:rPr>
          <w:sz w:val="22"/>
          <w:szCs w:val="22"/>
          <w:lang w:val="hu-HU"/>
        </w:rPr>
      </w:pPr>
    </w:p>
    <w:p w:rsidR="00DA1F84" w:rsidRPr="00A530FF" w:rsidRDefault="0037714E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D</w:t>
      </w:r>
      <w:r w:rsidR="00DA1F84" w:rsidRPr="00A530FF">
        <w:rPr>
          <w:sz w:val="22"/>
          <w:szCs w:val="22"/>
          <w:lang w:val="hu-HU"/>
        </w:rPr>
        <w:t>oboz</w:t>
      </w:r>
      <w:r>
        <w:rPr>
          <w:sz w:val="22"/>
          <w:szCs w:val="22"/>
          <w:lang w:val="hu-HU"/>
        </w:rPr>
        <w:t>onként</w:t>
      </w:r>
      <w:r w:rsidR="00DA1F84" w:rsidRPr="00A530FF">
        <w:rPr>
          <w:sz w:val="22"/>
          <w:szCs w:val="22"/>
          <w:lang w:val="hu-HU"/>
        </w:rPr>
        <w:t xml:space="preserve"> 1 db 250 ml vagy 500 ml belsőleges oldatot tartalmazó palackot tartalmaz.</w:t>
      </w:r>
    </w:p>
    <w:p w:rsidR="00C429EA" w:rsidRPr="00A530FF" w:rsidRDefault="00C429EA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feltétlenül mindegyik kiszerelés kerül kereskedelmi forgalomba.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6.6</w:t>
      </w:r>
      <w:r w:rsidRPr="00A530FF">
        <w:rPr>
          <w:b/>
          <w:sz w:val="22"/>
          <w:szCs w:val="22"/>
          <w:lang w:val="hu-HU"/>
        </w:rPr>
        <w:tab/>
        <w:t>A megsemmisítésre vonatkozó különleges óvintézkedések</w:t>
      </w:r>
    </w:p>
    <w:p w:rsidR="00DA1F84" w:rsidRPr="00A530FF" w:rsidRDefault="00DA1F84" w:rsidP="00C61FC8">
      <w:pPr>
        <w:keepNext/>
        <w:ind w:right="-449"/>
        <w:rPr>
          <w:b/>
          <w:sz w:val="22"/>
          <w:szCs w:val="22"/>
          <w:lang w:val="hu-HU"/>
        </w:rPr>
      </w:pPr>
    </w:p>
    <w:p w:rsidR="00DA1F84" w:rsidRPr="00A530FF" w:rsidRDefault="007B2E9E" w:rsidP="007B2E9E">
      <w:pPr>
        <w:rPr>
          <w:sz w:val="22"/>
          <w:szCs w:val="22"/>
          <w:lang w:val="hu-HU"/>
        </w:rPr>
      </w:pPr>
      <w:r w:rsidRPr="007B2E9E">
        <w:rPr>
          <w:sz w:val="22"/>
          <w:szCs w:val="22"/>
          <w:lang w:val="hu-HU"/>
        </w:rPr>
        <w:t>Bármilyen fel nem használt gyógyszer, illetve hulladékanyag megsemmisítését a gyógyszerekre vonatkozó előírások szerint kell végrehajtani</w:t>
      </w:r>
      <w:r w:rsidR="00DA1F84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ind w:right="-449"/>
        <w:rPr>
          <w:b/>
          <w:sz w:val="22"/>
          <w:szCs w:val="22"/>
          <w:lang w:val="hu-HU"/>
        </w:rPr>
      </w:pPr>
    </w:p>
    <w:p w:rsidR="00DA1F84" w:rsidRPr="00A530FF" w:rsidRDefault="00DA1F84">
      <w:pPr>
        <w:ind w:right="-449"/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spacing w:line="260" w:lineRule="atLeast"/>
        <w:ind w:left="562" w:hanging="562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7.</w:t>
      </w:r>
      <w:r w:rsidRPr="00A530FF">
        <w:rPr>
          <w:b/>
          <w:sz w:val="22"/>
          <w:szCs w:val="22"/>
          <w:lang w:val="hu-HU"/>
        </w:rPr>
        <w:tab/>
        <w:t>A FORGALOMBA HOZATALI ENGEDÉLY JOGOSULTJA</w:t>
      </w:r>
    </w:p>
    <w:p w:rsidR="00DA1F84" w:rsidRPr="00A530FF" w:rsidRDefault="00DA1F84" w:rsidP="00C61FC8">
      <w:pPr>
        <w:keepNext/>
        <w:rPr>
          <w:b/>
          <w:sz w:val="22"/>
          <w:szCs w:val="22"/>
          <w:lang w:val="hu-HU"/>
        </w:rPr>
      </w:pP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Via Palermo 26/A</w:t>
      </w: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43122 Parma</w:t>
      </w:r>
    </w:p>
    <w:p w:rsidR="00665FDF" w:rsidRPr="00A530FF" w:rsidRDefault="00BC16B5" w:rsidP="00665FDF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Olaszország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 w:rsidP="00530C5C">
      <w:pPr>
        <w:keepNext/>
        <w:spacing w:line="260" w:lineRule="atLeast"/>
        <w:ind w:left="561" w:hanging="561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8.</w:t>
      </w:r>
      <w:r w:rsidRPr="00A530FF">
        <w:rPr>
          <w:b/>
          <w:sz w:val="22"/>
          <w:szCs w:val="22"/>
          <w:lang w:val="hu-HU"/>
        </w:rPr>
        <w:tab/>
        <w:t>A FORGALOMBA HOZATALI ENGEDÉLY SZÁMA</w:t>
      </w:r>
    </w:p>
    <w:p w:rsidR="00DA1F84" w:rsidRPr="00A530FF" w:rsidRDefault="00DA1F84" w:rsidP="00530C5C">
      <w:pPr>
        <w:keepNext/>
        <w:rPr>
          <w:sz w:val="22"/>
          <w:szCs w:val="22"/>
          <w:lang w:val="hu-HU"/>
        </w:rPr>
      </w:pPr>
    </w:p>
    <w:p w:rsidR="00B17CC9" w:rsidRPr="00A530FF" w:rsidRDefault="00B17CC9" w:rsidP="00C61FC8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EU/1/99/108/002</w:t>
      </w:r>
    </w:p>
    <w:p w:rsidR="00DA1F84" w:rsidRPr="00A530FF" w:rsidRDefault="00B17CC9" w:rsidP="00B17CC9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EU/1/99/108/003</w:t>
      </w:r>
    </w:p>
    <w:p w:rsidR="00B17CC9" w:rsidRPr="00A530FF" w:rsidRDefault="00B17CC9" w:rsidP="00B17CC9">
      <w:pPr>
        <w:rPr>
          <w:sz w:val="22"/>
          <w:szCs w:val="22"/>
          <w:lang w:val="hu-HU"/>
        </w:rPr>
      </w:pPr>
    </w:p>
    <w:p w:rsidR="00B17CC9" w:rsidRPr="00A530FF" w:rsidRDefault="00B17CC9" w:rsidP="00B17CC9">
      <w:pPr>
        <w:rPr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spacing w:line="260" w:lineRule="atLeast"/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9.</w:t>
      </w:r>
      <w:r w:rsidRPr="00A530FF">
        <w:rPr>
          <w:b/>
          <w:sz w:val="22"/>
          <w:szCs w:val="22"/>
          <w:lang w:val="hu-HU"/>
        </w:rPr>
        <w:tab/>
        <w:t>A FORGALOMBA HOZATALI ENGEDÉLY ELSŐ KIADÁSÁNAK/ MEGÚJÍTÁSÁNAK DÁTUMA</w:t>
      </w:r>
    </w:p>
    <w:p w:rsidR="00DA1F84" w:rsidRPr="00A530FF" w:rsidRDefault="00DA1F84" w:rsidP="00C61FC8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 w:rsidP="00C61FC8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forgalomba</w:t>
      </w:r>
      <w:r w:rsidR="00477186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hozatali engedély els</w:t>
      </w:r>
      <w:r w:rsidR="004D2624" w:rsidRPr="00A530FF">
        <w:rPr>
          <w:sz w:val="22"/>
          <w:szCs w:val="22"/>
          <w:lang w:val="hu-HU"/>
        </w:rPr>
        <w:t>ő kiadásának dátuma: 1999</w:t>
      </w:r>
      <w:r w:rsidR="00C429EA" w:rsidRPr="00A530FF">
        <w:rPr>
          <w:sz w:val="22"/>
          <w:szCs w:val="22"/>
          <w:lang w:val="hu-HU"/>
        </w:rPr>
        <w:t xml:space="preserve">. augusztus </w:t>
      </w:r>
      <w:r w:rsidR="004D2624" w:rsidRPr="00A530FF">
        <w:rPr>
          <w:sz w:val="22"/>
          <w:szCs w:val="22"/>
          <w:lang w:val="hu-HU"/>
        </w:rPr>
        <w:t>25</w:t>
      </w:r>
      <w:r w:rsidR="00C429EA" w:rsidRPr="00A530FF">
        <w:rPr>
          <w:sz w:val="22"/>
          <w:szCs w:val="22"/>
          <w:lang w:val="hu-HU"/>
        </w:rPr>
        <w:t>.</w:t>
      </w:r>
    </w:p>
    <w:p w:rsidR="00DA382E" w:rsidRPr="00A530FF" w:rsidRDefault="00DA382E" w:rsidP="00DA382E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forgalomba</w:t>
      </w:r>
      <w:r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 xml:space="preserve">hozatali engedély </w:t>
      </w:r>
      <w:r w:rsidRPr="00A530FF">
        <w:rPr>
          <w:sz w:val="22"/>
          <w:szCs w:val="22"/>
          <w:lang w:val="da-DK"/>
        </w:rPr>
        <w:t xml:space="preserve">legutóbbi megújításának </w:t>
      </w:r>
      <w:r w:rsidRPr="00A530FF">
        <w:rPr>
          <w:sz w:val="22"/>
          <w:szCs w:val="22"/>
          <w:lang w:val="hu-HU"/>
        </w:rPr>
        <w:t xml:space="preserve">dátuma: 2009. </w:t>
      </w:r>
      <w:r w:rsidRPr="00DA382E">
        <w:rPr>
          <w:sz w:val="22"/>
          <w:szCs w:val="22"/>
          <w:lang w:val="hu-HU"/>
        </w:rPr>
        <w:t>szeptember</w:t>
      </w:r>
      <w:r w:rsidRPr="00A530FF">
        <w:rPr>
          <w:sz w:val="22"/>
          <w:szCs w:val="22"/>
          <w:lang w:val="hu-HU"/>
        </w:rPr>
        <w:t xml:space="preserve"> 2</w:t>
      </w:r>
      <w:r>
        <w:rPr>
          <w:sz w:val="22"/>
          <w:szCs w:val="22"/>
          <w:lang w:val="hu-HU"/>
        </w:rPr>
        <w:t>1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567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10.</w:t>
      </w:r>
      <w:r w:rsidRPr="00A530FF">
        <w:rPr>
          <w:b/>
          <w:sz w:val="22"/>
          <w:szCs w:val="22"/>
          <w:lang w:val="hu-HU"/>
        </w:rPr>
        <w:tab/>
        <w:t>A SZÖVEG ELLENŐRZÉSÉNEK DÁTUMA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F745F6" w:rsidRPr="00A530FF" w:rsidRDefault="00F745F6" w:rsidP="006B5CD4">
      <w:pPr>
        <w:rPr>
          <w:bCs/>
          <w:sz w:val="22"/>
          <w:szCs w:val="22"/>
          <w:lang w:val="hu-HU"/>
        </w:rPr>
      </w:pPr>
    </w:p>
    <w:p w:rsidR="00EA510E" w:rsidRPr="00A530FF" w:rsidRDefault="00EA510E">
      <w:pPr>
        <w:rPr>
          <w:bCs/>
          <w:sz w:val="22"/>
          <w:szCs w:val="22"/>
          <w:lang w:val="hu-HU"/>
        </w:rPr>
      </w:pPr>
    </w:p>
    <w:p w:rsidR="00EA510E" w:rsidRPr="00A530FF" w:rsidRDefault="00EA510E">
      <w:pPr>
        <w:rPr>
          <w:bCs/>
          <w:sz w:val="22"/>
          <w:szCs w:val="22"/>
          <w:lang w:val="hu-HU"/>
        </w:rPr>
      </w:pPr>
    </w:p>
    <w:p w:rsidR="00EA510E" w:rsidRPr="00A530FF" w:rsidRDefault="00EA510E" w:rsidP="00B13049">
      <w:pPr>
        <w:tabs>
          <w:tab w:val="left" w:pos="567"/>
        </w:tabs>
        <w:rPr>
          <w:bCs/>
          <w:sz w:val="22"/>
          <w:szCs w:val="22"/>
          <w:lang w:val="hu-HU"/>
        </w:rPr>
      </w:pPr>
      <w:r w:rsidRPr="00A530FF">
        <w:rPr>
          <w:noProof/>
          <w:sz w:val="22"/>
          <w:szCs w:val="22"/>
          <w:lang w:val="hu-HU"/>
        </w:rPr>
        <w:t>A gyógyszerről részletes információ az Európai Gyógyszerügynökség internetes honl</w:t>
      </w:r>
      <w:r w:rsidR="00AD3396" w:rsidRPr="00A530FF">
        <w:rPr>
          <w:noProof/>
          <w:sz w:val="22"/>
          <w:szCs w:val="22"/>
          <w:lang w:val="hu-HU"/>
        </w:rPr>
        <w:t>apján (http://www.ema.europa.eu</w:t>
      </w:r>
      <w:r w:rsidRPr="00A530FF">
        <w:rPr>
          <w:iCs/>
          <w:noProof/>
          <w:sz w:val="22"/>
          <w:szCs w:val="22"/>
          <w:lang w:val="hu-HU"/>
        </w:rPr>
        <w:t>) található.</w:t>
      </w:r>
    </w:p>
    <w:p w:rsidR="00DA1F84" w:rsidRPr="00A530FF" w:rsidRDefault="00B13049" w:rsidP="00B13049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br w:type="page"/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II. MELLÉKLET</w:t>
      </w:r>
    </w:p>
    <w:p w:rsidR="00DA1F84" w:rsidRPr="00A530FF" w:rsidRDefault="00DA1F84">
      <w:pPr>
        <w:ind w:left="1701" w:right="1416" w:hanging="567"/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1701"/>
        </w:tabs>
        <w:ind w:left="1701" w:right="1416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A.</w:t>
      </w:r>
      <w:r w:rsidRPr="00A530FF">
        <w:rPr>
          <w:b/>
          <w:sz w:val="22"/>
          <w:szCs w:val="22"/>
          <w:lang w:val="hu-HU"/>
        </w:rPr>
        <w:tab/>
        <w:t>A GYÁRTÁSI TÉTELEK VÉGFELSZABADÍTÁSÁÉRT FELELŐS GYÁRT</w:t>
      </w:r>
      <w:r w:rsidR="0041034D" w:rsidRPr="00A530FF">
        <w:rPr>
          <w:b/>
          <w:sz w:val="22"/>
          <w:szCs w:val="22"/>
          <w:lang w:val="hu-HU"/>
        </w:rPr>
        <w:t>Ó</w:t>
      </w:r>
    </w:p>
    <w:p w:rsidR="00DA1F84" w:rsidRPr="00A530FF" w:rsidRDefault="00DA1F84">
      <w:pPr>
        <w:ind w:left="1701" w:right="1416" w:hanging="567"/>
        <w:rPr>
          <w:bCs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1701"/>
        </w:tabs>
        <w:ind w:left="1701" w:right="1416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B.</w:t>
      </w:r>
      <w:r w:rsidRPr="00A530FF">
        <w:rPr>
          <w:b/>
          <w:sz w:val="22"/>
          <w:szCs w:val="22"/>
          <w:lang w:val="hu-HU"/>
        </w:rPr>
        <w:tab/>
        <w:t>FELTÉTELEK</w:t>
      </w:r>
      <w:r w:rsidR="0041034D" w:rsidRPr="00A530FF">
        <w:rPr>
          <w:b/>
          <w:sz w:val="22"/>
          <w:szCs w:val="22"/>
          <w:lang w:val="hu-HU"/>
        </w:rPr>
        <w:t xml:space="preserve"> VAGY KORLÁTOZÁSOK A</w:t>
      </w:r>
      <w:r w:rsidR="005C41A6">
        <w:rPr>
          <w:b/>
          <w:sz w:val="22"/>
          <w:szCs w:val="22"/>
          <w:lang w:val="hu-HU"/>
        </w:rPr>
        <w:t>Z ELLÁTÁS ÉS HASZNÁLAT KAPCSÁN</w:t>
      </w:r>
    </w:p>
    <w:p w:rsidR="0041034D" w:rsidRPr="00A530FF" w:rsidRDefault="0041034D">
      <w:pPr>
        <w:tabs>
          <w:tab w:val="left" w:pos="1701"/>
        </w:tabs>
        <w:ind w:left="1701" w:right="1416" w:hanging="567"/>
        <w:rPr>
          <w:b/>
          <w:sz w:val="22"/>
          <w:szCs w:val="22"/>
          <w:lang w:val="hu-HU"/>
        </w:rPr>
      </w:pPr>
    </w:p>
    <w:p w:rsidR="0041034D" w:rsidRPr="00A530FF" w:rsidRDefault="0041034D" w:rsidP="0041034D">
      <w:pPr>
        <w:tabs>
          <w:tab w:val="left" w:pos="1701"/>
        </w:tabs>
        <w:ind w:left="1701" w:right="1416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C.</w:t>
      </w:r>
      <w:r w:rsidRPr="00A530FF">
        <w:rPr>
          <w:b/>
          <w:sz w:val="22"/>
          <w:szCs w:val="22"/>
          <w:lang w:val="hu-HU"/>
        </w:rPr>
        <w:tab/>
        <w:t>A FORGALOMBA HOZATALI ENGEDÉLY EGYÉB FELTÉTELEI ÉS KÖVETELMÉNYEI</w:t>
      </w:r>
    </w:p>
    <w:p w:rsidR="0041034D" w:rsidRPr="00A530FF" w:rsidRDefault="0041034D" w:rsidP="0041034D">
      <w:pPr>
        <w:tabs>
          <w:tab w:val="left" w:pos="1701"/>
        </w:tabs>
        <w:ind w:left="1701" w:right="1416" w:hanging="567"/>
        <w:rPr>
          <w:b/>
          <w:sz w:val="22"/>
          <w:szCs w:val="22"/>
          <w:lang w:val="hu-HU"/>
        </w:rPr>
      </w:pPr>
    </w:p>
    <w:p w:rsidR="0041034D" w:rsidRPr="00A530FF" w:rsidRDefault="0041034D" w:rsidP="0041034D">
      <w:pPr>
        <w:tabs>
          <w:tab w:val="left" w:pos="1701"/>
        </w:tabs>
        <w:ind w:left="1701" w:right="1416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D.</w:t>
      </w:r>
      <w:r w:rsidRPr="00A530FF">
        <w:rPr>
          <w:b/>
          <w:sz w:val="22"/>
          <w:szCs w:val="22"/>
          <w:lang w:val="hu-HU"/>
        </w:rPr>
        <w:tab/>
        <w:t>FELTÉTELEK VAGY KORLÁTOZÁSOK A GYÓGYSZER BIZTONSÁGOS ÉS HATÉKONY ALKALMAZÁSÁRA VONATKOZÓAN</w:t>
      </w:r>
    </w:p>
    <w:p w:rsidR="00DA1F84" w:rsidRPr="00A530FF" w:rsidRDefault="00DA1F84">
      <w:pPr>
        <w:pStyle w:val="FootnoteText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br w:type="page"/>
      </w:r>
    </w:p>
    <w:p w:rsidR="00DA1F84" w:rsidRPr="00A530FF" w:rsidRDefault="00DA1F84" w:rsidP="000A0A3A">
      <w:pPr>
        <w:pStyle w:val="TitleB"/>
      </w:pPr>
      <w:r w:rsidRPr="00A530FF">
        <w:t>A.</w:t>
      </w:r>
      <w:r w:rsidRPr="00A530FF">
        <w:tab/>
        <w:t>A GYÁRTÁSI TÉTELEK VÉGFELSZABADÍTÁSÁÉRT FELELŐS GYÁRT</w:t>
      </w:r>
      <w:r w:rsidR="00104126" w:rsidRPr="00A530FF">
        <w:t>Ó</w:t>
      </w:r>
    </w:p>
    <w:p w:rsidR="00DA1F84" w:rsidRPr="00A530FF" w:rsidRDefault="00DA1F84">
      <w:pPr>
        <w:numPr>
          <w:ilvl w:val="12"/>
          <w:numId w:val="0"/>
        </w:numPr>
        <w:ind w:right="1416"/>
        <w:rPr>
          <w:sz w:val="22"/>
          <w:szCs w:val="22"/>
          <w:lang w:val="hu-HU"/>
        </w:rPr>
      </w:pPr>
    </w:p>
    <w:p w:rsidR="00C26888" w:rsidRPr="00A530FF" w:rsidRDefault="00C26888" w:rsidP="00C26888">
      <w:pPr>
        <w:numPr>
          <w:ilvl w:val="12"/>
          <w:numId w:val="0"/>
        </w:numPr>
        <w:outlineLvl w:val="0"/>
        <w:rPr>
          <w:iCs/>
          <w:sz w:val="22"/>
          <w:szCs w:val="22"/>
          <w:u w:val="single"/>
          <w:lang w:val="hu-HU"/>
        </w:rPr>
      </w:pPr>
      <w:r w:rsidRPr="00A530FF">
        <w:rPr>
          <w:iCs/>
          <w:sz w:val="22"/>
          <w:szCs w:val="22"/>
          <w:u w:val="single"/>
          <w:lang w:val="hu-HU"/>
        </w:rPr>
        <w:t>A gyártási tételek végfelszabadításáért felelős gyártó neve és címe</w:t>
      </w:r>
    </w:p>
    <w:p w:rsidR="00C26888" w:rsidRPr="00C26888" w:rsidRDefault="00C26888" w:rsidP="00C26888">
      <w:pPr>
        <w:pStyle w:val="PILMAHaddress"/>
        <w:tabs>
          <w:tab w:val="left" w:pos="720"/>
        </w:tabs>
        <w:rPr>
          <w:lang w:val="fr-FR"/>
        </w:rPr>
      </w:pPr>
      <w:r w:rsidRPr="00C26888">
        <w:rPr>
          <w:lang w:val="fr-FR"/>
        </w:rPr>
        <w:t>Eurofins PROXY Laboratories B.V.</w:t>
      </w:r>
    </w:p>
    <w:p w:rsidR="00C26888" w:rsidRPr="00C26888" w:rsidRDefault="00C26888" w:rsidP="00C26888">
      <w:pPr>
        <w:pStyle w:val="PILMAHaddress"/>
        <w:tabs>
          <w:tab w:val="left" w:pos="720"/>
        </w:tabs>
        <w:rPr>
          <w:lang w:val="fr-FR"/>
        </w:rPr>
      </w:pPr>
      <w:r w:rsidRPr="00C26888">
        <w:rPr>
          <w:lang w:val="fr-FR"/>
        </w:rPr>
        <w:t>Archimedesweg 25</w:t>
      </w:r>
    </w:p>
    <w:p w:rsidR="00C26888" w:rsidRPr="00C26888" w:rsidRDefault="00C26888" w:rsidP="00C26888">
      <w:pPr>
        <w:pStyle w:val="PILMAHaddress"/>
        <w:tabs>
          <w:tab w:val="left" w:pos="720"/>
        </w:tabs>
        <w:rPr>
          <w:lang w:val="fr-FR"/>
        </w:rPr>
      </w:pPr>
      <w:r w:rsidRPr="00C26888">
        <w:rPr>
          <w:lang w:val="fr-FR"/>
        </w:rPr>
        <w:t>2333 CM Leiden</w:t>
      </w:r>
    </w:p>
    <w:p w:rsidR="00C26888" w:rsidRPr="00A530FF" w:rsidRDefault="00C26888" w:rsidP="00C26888">
      <w:pPr>
        <w:tabs>
          <w:tab w:val="left" w:pos="567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Hollandia</w:t>
      </w:r>
    </w:p>
    <w:p w:rsidR="00C26888" w:rsidRPr="00A530FF" w:rsidRDefault="00C26888" w:rsidP="00C26888">
      <w:pPr>
        <w:tabs>
          <w:tab w:val="left" w:pos="567"/>
        </w:tabs>
        <w:rPr>
          <w:sz w:val="22"/>
          <w:szCs w:val="22"/>
          <w:lang w:val="hu-HU"/>
        </w:rPr>
      </w:pPr>
    </w:p>
    <w:p w:rsidR="00C26888" w:rsidRPr="00A530FF" w:rsidRDefault="00C26888" w:rsidP="00C26888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DA1F84" w:rsidRPr="00A530FF" w:rsidRDefault="00DA1F84" w:rsidP="000A0A3A">
      <w:pPr>
        <w:pStyle w:val="TitleB"/>
      </w:pPr>
      <w:r w:rsidRPr="00A530FF">
        <w:t>B.</w:t>
      </w:r>
      <w:r w:rsidRPr="00A530FF">
        <w:tab/>
        <w:t>FELTÉTELEK</w:t>
      </w:r>
      <w:r w:rsidR="00104126" w:rsidRPr="00A530FF">
        <w:t xml:space="preserve"> VAGY KORLÁTOZÁSOK AZ ELLÁTÁS ÉS HASZNÁLAT</w:t>
      </w:r>
      <w:r w:rsidR="005C41A6">
        <w:t xml:space="preserve"> KAPCSÁN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Korlátozott érvényű orvosi rendelvényhez kötött gyógyszer (lásd I. Melléklet: Alkalmazási előírás, 4.2</w:t>
      </w:r>
      <w:r w:rsidR="00114522" w:rsidRPr="00A530FF">
        <w:rPr>
          <w:sz w:val="22"/>
          <w:szCs w:val="22"/>
          <w:lang w:val="hu-HU"/>
        </w:rPr>
        <w:t> </w:t>
      </w:r>
      <w:r w:rsidR="00104126" w:rsidRPr="00A530FF">
        <w:rPr>
          <w:sz w:val="22"/>
          <w:szCs w:val="22"/>
          <w:lang w:val="hu-HU"/>
        </w:rPr>
        <w:t>pont</w:t>
      </w:r>
      <w:r w:rsidRPr="00A530FF">
        <w:rPr>
          <w:sz w:val="22"/>
          <w:szCs w:val="22"/>
          <w:lang w:val="hu-HU"/>
        </w:rPr>
        <w:t>).</w:t>
      </w:r>
    </w:p>
    <w:p w:rsidR="00104126" w:rsidRPr="00A530FF" w:rsidRDefault="00104126" w:rsidP="00DB2B81">
      <w:pPr>
        <w:tabs>
          <w:tab w:val="left" w:pos="567"/>
        </w:tabs>
        <w:rPr>
          <w:sz w:val="22"/>
          <w:szCs w:val="22"/>
          <w:lang w:val="hu-HU"/>
        </w:rPr>
      </w:pPr>
    </w:p>
    <w:p w:rsidR="00104126" w:rsidRPr="00A530FF" w:rsidRDefault="00104126" w:rsidP="00DB2B81">
      <w:pPr>
        <w:tabs>
          <w:tab w:val="left" w:pos="567"/>
        </w:tabs>
        <w:rPr>
          <w:sz w:val="22"/>
          <w:szCs w:val="22"/>
          <w:lang w:val="hu-HU"/>
        </w:rPr>
      </w:pPr>
    </w:p>
    <w:p w:rsidR="00DA1F84" w:rsidRPr="00A530FF" w:rsidRDefault="00104126" w:rsidP="00104126">
      <w:pPr>
        <w:pStyle w:val="TitleB"/>
      </w:pPr>
      <w:r w:rsidRPr="00A530FF">
        <w:t>C.</w:t>
      </w:r>
      <w:r w:rsidRPr="00A530FF">
        <w:tab/>
        <w:t>A FORGALOMBA HOZATALI ENGEDÉLY EGYÉB FELTÉTELEI ÉS KÖVETELMÉNYEI</w:t>
      </w:r>
    </w:p>
    <w:p w:rsidR="00DB4198" w:rsidRPr="00A530FF" w:rsidRDefault="00DB4198" w:rsidP="007756C4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DB4198" w:rsidRPr="00A530FF" w:rsidRDefault="00DB4198" w:rsidP="007756C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•</w:t>
      </w:r>
      <w:r w:rsidRPr="00A530FF">
        <w:rPr>
          <w:b/>
          <w:sz w:val="22"/>
          <w:szCs w:val="22"/>
          <w:lang w:val="hu-HU"/>
        </w:rPr>
        <w:tab/>
        <w:t>Időszakos gyógyszerbiztonsági jelentések</w:t>
      </w:r>
      <w:r w:rsidR="008C18CE">
        <w:rPr>
          <w:b/>
          <w:sz w:val="22"/>
          <w:szCs w:val="22"/>
          <w:lang w:val="hu-HU"/>
        </w:rPr>
        <w:t xml:space="preserve"> </w:t>
      </w:r>
      <w:r w:rsidR="008C18CE" w:rsidRPr="008C18CE">
        <w:rPr>
          <w:b/>
          <w:sz w:val="22"/>
          <w:szCs w:val="22"/>
          <w:lang w:val="hu-HU"/>
        </w:rPr>
        <w:t>(Periodic safety update report, PSUR)</w:t>
      </w:r>
    </w:p>
    <w:p w:rsidR="00C40DCF" w:rsidRPr="00A530FF" w:rsidRDefault="00C40DCF" w:rsidP="007756C4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DB4198" w:rsidRPr="00A530FF" w:rsidRDefault="004211E1" w:rsidP="00DB4198">
      <w:pPr>
        <w:ind w:right="-1"/>
        <w:rPr>
          <w:sz w:val="22"/>
          <w:szCs w:val="22"/>
          <w:lang w:val="hu-HU"/>
        </w:rPr>
      </w:pPr>
      <w:r w:rsidRPr="004211E1">
        <w:rPr>
          <w:sz w:val="22"/>
          <w:szCs w:val="22"/>
          <w:lang w:val="hu-HU"/>
        </w:rPr>
        <w:t>Erre a készítményre a</w:t>
      </w:r>
      <w:r w:rsidR="008C18CE">
        <w:rPr>
          <w:sz w:val="22"/>
          <w:szCs w:val="22"/>
          <w:lang w:val="hu-HU"/>
        </w:rPr>
        <w:t xml:space="preserve"> PSUR-okat</w:t>
      </w:r>
      <w:r w:rsidRPr="004211E1">
        <w:rPr>
          <w:sz w:val="22"/>
          <w:szCs w:val="22"/>
          <w:lang w:val="hu-HU"/>
        </w:rPr>
        <w:t xml:space="preserve"> a 2001/83/EK irányelv 107c. cikkének (7) bekezdésében megállapított és az európai internetes gyógyszerportálon nyilvánosságra hozott uniós referencia időpontok listája (EURD lista), illetve annak bármely későbbi frissített változata szerinti követelményeknek megfelelően kell benyújtani.</w:t>
      </w:r>
    </w:p>
    <w:p w:rsidR="00DB4198" w:rsidRPr="00A530FF" w:rsidRDefault="00DB4198">
      <w:pPr>
        <w:ind w:right="-1"/>
        <w:rPr>
          <w:sz w:val="22"/>
          <w:szCs w:val="22"/>
          <w:lang w:val="hu-HU"/>
        </w:rPr>
      </w:pPr>
    </w:p>
    <w:p w:rsidR="00DB4198" w:rsidRPr="00A530FF" w:rsidRDefault="00DB4198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DB4198" w:rsidRPr="00A530FF" w:rsidRDefault="00DB4198" w:rsidP="00021AD6">
      <w:pPr>
        <w:pStyle w:val="TitleB"/>
      </w:pPr>
      <w:r w:rsidRPr="00A530FF">
        <w:t>D.</w:t>
      </w:r>
      <w:r w:rsidRPr="00A530FF">
        <w:tab/>
        <w:t>FELTÉTELEK VAGY KORLÁTOZÁSOK A GYÓGYSZER BIZTONSÁGOS ÉS HATÉKONY ALKALMAZÁSÁRA VONATKOZÓAN</w:t>
      </w:r>
    </w:p>
    <w:p w:rsidR="00DA1F84" w:rsidRPr="00A530FF" w:rsidRDefault="00DA1F84" w:rsidP="00DB2B81">
      <w:pPr>
        <w:ind w:right="-1"/>
        <w:rPr>
          <w:sz w:val="22"/>
          <w:szCs w:val="22"/>
          <w:lang w:val="hu-HU"/>
        </w:rPr>
      </w:pPr>
    </w:p>
    <w:p w:rsidR="00DB4198" w:rsidRPr="00A530FF" w:rsidRDefault="00DB4198" w:rsidP="007756C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•</w:t>
      </w:r>
      <w:r w:rsidRPr="00A530FF">
        <w:rPr>
          <w:b/>
          <w:sz w:val="22"/>
          <w:szCs w:val="22"/>
          <w:lang w:val="hu-HU"/>
        </w:rPr>
        <w:tab/>
      </w:r>
      <w:r w:rsidR="00DA1F84" w:rsidRPr="00A530FF">
        <w:rPr>
          <w:b/>
          <w:sz w:val="22"/>
          <w:szCs w:val="22"/>
          <w:lang w:val="hu-HU"/>
        </w:rPr>
        <w:t>Kockázatkezelési terv</w:t>
      </w:r>
    </w:p>
    <w:p w:rsidR="00C40DCF" w:rsidRPr="00A530FF" w:rsidRDefault="00C40DCF">
      <w:pPr>
        <w:ind w:right="-1"/>
        <w:rPr>
          <w:sz w:val="22"/>
          <w:szCs w:val="22"/>
          <w:lang w:val="hu-HU"/>
        </w:rPr>
      </w:pPr>
    </w:p>
    <w:p w:rsidR="00DA1F84" w:rsidRPr="00A530FF" w:rsidRDefault="00DA1F84">
      <w:pPr>
        <w:ind w:right="-1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</w:t>
      </w:r>
      <w:r w:rsidR="00DB4198" w:rsidRPr="00A530FF">
        <w:rPr>
          <w:sz w:val="22"/>
          <w:szCs w:val="22"/>
          <w:lang w:val="hu-HU"/>
        </w:rPr>
        <w:t xml:space="preserve">forgalomba hozatali engedély jogosultja </w:t>
      </w:r>
      <w:r w:rsidR="008C18CE">
        <w:rPr>
          <w:sz w:val="22"/>
          <w:szCs w:val="22"/>
          <w:lang w:val="hu-HU"/>
        </w:rPr>
        <w:t xml:space="preserve">(MAH) </w:t>
      </w:r>
      <w:r w:rsidRPr="00A530FF">
        <w:rPr>
          <w:sz w:val="22"/>
          <w:szCs w:val="22"/>
          <w:lang w:val="hu-HU"/>
        </w:rPr>
        <w:t>kötelezi magát</w:t>
      </w:r>
      <w:r w:rsidR="004D54EF" w:rsidRPr="00A530FF">
        <w:rPr>
          <w:sz w:val="22"/>
          <w:szCs w:val="22"/>
          <w:lang w:val="hu-HU"/>
        </w:rPr>
        <w:t>, hogy</w:t>
      </w:r>
      <w:r w:rsidRPr="00A530FF">
        <w:rPr>
          <w:sz w:val="22"/>
          <w:szCs w:val="22"/>
          <w:lang w:val="hu-HU"/>
        </w:rPr>
        <w:t xml:space="preserve"> a </w:t>
      </w:r>
      <w:r w:rsidR="00DB4198" w:rsidRPr="00A530FF">
        <w:rPr>
          <w:sz w:val="22"/>
          <w:szCs w:val="22"/>
          <w:lang w:val="hu-HU"/>
        </w:rPr>
        <w:t xml:space="preserve">forgalomba hozatali engedély </w:t>
      </w:r>
      <w:r w:rsidRPr="00A530FF">
        <w:rPr>
          <w:sz w:val="22"/>
          <w:szCs w:val="22"/>
          <w:lang w:val="hu-HU"/>
        </w:rPr>
        <w:t>1.8.2</w:t>
      </w:r>
      <w:r w:rsidR="00E86CBC" w:rsidRPr="00A530FF">
        <w:rPr>
          <w:sz w:val="22"/>
          <w:szCs w:val="22"/>
          <w:lang w:val="hu-HU"/>
        </w:rPr>
        <w:t> </w:t>
      </w:r>
      <w:r w:rsidR="00DB4198" w:rsidRPr="00A530FF">
        <w:rPr>
          <w:sz w:val="22"/>
          <w:szCs w:val="22"/>
          <w:lang w:val="hu-HU"/>
        </w:rPr>
        <w:t>moduljában leírt, jóváhagyott</w:t>
      </w:r>
      <w:r w:rsidR="004D54EF" w:rsidRPr="00A530FF">
        <w:rPr>
          <w:sz w:val="22"/>
          <w:szCs w:val="22"/>
          <w:lang w:val="hu-HU"/>
        </w:rPr>
        <w:t xml:space="preserve"> </w:t>
      </w:r>
      <w:r w:rsidR="00DB4198" w:rsidRPr="00A530FF">
        <w:rPr>
          <w:sz w:val="22"/>
          <w:szCs w:val="22"/>
          <w:lang w:val="hu-HU"/>
        </w:rPr>
        <w:t>kockázatkezelési tervben, illetve annak jóváhagyott frissített verzióiban részletezett, kötelező farmakovigilanciai tevékenységeket és beavatkozásokat elvégzi.</w:t>
      </w:r>
    </w:p>
    <w:p w:rsidR="00DA1F84" w:rsidRPr="00A530FF" w:rsidRDefault="00DA1F84">
      <w:pPr>
        <w:ind w:right="-1"/>
        <w:rPr>
          <w:sz w:val="22"/>
          <w:szCs w:val="22"/>
          <w:lang w:val="hu-HU"/>
        </w:rPr>
      </w:pPr>
    </w:p>
    <w:p w:rsidR="00DA1F84" w:rsidRPr="00A530FF" w:rsidRDefault="004D54EF">
      <w:pPr>
        <w:ind w:right="-1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frissített </w:t>
      </w:r>
      <w:r w:rsidR="00DB4198" w:rsidRPr="00A530FF">
        <w:rPr>
          <w:sz w:val="22"/>
          <w:szCs w:val="22"/>
          <w:lang w:val="hu-HU"/>
        </w:rPr>
        <w:t xml:space="preserve">kockázatkezelési terv </w:t>
      </w:r>
      <w:r w:rsidRPr="00A530FF">
        <w:rPr>
          <w:sz w:val="22"/>
          <w:szCs w:val="22"/>
          <w:lang w:val="hu-HU"/>
        </w:rPr>
        <w:t>benyújtandó a következő esetekben</w:t>
      </w:r>
      <w:r w:rsidR="00DA1F84" w:rsidRPr="00A530FF">
        <w:rPr>
          <w:sz w:val="22"/>
          <w:szCs w:val="22"/>
          <w:lang w:val="hu-HU"/>
        </w:rPr>
        <w:t>:</w:t>
      </w:r>
    </w:p>
    <w:p w:rsidR="00DB4198" w:rsidRPr="00A530FF" w:rsidRDefault="00DB4198" w:rsidP="0035726F">
      <w:pPr>
        <w:numPr>
          <w:ilvl w:val="0"/>
          <w:numId w:val="24"/>
        </w:numPr>
        <w:ind w:left="720" w:right="-1" w:hanging="294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ha az </w:t>
      </w:r>
      <w:r w:rsidR="004D54EF" w:rsidRPr="00A530FF">
        <w:rPr>
          <w:sz w:val="22"/>
          <w:szCs w:val="22"/>
          <w:lang w:val="hu-HU"/>
        </w:rPr>
        <w:t>Európai Gyógyszer</w:t>
      </w:r>
      <w:r w:rsidR="003E4170" w:rsidRPr="00A530FF">
        <w:rPr>
          <w:sz w:val="22"/>
          <w:szCs w:val="22"/>
          <w:lang w:val="hu-HU"/>
        </w:rPr>
        <w:t>ü</w:t>
      </w:r>
      <w:r w:rsidR="004D54EF" w:rsidRPr="00A530FF">
        <w:rPr>
          <w:sz w:val="22"/>
          <w:szCs w:val="22"/>
          <w:lang w:val="hu-HU"/>
        </w:rPr>
        <w:t>gynökség ezt indítványozza</w:t>
      </w:r>
      <w:r w:rsidRPr="00A530FF">
        <w:rPr>
          <w:sz w:val="22"/>
          <w:szCs w:val="22"/>
          <w:lang w:val="hu-HU"/>
        </w:rPr>
        <w:t>;</w:t>
      </w:r>
    </w:p>
    <w:p w:rsidR="00E81D6D" w:rsidRPr="00A530FF" w:rsidRDefault="00DB4198" w:rsidP="0035726F">
      <w:pPr>
        <w:numPr>
          <w:ilvl w:val="0"/>
          <w:numId w:val="24"/>
        </w:numPr>
        <w:ind w:left="720" w:right="-1" w:hanging="294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 a kockázatkezelési rendszerben változás történik, főként azt követően, hogy olyan új információ érkezik, amely az előny/kockázat profil jelentős változásához vezethet, illetve (a biztonságos gyógyszeralkalmazásra vagy kockázat-minimalizálásra irányuló) újabb, meghatározó eredmények születnek.</w:t>
      </w:r>
    </w:p>
    <w:p w:rsidR="00E81D6D" w:rsidRPr="00A530FF" w:rsidRDefault="00E81D6D" w:rsidP="00593EFA">
      <w:pPr>
        <w:ind w:right="-1"/>
        <w:rPr>
          <w:sz w:val="22"/>
          <w:szCs w:val="22"/>
          <w:lang w:val="hu-HU"/>
        </w:rPr>
      </w:pPr>
    </w:p>
    <w:p w:rsidR="00283841" w:rsidRPr="00A530FF" w:rsidRDefault="00DB4198" w:rsidP="007756C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•</w:t>
      </w:r>
      <w:r w:rsidRPr="00A530FF">
        <w:rPr>
          <w:b/>
          <w:sz w:val="22"/>
          <w:szCs w:val="22"/>
          <w:lang w:val="hu-HU"/>
        </w:rPr>
        <w:tab/>
        <w:t>Kockázat-minimalizálásra irányuló további intézkedések</w:t>
      </w:r>
    </w:p>
    <w:p w:rsidR="00C40DCF" w:rsidRPr="00A530FF" w:rsidRDefault="00C40DCF" w:rsidP="00021AD6">
      <w:pPr>
        <w:ind w:right="-1"/>
        <w:rPr>
          <w:sz w:val="22"/>
          <w:szCs w:val="22"/>
          <w:lang w:val="hu-HU"/>
        </w:rPr>
      </w:pPr>
    </w:p>
    <w:p w:rsidR="00283841" w:rsidRPr="00F75EF0" w:rsidRDefault="00283841" w:rsidP="00021AD6">
      <w:pPr>
        <w:ind w:right="-1"/>
        <w:rPr>
          <w:rFonts w:cs="Verdana"/>
          <w:color w:val="231F20"/>
          <w:sz w:val="22"/>
          <w:szCs w:val="22"/>
          <w:lang w:val="hu"/>
        </w:rPr>
      </w:pPr>
      <w:r w:rsidRPr="0035726F">
        <w:rPr>
          <w:sz w:val="22"/>
          <w:szCs w:val="22"/>
          <w:lang w:val="hu-HU"/>
        </w:rPr>
        <w:t>A forgalomba hozatali engedély jogosultjának minden csomaghoz mellékelnie kell a beteget/gondozót emlékeztető kártyát, amelynek szövegét a Betegtájékoztató tartalmazza</w:t>
      </w:r>
      <w:r w:rsidRPr="0037714E">
        <w:rPr>
          <w:sz w:val="22"/>
          <w:szCs w:val="22"/>
          <w:lang w:val="hu-HU"/>
        </w:rPr>
        <w:t>.</w:t>
      </w:r>
      <w:r w:rsidR="0035726F" w:rsidRPr="00F75EF0">
        <w:rPr>
          <w:rFonts w:cs="Verdana"/>
          <w:color w:val="231F20"/>
          <w:sz w:val="22"/>
          <w:szCs w:val="22"/>
          <w:lang w:val="hu"/>
        </w:rPr>
        <w:t xml:space="preserve"> A betegnek/gondozónak szóló emlékeztető kártyának a következő kulcsfontosságú üzeneteket kell tartalmaznia:</w:t>
      </w:r>
    </w:p>
    <w:p w:rsidR="0035726F" w:rsidRPr="0037714E" w:rsidRDefault="0035726F" w:rsidP="0035726F">
      <w:pPr>
        <w:numPr>
          <w:ilvl w:val="0"/>
          <w:numId w:val="24"/>
        </w:numPr>
        <w:ind w:left="720" w:right="-1" w:hanging="294"/>
        <w:rPr>
          <w:sz w:val="22"/>
          <w:szCs w:val="22"/>
          <w:lang w:val="hu-HU"/>
        </w:rPr>
      </w:pPr>
      <w:r w:rsidRPr="0037714E">
        <w:rPr>
          <w:sz w:val="22"/>
          <w:szCs w:val="22"/>
          <w:lang w:val="hu-HU"/>
        </w:rPr>
        <w:t>A betegekben tudatosodjon annak fontossága, hogy a deferipronkezelés ideje alatt a neutrofilszámot rendszeresen ellenőrizni kell</w:t>
      </w:r>
      <w:r w:rsidR="0037714E">
        <w:rPr>
          <w:sz w:val="22"/>
          <w:szCs w:val="22"/>
          <w:lang w:val="hu-HU"/>
        </w:rPr>
        <w:t>.</w:t>
      </w:r>
    </w:p>
    <w:p w:rsidR="0035726F" w:rsidRPr="0037714E" w:rsidRDefault="0035726F" w:rsidP="0035726F">
      <w:pPr>
        <w:numPr>
          <w:ilvl w:val="0"/>
          <w:numId w:val="24"/>
        </w:numPr>
        <w:ind w:left="720" w:right="-1" w:hanging="294"/>
        <w:rPr>
          <w:sz w:val="22"/>
          <w:szCs w:val="22"/>
          <w:lang w:val="hu-HU"/>
        </w:rPr>
      </w:pPr>
      <w:r w:rsidRPr="0037714E">
        <w:rPr>
          <w:sz w:val="22"/>
          <w:szCs w:val="22"/>
          <w:lang w:val="hu-HU"/>
        </w:rPr>
        <w:t>A betegekben tudatosodjon, hogy a fertőzés</w:t>
      </w:r>
      <w:r w:rsidR="0037714E">
        <w:rPr>
          <w:sz w:val="22"/>
          <w:szCs w:val="22"/>
          <w:lang w:val="hu-HU"/>
        </w:rPr>
        <w:t>re utaló</w:t>
      </w:r>
      <w:r w:rsidRPr="0037714E">
        <w:rPr>
          <w:sz w:val="22"/>
          <w:szCs w:val="22"/>
          <w:lang w:val="hu-HU"/>
        </w:rPr>
        <w:t xml:space="preserve"> tünetek rendkívül fontosak a deferipron szedése idején</w:t>
      </w:r>
      <w:r w:rsidR="0037714E">
        <w:rPr>
          <w:sz w:val="22"/>
          <w:szCs w:val="22"/>
          <w:lang w:val="hu-HU"/>
        </w:rPr>
        <w:t>.</w:t>
      </w:r>
    </w:p>
    <w:p w:rsidR="0035726F" w:rsidRPr="00E652CD" w:rsidRDefault="0035726F" w:rsidP="0035726F">
      <w:pPr>
        <w:numPr>
          <w:ilvl w:val="0"/>
          <w:numId w:val="24"/>
        </w:numPr>
        <w:ind w:left="720" w:right="-1" w:hanging="294"/>
        <w:rPr>
          <w:sz w:val="22"/>
          <w:szCs w:val="22"/>
          <w:lang w:val="hu-HU"/>
        </w:rPr>
      </w:pPr>
      <w:r w:rsidRPr="00A518DC">
        <w:rPr>
          <w:sz w:val="22"/>
          <w:szCs w:val="22"/>
          <w:lang w:val="hu-HU"/>
        </w:rPr>
        <w:t>A fogamzóképes korú nőket figyelmeztesse arra, hogy ne essenek teherbe, mert a deferipron súlyosan károsíthatja a szü</w:t>
      </w:r>
      <w:r w:rsidRPr="00915570">
        <w:rPr>
          <w:sz w:val="22"/>
          <w:szCs w:val="22"/>
          <w:lang w:val="hu-HU"/>
        </w:rPr>
        <w:t>letendő gyermeket.</w:t>
      </w:r>
    </w:p>
    <w:p w:rsidR="00DA1F84" w:rsidRPr="00A530FF" w:rsidRDefault="00DA1F84" w:rsidP="00BF41A3">
      <w:pPr>
        <w:rPr>
          <w:lang w:val="hu-HU"/>
        </w:rPr>
      </w:pPr>
      <w:r w:rsidRPr="00A530FF">
        <w:rPr>
          <w:lang w:val="hu-HU"/>
        </w:rPr>
        <w:br w:type="page"/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III. MELLÉKLET</w:t>
      </w:r>
    </w:p>
    <w:p w:rsidR="00DA1F84" w:rsidRPr="00A530FF" w:rsidRDefault="00DA1F84">
      <w:pPr>
        <w:spacing w:line="260" w:lineRule="atLeast"/>
        <w:jc w:val="center"/>
        <w:rPr>
          <w:b/>
          <w:sz w:val="22"/>
          <w:szCs w:val="22"/>
          <w:lang w:val="hu-HU"/>
        </w:rPr>
      </w:pPr>
    </w:p>
    <w:p w:rsidR="00DA1F84" w:rsidRPr="00A530FF" w:rsidRDefault="00DA1F84" w:rsidP="0015737C">
      <w:pPr>
        <w:pStyle w:val="Heading7"/>
        <w:tabs>
          <w:tab w:val="left" w:pos="270"/>
          <w:tab w:val="left" w:pos="567"/>
        </w:tabs>
        <w:rPr>
          <w:b w:val="0"/>
          <w:szCs w:val="22"/>
          <w:lang w:val="hu-HU"/>
        </w:rPr>
      </w:pPr>
      <w:r w:rsidRPr="00A530FF">
        <w:rPr>
          <w:szCs w:val="22"/>
          <w:lang w:val="hu-HU"/>
        </w:rPr>
        <w:t>CÍMKESZÖVEG ÉS BETEGTÁJÉKOZTATÓ</w:t>
      </w: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br w:type="page"/>
      </w: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>
      <w:pPr>
        <w:ind w:left="709" w:hanging="709"/>
        <w:rPr>
          <w:sz w:val="22"/>
          <w:szCs w:val="22"/>
          <w:lang w:val="hu-HU"/>
        </w:rPr>
      </w:pPr>
    </w:p>
    <w:p w:rsidR="00DA1F84" w:rsidRPr="00A530FF" w:rsidRDefault="00DA1F84" w:rsidP="000A0A3A">
      <w:pPr>
        <w:pStyle w:val="TitleA"/>
      </w:pPr>
      <w:r w:rsidRPr="00A530FF">
        <w:t>A. CÍMKESZÖVEG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A KÜLSŐ CSOMAGOLÁSON ÉS A KÖZVETLEN CSOMAGOLÁSON FELTÜNTETENDŐ ADATOK</w:t>
            </w:r>
          </w:p>
          <w:p w:rsidR="00DA1F84" w:rsidRPr="00A530FF" w:rsidRDefault="00DA1F84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</w:p>
          <w:p w:rsidR="00DA1F84" w:rsidRPr="00A530FF" w:rsidRDefault="00DA1F84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100 TABLETTÁT TARTALMAZÓ TARTÁLY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 w:rsidP="00DE540F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 xml:space="preserve">A GYÓGYSZER </w:t>
            </w:r>
            <w:r w:rsidR="003C07CF" w:rsidRPr="00A530FF">
              <w:rPr>
                <w:b/>
                <w:sz w:val="22"/>
                <w:szCs w:val="22"/>
                <w:lang w:val="hu-HU"/>
              </w:rPr>
              <w:t>NEVE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Ferriprox 500 mg filmtabletta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deferipron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2.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HATÓANYAG(OK) MEGNEVEZÉSE</w:t>
            </w:r>
          </w:p>
        </w:tc>
      </w:tr>
    </w:tbl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500 mg deferipron tablettánként.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3.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SEGÉDANYAGOK FELSOROLÁSA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4.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GYÓGYSZERFORMA ÉS TARTALOM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100 </w:t>
      </w:r>
      <w:r w:rsidR="00283841" w:rsidRPr="00A530FF">
        <w:rPr>
          <w:sz w:val="22"/>
          <w:szCs w:val="22"/>
          <w:lang w:val="hu-HU"/>
        </w:rPr>
        <w:t>film</w:t>
      </w:r>
      <w:r w:rsidRPr="00A530FF">
        <w:rPr>
          <w:sz w:val="22"/>
          <w:szCs w:val="22"/>
          <w:lang w:val="hu-HU"/>
        </w:rPr>
        <w:t>tabletta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5.</w:t>
            </w:r>
            <w:r w:rsidRPr="00A530FF">
              <w:rPr>
                <w:szCs w:val="22"/>
                <w:lang w:val="hu-HU" w:eastAsia="en-US"/>
              </w:rPr>
              <w:tab/>
              <w:t>AZ ALKALMAZÁSSAL KAPCSOLATOS TUDNIVALÓK ÉS AZ ALKALMAZÁS MÓDJA(I)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Szájon át történő alkalmazás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Használat előtt olvassa el a mellékelt betegtájékoztatót!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6.</w:t>
            </w:r>
            <w:r w:rsidRPr="00A530FF">
              <w:rPr>
                <w:szCs w:val="22"/>
                <w:lang w:val="hu-HU" w:eastAsia="en-US"/>
              </w:rPr>
              <w:tab/>
              <w:t>KÜLÖN FIGYELMEZTETÉS, MELY SZERINT A GYÓGYSZERT GYERMEKEKTŐL ELZÁRVA KELL TARTANI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 gyermekektől elzárva tartandó!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7.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TOVÁBBI FIGYELMEZTETÉS(EK), AMENNYIBEN SZÜKSÉGES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8.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LEJÁRATI IDŐ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636743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EXP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9.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KÜLÖNLEGES TÁROLÁSI ELŐÍRÁSOK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30°C-on tárolandó.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rPr>
          <w:cantSplit/>
        </w:trPr>
        <w:tc>
          <w:tcPr>
            <w:tcW w:w="9287" w:type="dxa"/>
          </w:tcPr>
          <w:p w:rsidR="00DA1F84" w:rsidRPr="00A530FF" w:rsidRDefault="00DA1F84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10.</w:t>
            </w:r>
            <w:r w:rsidRPr="00A530FF">
              <w:rPr>
                <w:szCs w:val="22"/>
                <w:lang w:val="hu-HU" w:eastAsia="en-US"/>
              </w:rPr>
              <w:tab/>
              <w:t>KÜLÖNLEGES ÓVINTÉZKEDÉSEK A FEL NEM HASZNÁLT GYÓGYSZEREK VAGY AZ ILYEN TERMÉKEKBŐL KELETKEZETT HULLADÉKANYAGOK ÁRTALMATLANNÁ TÉTELÉRE, HA ILYENEKRE SZÜKSÉG VAN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11.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FORGALOMBA HOZATALI ENGEDÉLY JOGOSULTJÁNAK NEVE ÉS CÍME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rPr>
          <w:sz w:val="22"/>
          <w:szCs w:val="22"/>
          <w:highlight w:val="lightGray"/>
          <w:lang w:val="hu-HU"/>
        </w:rPr>
      </w:pPr>
      <w:r>
        <w:rPr>
          <w:sz w:val="22"/>
          <w:szCs w:val="22"/>
          <w:highlight w:val="lightGray"/>
          <w:lang w:val="hu-HU"/>
        </w:rPr>
        <w:t>Via Palermo 26/A</w:t>
      </w:r>
    </w:p>
    <w:p w:rsidR="00665FDF" w:rsidRPr="00665FDF" w:rsidRDefault="00BC16B5" w:rsidP="00665FDF">
      <w:pPr>
        <w:rPr>
          <w:sz w:val="22"/>
          <w:szCs w:val="22"/>
          <w:highlight w:val="lightGray"/>
          <w:lang w:val="hu-HU"/>
        </w:rPr>
      </w:pPr>
      <w:r>
        <w:rPr>
          <w:sz w:val="22"/>
          <w:szCs w:val="22"/>
          <w:highlight w:val="lightGray"/>
          <w:lang w:val="hu-HU"/>
        </w:rPr>
        <w:t>43122 Parma</w:t>
      </w:r>
    </w:p>
    <w:p w:rsidR="00665FDF" w:rsidRPr="00A530FF" w:rsidRDefault="00BC16B5" w:rsidP="00665FDF">
      <w:pPr>
        <w:rPr>
          <w:b/>
          <w:sz w:val="22"/>
          <w:szCs w:val="22"/>
          <w:lang w:val="hu-HU"/>
        </w:rPr>
      </w:pPr>
      <w:r>
        <w:rPr>
          <w:sz w:val="22"/>
          <w:szCs w:val="22"/>
          <w:highlight w:val="lightGray"/>
          <w:lang w:val="hu-HU"/>
        </w:rPr>
        <w:t>Olaszország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12.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FORGALOMBA HOZATALI ENGEDÉLY SZÁMA(I)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EU/1/99/108/001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13.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GYÁRTÁSI TÉTEL SZÁMA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1E1F63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Lot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 w:rsidP="0015737C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14.</w:t>
            </w:r>
            <w:r w:rsidRPr="00A530FF">
              <w:rPr>
                <w:szCs w:val="22"/>
                <w:lang w:val="hu-HU" w:eastAsia="en-US"/>
              </w:rPr>
              <w:tab/>
              <w:t>A GYÓGYSZER RENDELHETŐSÉG</w:t>
            </w:r>
            <w:r w:rsidR="0015737C" w:rsidRPr="00A530FF">
              <w:rPr>
                <w:szCs w:val="22"/>
                <w:lang w:val="hu-HU" w:eastAsia="en-US"/>
              </w:rPr>
              <w:t>E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Orvosi rendelvényhez kötött gyógyszer.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15.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AZ ALKALMAZÁSRA VONATKOZÓ UTASÍTÁSOK</w:t>
            </w:r>
          </w:p>
        </w:tc>
      </w:tr>
    </w:tbl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16.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BRAILLE ÍRÁSSAL FELTÜNTETETT INFORMÁCIÓK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99215F" w:rsidRDefault="00DA1F84" w:rsidP="00B646AF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highlight w:val="lightGray"/>
          <w:lang w:val="hu-HU"/>
        </w:rPr>
        <w:t>Ferriprox</w:t>
      </w:r>
      <w:r w:rsidR="00626DC2" w:rsidRPr="00A530FF">
        <w:rPr>
          <w:szCs w:val="22"/>
          <w:highlight w:val="lightGray"/>
          <w:lang w:val="hu-HU"/>
        </w:rPr>
        <w:t xml:space="preserve"> 500</w:t>
      </w:r>
      <w:r w:rsidR="00B646AF">
        <w:rPr>
          <w:szCs w:val="22"/>
          <w:highlight w:val="lightGray"/>
          <w:lang w:val="hu-HU"/>
        </w:rPr>
        <w:t> </w:t>
      </w:r>
      <w:r w:rsidR="00626DC2" w:rsidRPr="00A530FF">
        <w:rPr>
          <w:szCs w:val="22"/>
          <w:highlight w:val="lightGray"/>
          <w:lang w:val="hu-HU"/>
        </w:rPr>
        <w:t>mg</w:t>
      </w:r>
    </w:p>
    <w:p w:rsidR="0099215F" w:rsidRPr="0099215F" w:rsidRDefault="0099215F" w:rsidP="0099215F">
      <w:pPr>
        <w:rPr>
          <w:noProof/>
          <w:sz w:val="22"/>
          <w:szCs w:val="22"/>
          <w:shd w:val="clear" w:color="auto" w:fill="CCCCCC"/>
        </w:rPr>
      </w:pPr>
    </w:p>
    <w:p w:rsidR="0099215F" w:rsidRPr="0099215F" w:rsidRDefault="0099215F" w:rsidP="0099215F">
      <w:pPr>
        <w:rPr>
          <w:noProof/>
          <w:sz w:val="22"/>
          <w:szCs w:val="22"/>
          <w:shd w:val="clear" w:color="auto" w:fill="CCCCCC"/>
        </w:rPr>
      </w:pPr>
    </w:p>
    <w:p w:rsidR="0099215F" w:rsidRPr="0099215F" w:rsidRDefault="00362F86" w:rsidP="00362F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both"/>
        <w:outlineLvl w:val="0"/>
        <w:rPr>
          <w:i/>
          <w:noProof/>
          <w:sz w:val="22"/>
          <w:szCs w:val="22"/>
        </w:rPr>
      </w:pPr>
      <w:r>
        <w:rPr>
          <w:b/>
          <w:sz w:val="22"/>
          <w:szCs w:val="22"/>
          <w:lang w:val="hu-HU"/>
        </w:rPr>
        <w:t>17.</w:t>
      </w:r>
      <w:r>
        <w:rPr>
          <w:b/>
          <w:sz w:val="22"/>
          <w:szCs w:val="22"/>
          <w:lang w:val="hu-HU"/>
        </w:rPr>
        <w:tab/>
      </w:r>
      <w:r w:rsidR="0099215F" w:rsidRPr="0099215F">
        <w:rPr>
          <w:b/>
          <w:sz w:val="22"/>
          <w:szCs w:val="22"/>
          <w:lang w:val="hu-HU"/>
        </w:rPr>
        <w:t>EGYEDI AZONOSÍTÓ – 2D VONALKÓD</w:t>
      </w:r>
    </w:p>
    <w:p w:rsidR="0099215F" w:rsidRPr="0099215F" w:rsidRDefault="0099215F" w:rsidP="0099215F">
      <w:pPr>
        <w:rPr>
          <w:noProof/>
          <w:sz w:val="22"/>
          <w:szCs w:val="22"/>
        </w:rPr>
      </w:pPr>
    </w:p>
    <w:p w:rsidR="0099215F" w:rsidRPr="0099215F" w:rsidRDefault="0099215F" w:rsidP="0099215F">
      <w:pPr>
        <w:rPr>
          <w:noProof/>
          <w:sz w:val="22"/>
          <w:szCs w:val="22"/>
          <w:shd w:val="clear" w:color="auto" w:fill="CCCCCC"/>
        </w:rPr>
      </w:pPr>
      <w:r w:rsidRPr="0099215F">
        <w:rPr>
          <w:noProof/>
          <w:sz w:val="22"/>
          <w:szCs w:val="22"/>
          <w:highlight w:val="lightGray"/>
        </w:rPr>
        <w:t>Egyedi azonosítójú 2D vonalkóddal ellátva.</w:t>
      </w:r>
    </w:p>
    <w:p w:rsidR="0099215F" w:rsidRPr="0099215F" w:rsidRDefault="0099215F" w:rsidP="0099215F">
      <w:pPr>
        <w:rPr>
          <w:noProof/>
          <w:sz w:val="22"/>
          <w:szCs w:val="22"/>
          <w:shd w:val="clear" w:color="auto" w:fill="CCCCCC"/>
        </w:rPr>
      </w:pPr>
    </w:p>
    <w:p w:rsidR="0099215F" w:rsidRPr="0099215F" w:rsidRDefault="0099215F" w:rsidP="0099215F">
      <w:pPr>
        <w:rPr>
          <w:noProof/>
          <w:sz w:val="22"/>
          <w:szCs w:val="22"/>
        </w:rPr>
      </w:pPr>
    </w:p>
    <w:p w:rsidR="0099215F" w:rsidRPr="0099215F" w:rsidRDefault="00362F86" w:rsidP="00362F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utlineLvl w:val="0"/>
        <w:rPr>
          <w:b/>
          <w:sz w:val="22"/>
          <w:szCs w:val="22"/>
          <w:lang w:val="hu-HU"/>
        </w:rPr>
      </w:pPr>
      <w:r>
        <w:rPr>
          <w:b/>
          <w:sz w:val="22"/>
          <w:szCs w:val="22"/>
          <w:lang w:val="hu-HU"/>
        </w:rPr>
        <w:t>18.</w:t>
      </w:r>
      <w:r>
        <w:rPr>
          <w:b/>
          <w:sz w:val="22"/>
          <w:szCs w:val="22"/>
          <w:lang w:val="hu-HU"/>
        </w:rPr>
        <w:tab/>
      </w:r>
      <w:r w:rsidR="0099215F" w:rsidRPr="0099215F">
        <w:rPr>
          <w:b/>
          <w:sz w:val="22"/>
          <w:szCs w:val="22"/>
          <w:lang w:val="hu-HU"/>
        </w:rPr>
        <w:t>EGYEDI AZONOSÍTÓ OLVASHATÓ FORMÁTUMA</w:t>
      </w:r>
    </w:p>
    <w:p w:rsidR="0099215F" w:rsidRPr="0099215F" w:rsidRDefault="0099215F" w:rsidP="0099215F">
      <w:pPr>
        <w:rPr>
          <w:noProof/>
          <w:sz w:val="22"/>
          <w:szCs w:val="22"/>
        </w:rPr>
      </w:pPr>
    </w:p>
    <w:p w:rsidR="0099215F" w:rsidRPr="001B79F1" w:rsidRDefault="0099215F" w:rsidP="0099215F">
      <w:pPr>
        <w:rPr>
          <w:noProof/>
          <w:sz w:val="22"/>
          <w:szCs w:val="22"/>
        </w:rPr>
      </w:pPr>
      <w:r w:rsidRPr="0099215F">
        <w:rPr>
          <w:noProof/>
          <w:sz w:val="22"/>
          <w:szCs w:val="22"/>
        </w:rPr>
        <w:t xml:space="preserve">PC </w:t>
      </w:r>
    </w:p>
    <w:p w:rsidR="0099215F" w:rsidRPr="0099215F" w:rsidRDefault="0099215F" w:rsidP="0099215F">
      <w:pPr>
        <w:rPr>
          <w:noProof/>
          <w:sz w:val="22"/>
          <w:szCs w:val="22"/>
        </w:rPr>
      </w:pPr>
      <w:r w:rsidRPr="0099215F">
        <w:rPr>
          <w:noProof/>
          <w:sz w:val="22"/>
          <w:szCs w:val="22"/>
        </w:rPr>
        <w:t xml:space="preserve">SN </w:t>
      </w:r>
    </w:p>
    <w:p w:rsidR="0099215F" w:rsidRPr="0099215F" w:rsidRDefault="0099215F" w:rsidP="0099215F">
      <w:pPr>
        <w:rPr>
          <w:sz w:val="22"/>
          <w:szCs w:val="22"/>
        </w:rPr>
      </w:pPr>
      <w:r w:rsidRPr="0099215F">
        <w:rPr>
          <w:sz w:val="22"/>
          <w:szCs w:val="22"/>
        </w:rPr>
        <w:t xml:space="preserve">NN </w:t>
      </w:r>
    </w:p>
    <w:p w:rsidR="0099215F" w:rsidRPr="0099215F" w:rsidRDefault="0099215F" w:rsidP="0099215F">
      <w:pPr>
        <w:rPr>
          <w:noProof/>
          <w:vanish/>
          <w:sz w:val="22"/>
          <w:szCs w:val="22"/>
        </w:rPr>
      </w:pPr>
    </w:p>
    <w:p w:rsidR="0099215F" w:rsidRPr="00F12063" w:rsidRDefault="0099215F" w:rsidP="0099215F">
      <w:pPr>
        <w:rPr>
          <w:noProof/>
          <w:vanish/>
        </w:rPr>
      </w:pPr>
    </w:p>
    <w:p w:rsidR="00DA1F84" w:rsidRPr="00A530FF" w:rsidRDefault="00DA1F84" w:rsidP="00B646AF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A KÜLSŐ CSOMAGOLÁSON ÉS A KÖZVETLEN CSOMAGOLÁSON FELTÜNTETENDŐ ADATOK</w:t>
            </w:r>
          </w:p>
          <w:p w:rsidR="00DA1F84" w:rsidRPr="00A530FF" w:rsidRDefault="00DA1F84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</w:p>
          <w:p w:rsidR="00DA1F84" w:rsidRPr="00A530FF" w:rsidRDefault="00DA1F84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250 ML VAGY 500 ML BELSŐLEGES OLDATOT TARTALMAZÓ PALACKOK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 w:rsidP="0015737C">
            <w:pPr>
              <w:tabs>
                <w:tab w:val="left" w:pos="567"/>
              </w:tabs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GYÓGYSZER NEVE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Ferriprox 100 mg/ml belsőleges oldat</w:t>
      </w:r>
    </w:p>
    <w:p w:rsidR="00DA1F84" w:rsidRPr="00A530FF" w:rsidRDefault="003E44E4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d</w:t>
      </w:r>
      <w:r w:rsidR="00DA1F84" w:rsidRPr="00A530FF">
        <w:rPr>
          <w:sz w:val="22"/>
          <w:szCs w:val="22"/>
          <w:lang w:val="hu-HU"/>
        </w:rPr>
        <w:t>eferipron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2.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HATÓANYAG(OK) MEGNEVEZÉSE</w:t>
            </w:r>
          </w:p>
        </w:tc>
      </w:tr>
    </w:tbl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150565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belsőleges oldat 100 mg deferipront tartalmaz milliliterenként</w:t>
      </w:r>
      <w:r w:rsidR="00187644" w:rsidRPr="00A530FF">
        <w:rPr>
          <w:szCs w:val="22"/>
          <w:lang w:val="hu-HU"/>
        </w:rPr>
        <w:t xml:space="preserve"> (</w:t>
      </w:r>
      <w:smartTag w:uri="urn:schemas-microsoft-com:office:smarttags" w:element="State">
        <w:smartTagPr>
          <w:attr w:name="ProductID" w:val="25ﾠg"/>
        </w:smartTagPr>
        <w:r w:rsidR="00187644" w:rsidRPr="00A530FF">
          <w:rPr>
            <w:szCs w:val="22"/>
            <w:lang w:val="hu-HU"/>
          </w:rPr>
          <w:t>25</w:t>
        </w:r>
        <w:r w:rsidR="00150565" w:rsidRPr="00A530FF">
          <w:rPr>
            <w:szCs w:val="22"/>
            <w:lang w:val="hu-HU"/>
          </w:rPr>
          <w:t> </w:t>
        </w:r>
        <w:r w:rsidR="00187644" w:rsidRPr="00A530FF">
          <w:rPr>
            <w:szCs w:val="22"/>
            <w:lang w:val="hu-HU"/>
          </w:rPr>
          <w:t>g</w:t>
        </w:r>
      </w:smartTag>
      <w:r w:rsidR="00187644" w:rsidRPr="00A530FF">
        <w:rPr>
          <w:szCs w:val="22"/>
          <w:lang w:val="hu-HU"/>
        </w:rPr>
        <w:t xml:space="preserve"> deferipron 250</w:t>
      </w:r>
      <w:r w:rsidR="00150565" w:rsidRPr="00A530FF">
        <w:rPr>
          <w:szCs w:val="22"/>
          <w:lang w:val="hu-HU"/>
        </w:rPr>
        <w:t> </w:t>
      </w:r>
      <w:r w:rsidR="00187644" w:rsidRPr="00A530FF">
        <w:rPr>
          <w:szCs w:val="22"/>
          <w:lang w:val="hu-HU"/>
        </w:rPr>
        <w:t>ml-ben).</w:t>
      </w:r>
    </w:p>
    <w:p w:rsidR="008B0CCC" w:rsidRPr="00A530FF" w:rsidRDefault="008B0CCC" w:rsidP="008B0CCC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highlight w:val="lightGray"/>
          <w:lang w:val="hu-HU"/>
        </w:rPr>
        <w:t>A belsőleges oldat 100 mg deferipront tartalmaz milliliterenként (</w:t>
      </w:r>
      <w:smartTag w:uri="urn:schemas-microsoft-com:office:smarttags" w:element="State">
        <w:smartTagPr>
          <w:attr w:name="ProductID" w:val="50ﾠg"/>
        </w:smartTagPr>
        <w:r w:rsidRPr="00A530FF">
          <w:rPr>
            <w:szCs w:val="22"/>
            <w:highlight w:val="lightGray"/>
            <w:lang w:val="hu-HU"/>
          </w:rPr>
          <w:t>50 g</w:t>
        </w:r>
      </w:smartTag>
      <w:r w:rsidRPr="00A530FF">
        <w:rPr>
          <w:szCs w:val="22"/>
          <w:highlight w:val="lightGray"/>
          <w:lang w:val="hu-HU"/>
        </w:rPr>
        <w:t xml:space="preserve"> deferipron 500 ml-ben).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3.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SEGÉDANYAGOK FELSOROLÁSA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Sunset Yellow-t (E110) tartalmaz; bővebb információkat illetően lásd az alkalmazási előírást.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4.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GYÓGYSZERFORMA ÉS TARTALOM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250 ml belsőleges oldat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highlight w:val="lightGray"/>
          <w:lang w:val="hu-HU"/>
        </w:rPr>
        <w:t>500 ml belsőleges oldat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5.</w:t>
            </w:r>
            <w:r w:rsidRPr="00A530FF">
              <w:rPr>
                <w:szCs w:val="22"/>
                <w:lang w:val="hu-HU" w:eastAsia="en-US"/>
              </w:rPr>
              <w:tab/>
              <w:t>AZ ALKALMAZÁSSAL KAPCSOLATOS TUDNIVALÓK ÉS AZ ALKALMAZÁS MÓDJA(I)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Szájon át történő alkalmazás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Használat előtt olvassa el a mellékelt betegtájékoztatót!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6.</w:t>
            </w:r>
            <w:r w:rsidRPr="00A530FF">
              <w:rPr>
                <w:szCs w:val="22"/>
                <w:lang w:val="hu-HU" w:eastAsia="en-US"/>
              </w:rPr>
              <w:tab/>
              <w:t>KÜLÖN FIGYELMEZTETÉS, MELY SZERINT A GYÓGYSZERT GYERMEKEKTŐL ELZÁRVA KELL TARTANI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 gyermekektől elzárva tartandó!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7.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TOVÁBBI FIGYELMEZTETÉS(EK), AMENNYIBEN SZÜKSÉGES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8.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LEJÁRATI IDŐ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636743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EXP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Felbontás után 35 napon belül felhasználandó.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pageBreakBefore/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9.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KÜLÖNLEGES TÁROLÁSI ELŐÍRÁSOK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30°C-on tárolandó.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fénytől </w:t>
      </w:r>
      <w:r w:rsidR="00903B5E" w:rsidRPr="00A530FF">
        <w:rPr>
          <w:sz w:val="22"/>
          <w:szCs w:val="22"/>
          <w:lang w:val="hu-HU"/>
        </w:rPr>
        <w:t>való védelem érdekében as eredeti csomagolásban</w:t>
      </w:r>
      <w:r w:rsidRPr="00A530FF">
        <w:rPr>
          <w:sz w:val="22"/>
          <w:szCs w:val="22"/>
          <w:lang w:val="hu-HU"/>
        </w:rPr>
        <w:t xml:space="preserve"> tárolandó.</w:t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10.</w:t>
            </w:r>
            <w:r w:rsidRPr="00A530FF">
              <w:rPr>
                <w:szCs w:val="22"/>
                <w:lang w:val="hu-HU" w:eastAsia="en-US"/>
              </w:rPr>
              <w:tab/>
              <w:t>KÜLÖNLEGES ÓVINTÉZKEDÉSEK A FEL NEM HASZNÁLT GYÓGYSZEREK VAGY AZ ILYEN TERMÉKEKBŐL KELETKEZETT HULLADÉKANYAGOK ÁRTALMATLANNÁ TÉTELÉRE, HA ILYENEKRE SZÜKSÉG VAN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11.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FORGALOMBA HOZATALI ENGEDÉLY JOGOSULTJÁNAK NEVE ÉS CÍME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rPr>
          <w:sz w:val="22"/>
          <w:szCs w:val="22"/>
          <w:highlight w:val="lightGray"/>
          <w:lang w:val="hu-HU"/>
        </w:rPr>
      </w:pPr>
      <w:r>
        <w:rPr>
          <w:sz w:val="22"/>
          <w:szCs w:val="22"/>
          <w:highlight w:val="lightGray"/>
          <w:lang w:val="hu-HU"/>
        </w:rPr>
        <w:t>Via Palermo 26/A</w:t>
      </w:r>
    </w:p>
    <w:p w:rsidR="00665FDF" w:rsidRPr="00665FDF" w:rsidRDefault="00BC16B5" w:rsidP="00665FDF">
      <w:pPr>
        <w:rPr>
          <w:sz w:val="22"/>
          <w:szCs w:val="22"/>
          <w:highlight w:val="lightGray"/>
          <w:lang w:val="hu-HU"/>
        </w:rPr>
      </w:pPr>
      <w:r>
        <w:rPr>
          <w:sz w:val="22"/>
          <w:szCs w:val="22"/>
          <w:highlight w:val="lightGray"/>
          <w:lang w:val="hu-HU"/>
        </w:rPr>
        <w:t>43122 Parma</w:t>
      </w:r>
    </w:p>
    <w:p w:rsidR="00665FDF" w:rsidRPr="00A530FF" w:rsidRDefault="00BC16B5" w:rsidP="00665FDF">
      <w:pPr>
        <w:rPr>
          <w:b/>
          <w:sz w:val="22"/>
          <w:szCs w:val="22"/>
          <w:lang w:val="hu-HU"/>
        </w:rPr>
      </w:pPr>
      <w:r>
        <w:rPr>
          <w:sz w:val="22"/>
          <w:szCs w:val="22"/>
          <w:highlight w:val="lightGray"/>
          <w:lang w:val="hu-HU"/>
        </w:rPr>
        <w:t>Olaszország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12.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FORGALOMBA HOZATALI ENGEDÉLY SZÁMA(I)</w:t>
            </w:r>
          </w:p>
        </w:tc>
      </w:tr>
    </w:tbl>
    <w:p w:rsidR="00DA1F84" w:rsidRPr="00A530FF" w:rsidRDefault="00DA1F84">
      <w:pPr>
        <w:rPr>
          <w:sz w:val="22"/>
          <w:szCs w:val="22"/>
          <w:lang w:val="hu-HU"/>
        </w:rPr>
      </w:pPr>
    </w:p>
    <w:p w:rsidR="00B17CC9" w:rsidRPr="00A530FF" w:rsidRDefault="00B17CC9" w:rsidP="00B17CC9">
      <w:pPr>
        <w:spacing w:line="260" w:lineRule="atLeast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EU/1/99/108/002</w:t>
      </w:r>
    </w:p>
    <w:p w:rsidR="00DA1F84" w:rsidRPr="00A530FF" w:rsidRDefault="00B17CC9" w:rsidP="00B17CC9">
      <w:pPr>
        <w:spacing w:line="260" w:lineRule="atLeast"/>
        <w:rPr>
          <w:sz w:val="22"/>
          <w:szCs w:val="22"/>
          <w:lang w:val="hu-HU"/>
        </w:rPr>
      </w:pPr>
      <w:r w:rsidRPr="00A530FF">
        <w:rPr>
          <w:sz w:val="22"/>
          <w:szCs w:val="22"/>
          <w:highlight w:val="lightGray"/>
          <w:lang w:val="hu-HU"/>
        </w:rPr>
        <w:t>EU/1/99/108/003</w:t>
      </w:r>
    </w:p>
    <w:p w:rsidR="00B17CC9" w:rsidRPr="00A530FF" w:rsidRDefault="00B17CC9" w:rsidP="00B17CC9">
      <w:pPr>
        <w:spacing w:line="260" w:lineRule="atLeast"/>
        <w:rPr>
          <w:sz w:val="22"/>
          <w:szCs w:val="22"/>
          <w:lang w:val="hu-HU"/>
        </w:rPr>
      </w:pPr>
    </w:p>
    <w:p w:rsidR="00B17CC9" w:rsidRPr="00A530FF" w:rsidRDefault="00B17CC9" w:rsidP="00B17CC9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13.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GYÁRTÁSI TÉTEL SZÁMA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1E1F63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Lot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 w:rsidP="0015737C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14.</w:t>
            </w:r>
            <w:r w:rsidRPr="00A530FF">
              <w:rPr>
                <w:szCs w:val="22"/>
                <w:lang w:val="hu-HU" w:eastAsia="en-US"/>
              </w:rPr>
              <w:tab/>
              <w:t>A GYÓGYSZER RENDELHETŐSÉG</w:t>
            </w:r>
            <w:r w:rsidR="0015737C" w:rsidRPr="00A530FF">
              <w:rPr>
                <w:szCs w:val="22"/>
                <w:lang w:val="hu-HU" w:eastAsia="en-US"/>
              </w:rPr>
              <w:t>E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Orvosi rendelvényhez kötött gyógyszer.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15.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AZ ALKALMAZÁSRA VONATKOZÓ UTASÍTÁSOK</w:t>
            </w:r>
          </w:p>
        </w:tc>
      </w:tr>
    </w:tbl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DA1F84" w:rsidRPr="00A530FF" w:rsidRDefault="00DA1F84">
            <w:pPr>
              <w:tabs>
                <w:tab w:val="left" w:pos="567"/>
              </w:tabs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16.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BRAILLE ÍRÁSSAL FELTÜNTETETT INFORMÁCIÓK</w:t>
            </w:r>
          </w:p>
        </w:tc>
      </w:tr>
    </w:tbl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Default="00DA1F84">
      <w:pPr>
        <w:spacing w:line="260" w:lineRule="atLeast"/>
        <w:rPr>
          <w:sz w:val="22"/>
          <w:szCs w:val="22"/>
          <w:lang w:val="hu-HU"/>
        </w:rPr>
      </w:pPr>
      <w:r w:rsidRPr="00A530FF">
        <w:rPr>
          <w:sz w:val="22"/>
          <w:szCs w:val="22"/>
          <w:highlight w:val="lightGray"/>
          <w:lang w:val="hu-HU"/>
        </w:rPr>
        <w:t>Ferriprox 100 mg/ml</w:t>
      </w: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</w:p>
    <w:p w:rsidR="00362F86" w:rsidRPr="0099215F" w:rsidRDefault="00362F86" w:rsidP="00362F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both"/>
        <w:outlineLvl w:val="0"/>
        <w:rPr>
          <w:i/>
          <w:noProof/>
          <w:sz w:val="22"/>
          <w:szCs w:val="22"/>
        </w:rPr>
      </w:pPr>
      <w:r>
        <w:rPr>
          <w:b/>
          <w:sz w:val="22"/>
          <w:szCs w:val="22"/>
          <w:lang w:val="hu-HU"/>
        </w:rPr>
        <w:t>17.</w:t>
      </w:r>
      <w:r>
        <w:rPr>
          <w:b/>
          <w:sz w:val="22"/>
          <w:szCs w:val="22"/>
          <w:lang w:val="hu-HU"/>
        </w:rPr>
        <w:tab/>
      </w:r>
      <w:r w:rsidRPr="0099215F">
        <w:rPr>
          <w:b/>
          <w:sz w:val="22"/>
          <w:szCs w:val="22"/>
          <w:lang w:val="hu-HU"/>
        </w:rPr>
        <w:t>EGYEDI AZONOSÍTÓ – 2D VONALKÓD</w:t>
      </w:r>
    </w:p>
    <w:p w:rsidR="00362F86" w:rsidRPr="0099215F" w:rsidRDefault="00362F86" w:rsidP="00362F86">
      <w:pPr>
        <w:rPr>
          <w:noProof/>
          <w:sz w:val="22"/>
          <w:szCs w:val="22"/>
        </w:rPr>
      </w:pP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  <w:r w:rsidRPr="0099215F">
        <w:rPr>
          <w:noProof/>
          <w:sz w:val="22"/>
          <w:szCs w:val="22"/>
          <w:highlight w:val="lightGray"/>
        </w:rPr>
        <w:t>Egyedi azonosítójú 2D vonalkóddal ellátva.</w:t>
      </w: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</w:p>
    <w:p w:rsidR="00362F86" w:rsidRPr="0099215F" w:rsidRDefault="00362F86" w:rsidP="00362F86">
      <w:pPr>
        <w:rPr>
          <w:noProof/>
          <w:sz w:val="22"/>
          <w:szCs w:val="22"/>
        </w:rPr>
      </w:pPr>
    </w:p>
    <w:p w:rsidR="00362F86" w:rsidRPr="0099215F" w:rsidRDefault="00362F86" w:rsidP="00362F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utlineLvl w:val="0"/>
        <w:rPr>
          <w:b/>
          <w:sz w:val="22"/>
          <w:szCs w:val="22"/>
          <w:lang w:val="hu-HU"/>
        </w:rPr>
      </w:pPr>
      <w:r>
        <w:rPr>
          <w:b/>
          <w:sz w:val="22"/>
          <w:szCs w:val="22"/>
          <w:lang w:val="hu-HU"/>
        </w:rPr>
        <w:t>18.</w:t>
      </w:r>
      <w:r>
        <w:rPr>
          <w:b/>
          <w:sz w:val="22"/>
          <w:szCs w:val="22"/>
          <w:lang w:val="hu-HU"/>
        </w:rPr>
        <w:tab/>
      </w:r>
      <w:r w:rsidRPr="0099215F">
        <w:rPr>
          <w:b/>
          <w:sz w:val="22"/>
          <w:szCs w:val="22"/>
          <w:lang w:val="hu-HU"/>
        </w:rPr>
        <w:t>EGYEDI AZONOSÍTÓ OLVASHATÓ FORMÁTUMA</w:t>
      </w:r>
    </w:p>
    <w:p w:rsidR="00362F86" w:rsidRPr="0099215F" w:rsidRDefault="00362F86" w:rsidP="00362F86">
      <w:pPr>
        <w:rPr>
          <w:noProof/>
          <w:sz w:val="22"/>
          <w:szCs w:val="22"/>
        </w:rPr>
      </w:pPr>
    </w:p>
    <w:p w:rsidR="00362F86" w:rsidRPr="001B79F1" w:rsidRDefault="00362F86" w:rsidP="00362F86">
      <w:pPr>
        <w:rPr>
          <w:noProof/>
          <w:sz w:val="22"/>
          <w:szCs w:val="22"/>
        </w:rPr>
      </w:pPr>
      <w:r w:rsidRPr="0099215F">
        <w:rPr>
          <w:noProof/>
          <w:sz w:val="22"/>
          <w:szCs w:val="22"/>
        </w:rPr>
        <w:t xml:space="preserve">PC </w:t>
      </w:r>
    </w:p>
    <w:p w:rsidR="00362F86" w:rsidRPr="0099215F" w:rsidRDefault="00362F86" w:rsidP="00362F86">
      <w:pPr>
        <w:rPr>
          <w:sz w:val="22"/>
          <w:szCs w:val="22"/>
        </w:rPr>
      </w:pPr>
      <w:r w:rsidRPr="0099215F">
        <w:rPr>
          <w:sz w:val="22"/>
          <w:szCs w:val="22"/>
        </w:rPr>
        <w:t xml:space="preserve">SN </w:t>
      </w:r>
    </w:p>
    <w:p w:rsidR="00362F86" w:rsidRPr="0099215F" w:rsidRDefault="00362F86" w:rsidP="00362F86">
      <w:pPr>
        <w:rPr>
          <w:sz w:val="22"/>
          <w:szCs w:val="22"/>
        </w:rPr>
      </w:pPr>
      <w:r w:rsidRPr="0099215F">
        <w:rPr>
          <w:sz w:val="22"/>
          <w:szCs w:val="22"/>
        </w:rPr>
        <w:t xml:space="preserve">NN </w:t>
      </w:r>
    </w:p>
    <w:p w:rsidR="00362F86" w:rsidRPr="00A530FF" w:rsidRDefault="00362F86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DA1F84" w:rsidP="006E7042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A KÜLSŐ CSOMAGOLÁSON ÉS A KÖZVETLEN CSOMAGOLÁSON FELTÜNTETENDŐ ADATOK</w:t>
            </w:r>
          </w:p>
          <w:p w:rsidR="006E7042" w:rsidRPr="00A530FF" w:rsidRDefault="006E7042" w:rsidP="00503850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</w:p>
          <w:p w:rsidR="006E7042" w:rsidRPr="00A530FF" w:rsidRDefault="006E7042" w:rsidP="00306996">
            <w:pPr>
              <w:spacing w:line="260" w:lineRule="atLeast"/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50 TABLETTÁT TARTALMAZÓ TARTÁLY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15737C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GYÓGYSZER NEVE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Ferriprox 1000 mg filmtabletta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deferipron</w:t>
      </w:r>
    </w:p>
    <w:p w:rsidR="006E7042" w:rsidRPr="00A530FF" w:rsidRDefault="006E7042" w:rsidP="006E7042">
      <w:pPr>
        <w:rPr>
          <w:b/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2.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HATÓANYAG(OK) MEGNEVEZÉSE</w:t>
            </w:r>
          </w:p>
        </w:tc>
      </w:tr>
    </w:tbl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1000 mg deferipron tablettánként.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3.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SEGÉDANYAGOK FELSOROLÁSA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4.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GYÓGYSZERFORMA ÉS TARTALOM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50 </w:t>
      </w:r>
      <w:r w:rsidR="00283841" w:rsidRPr="00A530FF">
        <w:rPr>
          <w:sz w:val="22"/>
          <w:szCs w:val="22"/>
          <w:lang w:val="hu-HU"/>
        </w:rPr>
        <w:t>film</w:t>
      </w:r>
      <w:r w:rsidRPr="00A530FF">
        <w:rPr>
          <w:sz w:val="22"/>
          <w:szCs w:val="22"/>
          <w:lang w:val="hu-HU"/>
        </w:rPr>
        <w:t>tabletta</w:t>
      </w:r>
    </w:p>
    <w:p w:rsidR="006E7042" w:rsidRPr="00A530FF" w:rsidRDefault="006E7042" w:rsidP="006E7042">
      <w:pPr>
        <w:rPr>
          <w:b/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5.</w:t>
            </w:r>
            <w:r w:rsidRPr="00A530FF">
              <w:rPr>
                <w:szCs w:val="22"/>
                <w:lang w:val="hu-HU" w:eastAsia="en-US"/>
              </w:rPr>
              <w:tab/>
              <w:t>AZ ALKALMAZÁSSAL KAPCSOLATOS TUDNIVALÓK ÉS AZ ALKALMAZÁS MÓDJA(I)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Szájon át történő alkalmazás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Használat előtt olvassa el a mellékelt betegtájékoztatót!</w:t>
      </w: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6.</w:t>
            </w:r>
            <w:r w:rsidRPr="00A530FF">
              <w:rPr>
                <w:szCs w:val="22"/>
                <w:lang w:val="hu-HU" w:eastAsia="en-US"/>
              </w:rPr>
              <w:tab/>
              <w:t>KÜLÖN FIGYELMEZTETÉS, MELY SZERINT A GYÓGYSZERT GYERMEKEKTŐL ELZÁRVA KELL TARTANI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 gyermekektől elzárva tartandó!</w:t>
      </w:r>
    </w:p>
    <w:p w:rsidR="006E7042" w:rsidRPr="00A530FF" w:rsidRDefault="006E7042" w:rsidP="006E7042">
      <w:pPr>
        <w:rPr>
          <w:b/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7.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TOVÁBBI FIGYELMEZTETÉS(EK), AMENNYIBEN SZÜKSÉGES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8.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LEJÁRATI IDŐ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1E1F63" w:rsidP="006E7042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EXP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A126E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Felbontás után 50 napon belül felhasználandó.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ED705F">
            <w:pPr>
              <w:keepNext/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9.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KÜLÖNLEGES TÁROLÁSI ELŐÍRÁSOK</w:t>
            </w:r>
          </w:p>
        </w:tc>
      </w:tr>
    </w:tbl>
    <w:p w:rsidR="006E7042" w:rsidRPr="00A530FF" w:rsidRDefault="006E7042" w:rsidP="00ED705F">
      <w:pPr>
        <w:keepNext/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ED705F">
      <w:pPr>
        <w:keepNext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30°C-on tárolandó.</w:t>
      </w:r>
    </w:p>
    <w:p w:rsidR="00186D01" w:rsidRPr="00A530FF" w:rsidRDefault="00601577" w:rsidP="00306996">
      <w:pPr>
        <w:rPr>
          <w:sz w:val="22"/>
          <w:szCs w:val="22"/>
          <w:lang w:val="hu-HU"/>
        </w:rPr>
      </w:pPr>
      <w:r w:rsidRPr="00A530FF">
        <w:rPr>
          <w:noProof/>
          <w:sz w:val="22"/>
          <w:szCs w:val="22"/>
          <w:lang w:val="hu-HU"/>
        </w:rPr>
        <w:t>A nedvességtől való védelem érdekében a tartályt tarsa jól lezárva.</w:t>
      </w: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rPr>
          <w:cantSplit/>
        </w:trPr>
        <w:tc>
          <w:tcPr>
            <w:tcW w:w="9287" w:type="dxa"/>
          </w:tcPr>
          <w:p w:rsidR="006E7042" w:rsidRPr="00A530FF" w:rsidRDefault="006E7042" w:rsidP="004E12D8">
            <w:pPr>
              <w:pStyle w:val="WW-Szvegtrzs212"/>
              <w:keepNext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10.</w:t>
            </w:r>
            <w:r w:rsidRPr="00A530FF">
              <w:rPr>
                <w:szCs w:val="22"/>
                <w:lang w:val="hu-HU" w:eastAsia="en-US"/>
              </w:rPr>
              <w:tab/>
              <w:t>KÜLÖNLEGES ÓVINTÉZKEDÉSEK A FEL NEM HASZNÁLT GYÓGYSZEREK VAGY AZ ILYEN TERMÉKEKBŐL KELETKEZETT HULLADÉKANYAGOK ÁRTALMATLANNÁ TÉTELÉRE, HA ILYENEKRE SZÜKSÉG VAN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11.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FORGALOMBA HOZATALI ENGEDÉLY JOGOSULTJÁNAK NEVE ÉS CÍME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65FDF" w:rsidRPr="00665FDF" w:rsidRDefault="00BC16B5" w:rsidP="00665FDF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rPr>
          <w:sz w:val="22"/>
          <w:szCs w:val="22"/>
          <w:highlight w:val="lightGray"/>
          <w:lang w:val="hu-HU"/>
        </w:rPr>
      </w:pPr>
      <w:r>
        <w:rPr>
          <w:sz w:val="22"/>
          <w:szCs w:val="22"/>
          <w:highlight w:val="lightGray"/>
          <w:lang w:val="hu-HU"/>
        </w:rPr>
        <w:t>Via Palermo 26/A</w:t>
      </w:r>
    </w:p>
    <w:p w:rsidR="00665FDF" w:rsidRPr="00665FDF" w:rsidRDefault="00BC16B5" w:rsidP="00665FDF">
      <w:pPr>
        <w:rPr>
          <w:sz w:val="22"/>
          <w:szCs w:val="22"/>
          <w:highlight w:val="lightGray"/>
          <w:lang w:val="hu-HU"/>
        </w:rPr>
      </w:pPr>
      <w:r>
        <w:rPr>
          <w:sz w:val="22"/>
          <w:szCs w:val="22"/>
          <w:highlight w:val="lightGray"/>
          <w:lang w:val="hu-HU"/>
        </w:rPr>
        <w:t>43122 Parma</w:t>
      </w:r>
    </w:p>
    <w:p w:rsidR="00665FDF" w:rsidRPr="00A530FF" w:rsidRDefault="00BC16B5" w:rsidP="00665FDF">
      <w:pPr>
        <w:rPr>
          <w:b/>
          <w:sz w:val="22"/>
          <w:szCs w:val="22"/>
          <w:lang w:val="hu-HU"/>
        </w:rPr>
      </w:pPr>
      <w:r>
        <w:rPr>
          <w:sz w:val="22"/>
          <w:szCs w:val="22"/>
          <w:highlight w:val="lightGray"/>
          <w:lang w:val="hu-HU"/>
        </w:rPr>
        <w:t>Olaszország</w:t>
      </w:r>
    </w:p>
    <w:p w:rsidR="006E7042" w:rsidRPr="00A530FF" w:rsidRDefault="006E7042" w:rsidP="006E7042">
      <w:pPr>
        <w:rPr>
          <w:b/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12.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FORGALOMBA HOZATALI ENGEDÉLY SZÁMA(I)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841A4" w:rsidRPr="00A530FF" w:rsidRDefault="00D96BE8" w:rsidP="00306996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EU/1/99/108/004</w:t>
      </w: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841A4" w:rsidRPr="00A530FF" w:rsidRDefault="006841A4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spacing w:line="260" w:lineRule="atLeast"/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13.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 GYÁRTÁSI TÉTEL SZÁMA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1E1F63" w:rsidP="006E7042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Lot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DE540F">
            <w:pPr>
              <w:pStyle w:val="WW-Szvegtrzs212"/>
              <w:suppressAutoHyphens w:val="0"/>
              <w:rPr>
                <w:szCs w:val="22"/>
                <w:lang w:val="hu-HU" w:eastAsia="en-US"/>
              </w:rPr>
            </w:pPr>
            <w:r w:rsidRPr="00A530FF">
              <w:rPr>
                <w:szCs w:val="22"/>
                <w:lang w:val="hu-HU" w:eastAsia="en-US"/>
              </w:rPr>
              <w:t>14.</w:t>
            </w:r>
            <w:r w:rsidRPr="00A530FF">
              <w:rPr>
                <w:szCs w:val="22"/>
                <w:lang w:val="hu-HU" w:eastAsia="en-US"/>
              </w:rPr>
              <w:tab/>
              <w:t>A GYÓGYSZER RENDELHETŐSÉG</w:t>
            </w:r>
            <w:r w:rsidR="00DE540F" w:rsidRPr="00A530FF">
              <w:rPr>
                <w:szCs w:val="22"/>
                <w:lang w:val="hu-HU" w:eastAsia="en-US"/>
              </w:rPr>
              <w:t>E</w:t>
            </w:r>
            <w:r w:rsidRPr="00A530FF">
              <w:rPr>
                <w:szCs w:val="22"/>
                <w:lang w:val="hu-HU" w:eastAsia="en-US"/>
              </w:rPr>
              <w:t xml:space="preserve"> 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6E7042" w:rsidRPr="00A530FF" w:rsidRDefault="006E7042" w:rsidP="006E7042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Orvosi rendelvényhez kötött gyógyszer.</w:t>
      </w:r>
    </w:p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rPr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15.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AZ ALKALMAZÁSRA VONATKOZÓ UTASÍTÁSOK</w:t>
            </w:r>
          </w:p>
        </w:tc>
      </w:tr>
    </w:tbl>
    <w:p w:rsidR="006E7042" w:rsidRPr="00A530FF" w:rsidRDefault="006E7042" w:rsidP="006E7042">
      <w:pPr>
        <w:rPr>
          <w:sz w:val="22"/>
          <w:szCs w:val="22"/>
          <w:lang w:val="hu-HU"/>
        </w:rPr>
      </w:pPr>
    </w:p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930597">
        <w:tc>
          <w:tcPr>
            <w:tcW w:w="9287" w:type="dxa"/>
          </w:tcPr>
          <w:p w:rsidR="006E7042" w:rsidRPr="00A530FF" w:rsidRDefault="006E7042" w:rsidP="00503850">
            <w:pPr>
              <w:tabs>
                <w:tab w:val="left" w:pos="567"/>
              </w:tabs>
              <w:rPr>
                <w:b/>
                <w:sz w:val="22"/>
                <w:szCs w:val="22"/>
                <w:lang w:val="hu-HU"/>
              </w:rPr>
            </w:pPr>
            <w:r w:rsidRPr="00A530FF">
              <w:rPr>
                <w:b/>
                <w:sz w:val="22"/>
                <w:szCs w:val="22"/>
                <w:lang w:val="hu-HU"/>
              </w:rPr>
              <w:t>16.</w:t>
            </w:r>
            <w:r w:rsidRPr="00A530FF">
              <w:rPr>
                <w:b/>
                <w:sz w:val="22"/>
                <w:szCs w:val="22"/>
                <w:lang w:val="hu-HU"/>
              </w:rPr>
              <w:tab/>
              <w:t>BRAILLE ÍRÁSSAL FELTÜNTETETT INFORMÁCIÓK</w:t>
            </w:r>
          </w:p>
        </w:tc>
      </w:tr>
    </w:tbl>
    <w:p w:rsidR="006E7042" w:rsidRPr="00A530FF" w:rsidRDefault="006E7042" w:rsidP="006E7042">
      <w:pPr>
        <w:spacing w:line="260" w:lineRule="atLeast"/>
        <w:rPr>
          <w:sz w:val="22"/>
          <w:szCs w:val="22"/>
          <w:lang w:val="hu-HU"/>
        </w:rPr>
      </w:pPr>
    </w:p>
    <w:p w:rsidR="000A20D6" w:rsidRDefault="006E7042" w:rsidP="00B646A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highlight w:val="lightGray"/>
          <w:lang w:val="hu-HU"/>
        </w:rPr>
        <w:t xml:space="preserve">Ferriprox </w:t>
      </w:r>
      <w:r w:rsidR="006841A4" w:rsidRPr="00A530FF">
        <w:rPr>
          <w:sz w:val="22"/>
          <w:szCs w:val="22"/>
          <w:highlight w:val="lightGray"/>
          <w:lang w:val="hu-HU"/>
        </w:rPr>
        <w:t>10</w:t>
      </w:r>
      <w:r w:rsidRPr="00A530FF">
        <w:rPr>
          <w:sz w:val="22"/>
          <w:szCs w:val="22"/>
          <w:highlight w:val="lightGray"/>
          <w:lang w:val="hu-HU"/>
        </w:rPr>
        <w:t>00</w:t>
      </w:r>
      <w:r w:rsidR="00B646AF">
        <w:rPr>
          <w:sz w:val="22"/>
          <w:szCs w:val="22"/>
          <w:highlight w:val="lightGray"/>
          <w:lang w:val="hu-HU"/>
        </w:rPr>
        <w:t> </w:t>
      </w:r>
      <w:r w:rsidRPr="00A530FF">
        <w:rPr>
          <w:sz w:val="22"/>
          <w:szCs w:val="22"/>
          <w:highlight w:val="lightGray"/>
          <w:lang w:val="hu-HU"/>
        </w:rPr>
        <w:t>mg</w:t>
      </w: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</w:p>
    <w:p w:rsidR="00362F86" w:rsidRPr="0099215F" w:rsidRDefault="00362F86" w:rsidP="00362F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both"/>
        <w:outlineLvl w:val="0"/>
        <w:rPr>
          <w:i/>
          <w:noProof/>
          <w:sz w:val="22"/>
          <w:szCs w:val="22"/>
        </w:rPr>
      </w:pPr>
      <w:r>
        <w:rPr>
          <w:b/>
          <w:sz w:val="22"/>
          <w:szCs w:val="22"/>
          <w:lang w:val="hu-HU"/>
        </w:rPr>
        <w:t>17.</w:t>
      </w:r>
      <w:r>
        <w:rPr>
          <w:b/>
          <w:sz w:val="22"/>
          <w:szCs w:val="22"/>
          <w:lang w:val="hu-HU"/>
        </w:rPr>
        <w:tab/>
      </w:r>
      <w:r w:rsidRPr="0099215F">
        <w:rPr>
          <w:b/>
          <w:sz w:val="22"/>
          <w:szCs w:val="22"/>
          <w:lang w:val="hu-HU"/>
        </w:rPr>
        <w:t>EGYEDI AZONOSÍTÓ – 2D VONALKÓD</w:t>
      </w:r>
    </w:p>
    <w:p w:rsidR="00362F86" w:rsidRPr="0099215F" w:rsidRDefault="00362F86" w:rsidP="00362F86">
      <w:pPr>
        <w:rPr>
          <w:noProof/>
          <w:sz w:val="22"/>
          <w:szCs w:val="22"/>
        </w:rPr>
      </w:pP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  <w:r w:rsidRPr="0099215F">
        <w:rPr>
          <w:noProof/>
          <w:sz w:val="22"/>
          <w:szCs w:val="22"/>
          <w:highlight w:val="lightGray"/>
        </w:rPr>
        <w:t>Egyedi azonosítójú 2D vonalkóddal ellátva.</w:t>
      </w:r>
    </w:p>
    <w:p w:rsidR="00362F86" w:rsidRPr="0099215F" w:rsidRDefault="00362F86" w:rsidP="00362F86">
      <w:pPr>
        <w:rPr>
          <w:noProof/>
          <w:sz w:val="22"/>
          <w:szCs w:val="22"/>
          <w:shd w:val="clear" w:color="auto" w:fill="CCCCCC"/>
        </w:rPr>
      </w:pPr>
    </w:p>
    <w:p w:rsidR="00362F86" w:rsidRPr="0099215F" w:rsidRDefault="00362F86" w:rsidP="00362F86">
      <w:pPr>
        <w:rPr>
          <w:noProof/>
          <w:sz w:val="22"/>
          <w:szCs w:val="22"/>
        </w:rPr>
      </w:pPr>
    </w:p>
    <w:p w:rsidR="00362F86" w:rsidRPr="0099215F" w:rsidRDefault="00362F86" w:rsidP="00362F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utlineLvl w:val="0"/>
        <w:rPr>
          <w:b/>
          <w:sz w:val="22"/>
          <w:szCs w:val="22"/>
          <w:lang w:val="hu-HU"/>
        </w:rPr>
      </w:pPr>
      <w:r>
        <w:rPr>
          <w:b/>
          <w:sz w:val="22"/>
          <w:szCs w:val="22"/>
          <w:lang w:val="hu-HU"/>
        </w:rPr>
        <w:t>18.</w:t>
      </w:r>
      <w:r>
        <w:rPr>
          <w:b/>
          <w:sz w:val="22"/>
          <w:szCs w:val="22"/>
          <w:lang w:val="hu-HU"/>
        </w:rPr>
        <w:tab/>
      </w:r>
      <w:r w:rsidRPr="0099215F">
        <w:rPr>
          <w:b/>
          <w:sz w:val="22"/>
          <w:szCs w:val="22"/>
          <w:lang w:val="hu-HU"/>
        </w:rPr>
        <w:t>EGYEDI AZONOSÍTÓ OLVASHATÓ FORMÁTUMA</w:t>
      </w:r>
    </w:p>
    <w:p w:rsidR="00362F86" w:rsidRPr="0099215F" w:rsidRDefault="00362F86" w:rsidP="00362F86">
      <w:pPr>
        <w:rPr>
          <w:noProof/>
          <w:sz w:val="22"/>
          <w:szCs w:val="22"/>
        </w:rPr>
      </w:pPr>
    </w:p>
    <w:p w:rsidR="00362F86" w:rsidRPr="001B79F1" w:rsidRDefault="00362F86" w:rsidP="00362F86">
      <w:pPr>
        <w:rPr>
          <w:noProof/>
          <w:sz w:val="22"/>
          <w:szCs w:val="22"/>
        </w:rPr>
      </w:pPr>
      <w:r w:rsidRPr="0099215F">
        <w:rPr>
          <w:noProof/>
          <w:sz w:val="22"/>
          <w:szCs w:val="22"/>
        </w:rPr>
        <w:t xml:space="preserve">PC </w:t>
      </w:r>
    </w:p>
    <w:p w:rsidR="00362F86" w:rsidRPr="0099215F" w:rsidRDefault="00362F86" w:rsidP="00362F86">
      <w:pPr>
        <w:rPr>
          <w:sz w:val="22"/>
          <w:szCs w:val="22"/>
        </w:rPr>
      </w:pPr>
      <w:r w:rsidRPr="0099215F">
        <w:rPr>
          <w:sz w:val="22"/>
          <w:szCs w:val="22"/>
        </w:rPr>
        <w:t xml:space="preserve">SN </w:t>
      </w:r>
    </w:p>
    <w:p w:rsidR="00362F86" w:rsidRPr="0099215F" w:rsidRDefault="00362F86" w:rsidP="00362F86">
      <w:pPr>
        <w:rPr>
          <w:sz w:val="22"/>
          <w:szCs w:val="22"/>
        </w:rPr>
      </w:pPr>
      <w:r w:rsidRPr="0099215F">
        <w:rPr>
          <w:sz w:val="22"/>
          <w:szCs w:val="22"/>
        </w:rPr>
        <w:t xml:space="preserve">NN </w:t>
      </w:r>
    </w:p>
    <w:p w:rsidR="00362F86" w:rsidRPr="0099215F" w:rsidRDefault="00362F86" w:rsidP="00362F86">
      <w:pPr>
        <w:rPr>
          <w:noProof/>
          <w:vanish/>
          <w:sz w:val="22"/>
          <w:szCs w:val="22"/>
        </w:rPr>
      </w:pPr>
    </w:p>
    <w:p w:rsidR="00362F86" w:rsidRPr="00A530FF" w:rsidRDefault="00362F86" w:rsidP="00B646AF">
      <w:pPr>
        <w:rPr>
          <w:sz w:val="22"/>
          <w:szCs w:val="22"/>
          <w:lang w:val="hu-HU"/>
        </w:rPr>
      </w:pPr>
    </w:p>
    <w:p w:rsidR="00DA1F84" w:rsidRPr="00A530FF" w:rsidRDefault="000A20D6" w:rsidP="000A20D6">
      <w:pPr>
        <w:pStyle w:val="EndnoteText"/>
        <w:tabs>
          <w:tab w:val="clear" w:pos="567"/>
        </w:tabs>
        <w:rPr>
          <w:szCs w:val="22"/>
          <w:lang w:val="hu-HU"/>
        </w:rPr>
      </w:pPr>
      <w:r w:rsidRPr="00A530FF">
        <w:rPr>
          <w:szCs w:val="22"/>
          <w:lang w:val="hu-HU"/>
        </w:rPr>
        <w:br w:type="page"/>
      </w: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rPr>
          <w:sz w:val="22"/>
          <w:szCs w:val="22"/>
          <w:lang w:val="hu-HU"/>
        </w:rPr>
      </w:pPr>
    </w:p>
    <w:p w:rsidR="00DA1F84" w:rsidRPr="00A530FF" w:rsidRDefault="00DA1F84" w:rsidP="000A0A3A">
      <w:pPr>
        <w:pStyle w:val="TitleA"/>
      </w:pPr>
      <w:r w:rsidRPr="00A530FF">
        <w:t>B. BETEGTÁJÉKOZTATÓ</w:t>
      </w:r>
    </w:p>
    <w:p w:rsidR="00DA1F84" w:rsidRPr="00A530FF" w:rsidRDefault="00DA1F84" w:rsidP="00837D87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br w:type="page"/>
      </w:r>
      <w:r w:rsidR="00283841" w:rsidRPr="00A530FF">
        <w:rPr>
          <w:b/>
          <w:sz w:val="22"/>
          <w:szCs w:val="22"/>
          <w:lang w:val="hu-HU"/>
        </w:rPr>
        <w:t>Betegtájékoztató: Információk a felhasználó számára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Ferriprox 500 mg filmtabletta</w:t>
      </w:r>
    </w:p>
    <w:p w:rsidR="00DA1F84" w:rsidRPr="00A530FF" w:rsidRDefault="003E44E4">
      <w:pPr>
        <w:jc w:val="center"/>
        <w:rPr>
          <w:bCs/>
          <w:sz w:val="22"/>
          <w:szCs w:val="22"/>
          <w:lang w:val="hu-HU"/>
        </w:rPr>
      </w:pPr>
      <w:r>
        <w:rPr>
          <w:bCs/>
          <w:sz w:val="22"/>
          <w:szCs w:val="22"/>
          <w:lang w:val="hu-HU"/>
        </w:rPr>
        <w:t>d</w:t>
      </w:r>
      <w:r w:rsidR="00DA1F84" w:rsidRPr="00A530FF">
        <w:rPr>
          <w:bCs/>
          <w:sz w:val="22"/>
          <w:szCs w:val="22"/>
          <w:lang w:val="hu-HU"/>
        </w:rPr>
        <w:t>eferipron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Mielőtt </w:t>
      </w:r>
      <w:r w:rsidR="00307F98" w:rsidRPr="00A530FF">
        <w:rPr>
          <w:b/>
          <w:sz w:val="22"/>
          <w:szCs w:val="22"/>
          <w:lang w:val="hu-HU"/>
        </w:rPr>
        <w:t xml:space="preserve">elkezdi </w:t>
      </w:r>
      <w:r w:rsidRPr="00A530FF">
        <w:rPr>
          <w:b/>
          <w:sz w:val="22"/>
          <w:szCs w:val="22"/>
          <w:lang w:val="hu-HU"/>
        </w:rPr>
        <w:t>szedni ezt a gyógyszert, olvassa el figyelmesen az alábbi betegtájékoztatót</w:t>
      </w:r>
      <w:r w:rsidR="00283841" w:rsidRPr="00A530FF">
        <w:rPr>
          <w:b/>
          <w:sz w:val="22"/>
          <w:szCs w:val="22"/>
          <w:lang w:val="hu-HU"/>
        </w:rPr>
        <w:t>, me</w:t>
      </w:r>
      <w:r w:rsidR="00593EFA" w:rsidRPr="00A530FF">
        <w:rPr>
          <w:b/>
          <w:sz w:val="22"/>
          <w:szCs w:val="22"/>
          <w:lang w:val="hu-HU"/>
        </w:rPr>
        <w:t>rt</w:t>
      </w:r>
      <w:r w:rsidR="00283841" w:rsidRPr="00A530FF">
        <w:rPr>
          <w:b/>
          <w:sz w:val="22"/>
          <w:szCs w:val="22"/>
          <w:lang w:val="hu-HU"/>
        </w:rPr>
        <w:t xml:space="preserve"> az Ön számára fontos információkat tartalmaz</w:t>
      </w:r>
      <w:r w:rsidRPr="00A530FF">
        <w:rPr>
          <w:b/>
          <w:sz w:val="22"/>
          <w:szCs w:val="22"/>
          <w:lang w:val="hu-HU"/>
        </w:rPr>
        <w:t>.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Tartsa meg a betegtájékoztatót, mert a benne szereplő információkra a későbbiekben is szüksége lehet.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További kérdéseivel forduljon </w:t>
      </w:r>
      <w:r w:rsidR="00283841" w:rsidRPr="00A530FF">
        <w:rPr>
          <w:szCs w:val="22"/>
          <w:lang w:val="hu-HU"/>
        </w:rPr>
        <w:t>kezelő</w:t>
      </w:r>
      <w:r w:rsidRPr="00A530FF">
        <w:rPr>
          <w:szCs w:val="22"/>
          <w:lang w:val="hu-HU"/>
        </w:rPr>
        <w:t>orvosához vagy gyógyszerészéhez.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Ezt a gyógyszert az orvos</w:t>
      </w:r>
      <w:r w:rsidR="00283841" w:rsidRPr="00A530FF">
        <w:rPr>
          <w:szCs w:val="22"/>
          <w:lang w:val="hu-HU"/>
        </w:rPr>
        <w:t xml:space="preserve"> kizárólag</w:t>
      </w:r>
      <w:r w:rsidRPr="00A530FF">
        <w:rPr>
          <w:szCs w:val="22"/>
          <w:lang w:val="hu-HU"/>
        </w:rPr>
        <w:t xml:space="preserve"> Önnek írta fel. Ne adja át a készítményt másnak, mert számára ártalmas lehet még abban az esetben is, ha </w:t>
      </w:r>
      <w:r w:rsidR="00DF2BB5" w:rsidRPr="00A530FF">
        <w:rPr>
          <w:szCs w:val="22"/>
          <w:lang w:val="hu-HU"/>
        </w:rPr>
        <w:t xml:space="preserve">a betegsége </w:t>
      </w:r>
      <w:r w:rsidRPr="00A530FF">
        <w:rPr>
          <w:szCs w:val="22"/>
          <w:lang w:val="hu-HU"/>
        </w:rPr>
        <w:t>tünetei az Önéhez hasonlóak.</w:t>
      </w:r>
    </w:p>
    <w:p w:rsidR="00DA1F84" w:rsidRPr="00A530FF" w:rsidRDefault="00DA1F84" w:rsidP="00E652CD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Ha </w:t>
      </w:r>
      <w:r w:rsidR="000D3867" w:rsidRPr="00A530FF">
        <w:rPr>
          <w:szCs w:val="22"/>
          <w:lang w:val="hu-HU"/>
        </w:rPr>
        <w:t>Önnél bármilyen</w:t>
      </w:r>
      <w:r w:rsidRPr="00A530FF">
        <w:rPr>
          <w:szCs w:val="22"/>
          <w:lang w:val="hu-HU"/>
        </w:rPr>
        <w:t xml:space="preserve"> mellékhatás</w:t>
      </w:r>
      <w:r w:rsidR="000D3867" w:rsidRPr="00A530FF">
        <w:rPr>
          <w:szCs w:val="22"/>
          <w:lang w:val="hu-HU"/>
        </w:rPr>
        <w:t xml:space="preserve"> jelentkezik</w:t>
      </w:r>
      <w:r w:rsidRPr="00A530FF">
        <w:rPr>
          <w:szCs w:val="22"/>
          <w:lang w:val="hu-HU"/>
        </w:rPr>
        <w:t xml:space="preserve">, </w:t>
      </w:r>
      <w:r w:rsidR="000D3867" w:rsidRPr="00A530FF">
        <w:rPr>
          <w:szCs w:val="22"/>
          <w:lang w:val="hu-HU"/>
        </w:rPr>
        <w:t>tájékoztassa erről kezelő</w:t>
      </w:r>
      <w:r w:rsidRPr="00A530FF">
        <w:rPr>
          <w:szCs w:val="22"/>
          <w:lang w:val="hu-HU"/>
        </w:rPr>
        <w:t>orvosát vagy gyógyszerészét.</w:t>
      </w:r>
      <w:r w:rsidR="000D3867" w:rsidRPr="00A530FF">
        <w:rPr>
          <w:szCs w:val="22"/>
          <w:lang w:val="hu-HU"/>
        </w:rPr>
        <w:t xml:space="preserve"> Ez a betegtájékoztatóban fel nem sorolt bármely</w:t>
      </w:r>
      <w:r w:rsidR="00D37D39" w:rsidRPr="00A530FF">
        <w:rPr>
          <w:szCs w:val="22"/>
          <w:lang w:val="hu-HU"/>
        </w:rPr>
        <w:t>en</w:t>
      </w:r>
      <w:r w:rsidR="000D3867" w:rsidRPr="00A530FF">
        <w:rPr>
          <w:szCs w:val="22"/>
          <w:lang w:val="hu-HU"/>
        </w:rPr>
        <w:t xml:space="preserve"> lehetséges mellékhatásra is vonatkozik.</w:t>
      </w:r>
      <w:r w:rsidR="00612330" w:rsidRPr="00A530FF">
        <w:rPr>
          <w:lang w:val="hu-HU"/>
        </w:rPr>
        <w:t xml:space="preserve"> Lásd 4. </w:t>
      </w:r>
      <w:r w:rsidR="004327DC" w:rsidRPr="00A530FF">
        <w:rPr>
          <w:lang w:val="hu-HU"/>
        </w:rPr>
        <w:t>p</w:t>
      </w:r>
      <w:r w:rsidR="00612330" w:rsidRPr="00A530FF">
        <w:rPr>
          <w:lang w:val="hu-HU"/>
        </w:rPr>
        <w:t>ont</w:t>
      </w:r>
      <w:r w:rsidR="004327DC" w:rsidRPr="00A530FF">
        <w:rPr>
          <w:lang w:val="hu-HU"/>
        </w:rPr>
        <w:t>.</w:t>
      </w:r>
    </w:p>
    <w:p w:rsidR="00CC1581" w:rsidRPr="00A530FF" w:rsidRDefault="00092570" w:rsidP="00E652CD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betegtájékoztatóhoz </w:t>
      </w:r>
      <w:r w:rsidR="00CC1581" w:rsidRPr="00A530FF">
        <w:rPr>
          <w:szCs w:val="22"/>
          <w:lang w:val="hu-HU"/>
        </w:rPr>
        <w:t xml:space="preserve">mellékelve található egy emlékeztető </w:t>
      </w:r>
      <w:r w:rsidRPr="00A530FF">
        <w:rPr>
          <w:szCs w:val="22"/>
          <w:lang w:val="hu-HU"/>
        </w:rPr>
        <w:t>kártya a betegek/gondozók számára. Kérjük, tépje le, töltse ki, olvassa el figyelmesen, és tartsa magánál</w:t>
      </w:r>
      <w:r w:rsidR="00CC1581" w:rsidRPr="00A530FF">
        <w:rPr>
          <w:szCs w:val="22"/>
          <w:lang w:val="hu-HU"/>
        </w:rPr>
        <w:t>.</w:t>
      </w:r>
      <w:r w:rsidR="002F3841" w:rsidRPr="002F3841">
        <w:rPr>
          <w:szCs w:val="22"/>
          <w:lang w:val="hu"/>
        </w:rPr>
        <w:t xml:space="preserve"> </w:t>
      </w:r>
      <w:r w:rsidR="002F3841" w:rsidRPr="00A076D1">
        <w:rPr>
          <w:szCs w:val="22"/>
          <w:lang w:val="hu"/>
        </w:rPr>
        <w:t>Adja át a kártyát az orvosának, ha bármilyen fertőzésre utaló jelet, például lázat, torokfájást vagy influenzaszerű tüneteket</w:t>
      </w:r>
      <w:r w:rsidR="00E652CD" w:rsidRPr="00E652CD">
        <w:rPr>
          <w:szCs w:val="22"/>
          <w:lang w:val="hu"/>
        </w:rPr>
        <w:t xml:space="preserve"> </w:t>
      </w:r>
      <w:r w:rsidR="00E652CD" w:rsidRPr="00A076D1">
        <w:rPr>
          <w:szCs w:val="22"/>
          <w:lang w:val="hu"/>
        </w:rPr>
        <w:t>észlel</w:t>
      </w:r>
      <w:r w:rsidR="002F3841" w:rsidRPr="00A076D1">
        <w:rPr>
          <w:szCs w:val="22"/>
          <w:lang w:val="hu"/>
        </w:rPr>
        <w:t>.</w:t>
      </w:r>
    </w:p>
    <w:p w:rsidR="00DA1F84" w:rsidRPr="00A530FF" w:rsidRDefault="00DA1F84" w:rsidP="00F75EF0">
      <w:pPr>
        <w:ind w:right="-2"/>
        <w:rPr>
          <w:b/>
          <w:sz w:val="22"/>
          <w:szCs w:val="22"/>
          <w:u w:val="single"/>
          <w:lang w:val="hu-HU"/>
        </w:rPr>
      </w:pPr>
    </w:p>
    <w:p w:rsidR="00DA1F84" w:rsidRPr="00A530FF" w:rsidRDefault="00DA1F84">
      <w:pPr>
        <w:spacing w:line="260" w:lineRule="atLeast"/>
        <w:ind w:right="-2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A betegtájékoztató tartalma:</w:t>
      </w:r>
    </w:p>
    <w:p w:rsidR="00DA1F84" w:rsidRPr="00A530FF" w:rsidRDefault="00DA1F84">
      <w:pPr>
        <w:spacing w:line="260" w:lineRule="atLeast"/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1.</w:t>
      </w:r>
      <w:r w:rsidRPr="00A530FF">
        <w:rPr>
          <w:sz w:val="22"/>
          <w:szCs w:val="22"/>
          <w:lang w:val="hu-HU"/>
        </w:rPr>
        <w:tab/>
        <w:t>Milyen típusú gyógyszer a Ferriprox és milyen betegségek esetén alkalmazható?</w:t>
      </w:r>
    </w:p>
    <w:p w:rsidR="00DA1F84" w:rsidRPr="00A530FF" w:rsidRDefault="00DA1F84">
      <w:pPr>
        <w:spacing w:line="260" w:lineRule="atLeast"/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2.</w:t>
      </w:r>
      <w:r w:rsidRPr="00A530FF">
        <w:rPr>
          <w:sz w:val="22"/>
          <w:szCs w:val="22"/>
          <w:lang w:val="hu-HU"/>
        </w:rPr>
        <w:tab/>
        <w:t>Tudnivalók a Ferriprox szedése előtt</w:t>
      </w:r>
    </w:p>
    <w:p w:rsidR="00DA1F84" w:rsidRPr="00A530FF" w:rsidRDefault="00DA1F84">
      <w:pPr>
        <w:spacing w:line="260" w:lineRule="atLeast"/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3.</w:t>
      </w:r>
      <w:r w:rsidRPr="00A530FF">
        <w:rPr>
          <w:sz w:val="22"/>
          <w:szCs w:val="22"/>
          <w:lang w:val="hu-HU"/>
        </w:rPr>
        <w:tab/>
        <w:t>Hogyan kell szedni a Ferriprox-ot</w:t>
      </w:r>
      <w:r w:rsidR="00C54A76" w:rsidRPr="00A530FF">
        <w:rPr>
          <w:sz w:val="22"/>
          <w:szCs w:val="22"/>
          <w:lang w:val="hu-HU"/>
        </w:rPr>
        <w:t>?</w:t>
      </w:r>
    </w:p>
    <w:p w:rsidR="00DA1F84" w:rsidRPr="00A530FF" w:rsidRDefault="00DA1F84">
      <w:pPr>
        <w:spacing w:line="260" w:lineRule="atLeast"/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4.</w:t>
      </w:r>
      <w:r w:rsidRPr="00A530FF">
        <w:rPr>
          <w:sz w:val="22"/>
          <w:szCs w:val="22"/>
          <w:lang w:val="hu-HU"/>
        </w:rPr>
        <w:tab/>
        <w:t>Lehetséges mellékhatások</w:t>
      </w:r>
    </w:p>
    <w:p w:rsidR="00DA1F84" w:rsidRPr="00A530FF" w:rsidRDefault="00DA1F84">
      <w:pPr>
        <w:spacing w:line="260" w:lineRule="atLeast"/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5.</w:t>
      </w:r>
      <w:r w:rsidRPr="00A530FF">
        <w:rPr>
          <w:sz w:val="22"/>
          <w:szCs w:val="22"/>
          <w:lang w:val="hu-HU"/>
        </w:rPr>
        <w:tab/>
        <w:t>Hogyan kell a Ferriprox-ot tárolni?</w:t>
      </w:r>
    </w:p>
    <w:p w:rsidR="00DA1F84" w:rsidRPr="00A530FF" w:rsidRDefault="00DA1F84">
      <w:pPr>
        <w:spacing w:line="260" w:lineRule="atLeast"/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6.</w:t>
      </w:r>
      <w:r w:rsidRPr="00A530FF">
        <w:rPr>
          <w:sz w:val="22"/>
          <w:szCs w:val="22"/>
          <w:lang w:val="hu-HU"/>
        </w:rPr>
        <w:tab/>
      </w:r>
      <w:r w:rsidR="000D3867" w:rsidRPr="00A530FF">
        <w:rPr>
          <w:sz w:val="22"/>
          <w:szCs w:val="22"/>
          <w:lang w:val="hu-HU"/>
        </w:rPr>
        <w:t>A csomagolás tartalma és egyéb</w:t>
      </w:r>
      <w:r w:rsidRPr="00A530FF">
        <w:rPr>
          <w:sz w:val="22"/>
          <w:szCs w:val="22"/>
          <w:lang w:val="hu-HU"/>
        </w:rPr>
        <w:t xml:space="preserve"> információk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0A0A3A">
      <w:pPr>
        <w:pStyle w:val="WW-Szvegtrzs212"/>
        <w:tabs>
          <w:tab w:val="left" w:pos="567"/>
        </w:tabs>
        <w:suppressAutoHyphens w:val="0"/>
        <w:spacing w:line="260" w:lineRule="exact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1.</w:t>
      </w:r>
      <w:r w:rsidRPr="00A530FF">
        <w:rPr>
          <w:szCs w:val="22"/>
          <w:lang w:val="hu-HU" w:eastAsia="en-US"/>
        </w:rPr>
        <w:tab/>
        <w:t>M</w:t>
      </w:r>
      <w:r w:rsidR="001D1BEA" w:rsidRPr="00A530FF">
        <w:rPr>
          <w:szCs w:val="22"/>
          <w:lang w:val="hu-HU"/>
        </w:rPr>
        <w:t>ilyen típusú gyógyszer a Ferriprox és milyen betegségek esetén alkalmazható</w:t>
      </w:r>
      <w:r w:rsidRPr="00A530FF">
        <w:rPr>
          <w:szCs w:val="22"/>
          <w:lang w:val="hu-HU" w:eastAsia="en-US"/>
        </w:rPr>
        <w:t>?</w:t>
      </w:r>
    </w:p>
    <w:p w:rsidR="00DA1F84" w:rsidRPr="00A530FF" w:rsidRDefault="00DA1F8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</w:p>
    <w:p w:rsidR="00290EB2" w:rsidRPr="00A530FF" w:rsidRDefault="00222FC5" w:rsidP="0006579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</w:t>
      </w:r>
      <w:r w:rsidR="006F2CF6" w:rsidRPr="00A530FF">
        <w:rPr>
          <w:sz w:val="22"/>
          <w:szCs w:val="22"/>
          <w:lang w:val="hu-HU"/>
        </w:rPr>
        <w:t xml:space="preserve"> </w:t>
      </w:r>
      <w:r w:rsidR="00065795" w:rsidRPr="00065795">
        <w:rPr>
          <w:sz w:val="22"/>
          <w:szCs w:val="22"/>
          <w:lang w:val="hu-HU"/>
        </w:rPr>
        <w:t>deferipron hatóanyagot tartalmaz</w:t>
      </w:r>
      <w:r w:rsidRPr="00A530FF">
        <w:rPr>
          <w:sz w:val="22"/>
          <w:szCs w:val="22"/>
          <w:lang w:val="hu-HU"/>
        </w:rPr>
        <w:t xml:space="preserve">. A Ferriprox </w:t>
      </w:r>
      <w:r w:rsidR="00287F37">
        <w:rPr>
          <w:sz w:val="22"/>
          <w:szCs w:val="22"/>
          <w:lang w:val="hu-HU"/>
        </w:rPr>
        <w:t xml:space="preserve">egy </w:t>
      </w:r>
      <w:r w:rsidR="00B6527F" w:rsidRPr="00B6527F">
        <w:rPr>
          <w:sz w:val="22"/>
          <w:szCs w:val="22"/>
          <w:lang w:val="hu-HU"/>
        </w:rPr>
        <w:t xml:space="preserve">vaskelátor </w:t>
      </w:r>
      <w:r w:rsidR="00287F37">
        <w:rPr>
          <w:sz w:val="22"/>
          <w:szCs w:val="22"/>
          <w:lang w:val="hu-HU"/>
        </w:rPr>
        <w:t xml:space="preserve">– </w:t>
      </w:r>
      <w:r w:rsidRPr="00A530FF">
        <w:rPr>
          <w:sz w:val="22"/>
          <w:szCs w:val="22"/>
          <w:lang w:val="hu-HU"/>
        </w:rPr>
        <w:t xml:space="preserve">olyan gyógyszer, amely eltávolítja a </w:t>
      </w:r>
      <w:r w:rsidR="00B6527F" w:rsidRPr="00B6527F">
        <w:rPr>
          <w:sz w:val="22"/>
          <w:szCs w:val="22"/>
          <w:lang w:val="hu-HU"/>
        </w:rPr>
        <w:t xml:space="preserve">felesleges </w:t>
      </w:r>
      <w:r w:rsidRPr="00A530FF">
        <w:rPr>
          <w:sz w:val="22"/>
          <w:szCs w:val="22"/>
          <w:lang w:val="hu-HU"/>
        </w:rPr>
        <w:t>vasat a szervezetből.</w:t>
      </w:r>
    </w:p>
    <w:p w:rsidR="00222FC5" w:rsidRPr="00A530FF" w:rsidRDefault="00222FC5" w:rsidP="00222FC5">
      <w:pPr>
        <w:rPr>
          <w:sz w:val="22"/>
          <w:szCs w:val="22"/>
          <w:lang w:val="hu-HU"/>
        </w:rPr>
      </w:pPr>
    </w:p>
    <w:p w:rsidR="00472420" w:rsidRPr="00A530FF" w:rsidRDefault="00472420" w:rsidP="0047242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az úgynevezett </w:t>
      </w:r>
      <w:r w:rsidR="00E652CD">
        <w:rPr>
          <w:sz w:val="22"/>
          <w:szCs w:val="22"/>
          <w:lang w:val="hu-HU"/>
        </w:rPr>
        <w:t xml:space="preserve">talasszémia </w:t>
      </w:r>
      <w:r w:rsidRPr="00A530FF">
        <w:rPr>
          <w:sz w:val="22"/>
          <w:szCs w:val="22"/>
          <w:lang w:val="hu-HU"/>
        </w:rPr>
        <w:t xml:space="preserve">majorban szenvedő betegeknél alkalmazott gyakori vérátömlesztéssel okozott vastúlterhelés kezelésére szolgál, </w:t>
      </w:r>
      <w:r>
        <w:rPr>
          <w:sz w:val="22"/>
          <w:szCs w:val="22"/>
          <w:lang w:val="hu-HU"/>
        </w:rPr>
        <w:t xml:space="preserve">ha a jelenlegi </w:t>
      </w:r>
      <w:r w:rsidRPr="00750901">
        <w:rPr>
          <w:sz w:val="22"/>
          <w:szCs w:val="22"/>
          <w:lang w:val="hu-HU"/>
        </w:rPr>
        <w:t xml:space="preserve">kelátterápia </w:t>
      </w:r>
      <w:r w:rsidRPr="00A530FF">
        <w:rPr>
          <w:sz w:val="22"/>
          <w:szCs w:val="22"/>
          <w:lang w:val="hu-HU"/>
        </w:rPr>
        <w:t>ellenjavallt vagy nem megfelelő.</w:t>
      </w:r>
    </w:p>
    <w:p w:rsidR="00472420" w:rsidRPr="00A530FF" w:rsidRDefault="00472420" w:rsidP="00222FC5">
      <w:pPr>
        <w:rPr>
          <w:sz w:val="22"/>
          <w:szCs w:val="22"/>
          <w:lang w:val="hu-HU"/>
        </w:rPr>
      </w:pPr>
    </w:p>
    <w:p w:rsidR="00DA1F84" w:rsidRPr="00A530FF" w:rsidRDefault="00DA1F84" w:rsidP="003F4864">
      <w:pPr>
        <w:rPr>
          <w:sz w:val="22"/>
          <w:szCs w:val="22"/>
          <w:lang w:val="hu-HU"/>
        </w:rPr>
      </w:pPr>
    </w:p>
    <w:p w:rsidR="00DA1F84" w:rsidRPr="00A530FF" w:rsidRDefault="00DA1F84">
      <w:pPr>
        <w:pStyle w:val="WW-Szvegtrzs212"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2.</w:t>
      </w:r>
      <w:r w:rsidRPr="00A530FF">
        <w:rPr>
          <w:szCs w:val="22"/>
          <w:lang w:val="hu-HU" w:eastAsia="en-US"/>
        </w:rPr>
        <w:tab/>
        <w:t>T</w:t>
      </w:r>
      <w:r w:rsidR="001D1BEA" w:rsidRPr="00A530FF">
        <w:rPr>
          <w:szCs w:val="22"/>
          <w:lang w:val="hu-HU"/>
        </w:rPr>
        <w:t>udnivalók a Ferriprox szedése előtt</w:t>
      </w:r>
    </w:p>
    <w:p w:rsidR="00DA1F84" w:rsidRPr="00A530FF" w:rsidRDefault="00DA1F84">
      <w:pPr>
        <w:ind w:left="567" w:hanging="567"/>
        <w:rPr>
          <w:b/>
          <w:sz w:val="22"/>
          <w:szCs w:val="22"/>
          <w:lang w:val="hu-HU"/>
        </w:rPr>
      </w:pPr>
    </w:p>
    <w:p w:rsidR="00DA1F84" w:rsidRPr="00A530FF" w:rsidRDefault="00DA1F84">
      <w:pPr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Ne szedje a Ferriprox</w:t>
      </w:r>
      <w:r w:rsidR="002D56C1" w:rsidRPr="00A530FF">
        <w:rPr>
          <w:b/>
          <w:sz w:val="22"/>
          <w:szCs w:val="22"/>
          <w:lang w:val="hu-HU"/>
        </w:rPr>
        <w:t>-</w:t>
      </w:r>
      <w:r w:rsidRPr="00A530FF">
        <w:rPr>
          <w:b/>
          <w:sz w:val="22"/>
          <w:szCs w:val="22"/>
          <w:lang w:val="hu-HU"/>
        </w:rPr>
        <w:t>ot:</w:t>
      </w:r>
    </w:p>
    <w:p w:rsidR="00DA1F84" w:rsidRPr="00A530FF" w:rsidRDefault="00DA1F84" w:rsidP="00D53463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ha allergiás a deferipronra vagy a </w:t>
      </w:r>
      <w:r w:rsidR="001D1BEA" w:rsidRPr="00A530FF">
        <w:rPr>
          <w:szCs w:val="22"/>
          <w:lang w:val="hu-HU"/>
        </w:rPr>
        <w:t>gyógyszer (6. pontban felsorolt)</w:t>
      </w:r>
      <w:r w:rsidRPr="00A530FF">
        <w:rPr>
          <w:szCs w:val="22"/>
          <w:lang w:val="hu-HU"/>
        </w:rPr>
        <w:t xml:space="preserve"> egyéb összetevőjére.</w:t>
      </w:r>
    </w:p>
    <w:p w:rsidR="00187644" w:rsidRPr="00A530FF" w:rsidRDefault="00187644" w:rsidP="00D53463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amennyiben kórtörténetében </w:t>
      </w:r>
      <w:r w:rsidR="008E1F9F" w:rsidRPr="00A530FF">
        <w:rPr>
          <w:szCs w:val="22"/>
          <w:lang w:val="hu-HU"/>
        </w:rPr>
        <w:t>szerepel</w:t>
      </w:r>
      <w:r w:rsidR="005766AE" w:rsidRPr="00A530FF">
        <w:rPr>
          <w:szCs w:val="22"/>
          <w:lang w:val="hu-HU"/>
        </w:rPr>
        <w:t xml:space="preserve"> időről-időre megjelenő neutropénia</w:t>
      </w:r>
      <w:r w:rsidRPr="00A530FF">
        <w:rPr>
          <w:szCs w:val="22"/>
          <w:lang w:val="hu-HU"/>
        </w:rPr>
        <w:t xml:space="preserve"> (alacsony fehérvérsejt</w:t>
      </w:r>
      <w:r w:rsidR="00EE7646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</w:t>
      </w:r>
      <w:r w:rsidR="00B73956" w:rsidRPr="00A530FF">
        <w:rPr>
          <w:szCs w:val="22"/>
          <w:lang w:val="hu-HU"/>
        </w:rPr>
        <w:t>[</w:t>
      </w:r>
      <w:r w:rsidRPr="00A530FF">
        <w:rPr>
          <w:szCs w:val="22"/>
          <w:lang w:val="hu-HU"/>
        </w:rPr>
        <w:t>neutrofilszám</w:t>
      </w:r>
      <w:r w:rsidR="00EE7646">
        <w:rPr>
          <w:szCs w:val="22"/>
          <w:lang w:val="hu-HU"/>
        </w:rPr>
        <w:t>]</w:t>
      </w:r>
      <w:r w:rsidRPr="00A530FF">
        <w:rPr>
          <w:szCs w:val="22"/>
          <w:lang w:val="hu-HU"/>
        </w:rPr>
        <w:t>).</w:t>
      </w:r>
    </w:p>
    <w:p w:rsidR="00187644" w:rsidRPr="00A530FF" w:rsidRDefault="00187644" w:rsidP="00D53463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amennyiben kórtörténetében </w:t>
      </w:r>
      <w:r w:rsidR="00374851" w:rsidRPr="00A530FF">
        <w:rPr>
          <w:szCs w:val="22"/>
          <w:lang w:val="hu-HU"/>
        </w:rPr>
        <w:t xml:space="preserve">szerepel </w:t>
      </w:r>
      <w:r w:rsidRPr="00A530FF">
        <w:rPr>
          <w:szCs w:val="22"/>
          <w:lang w:val="hu-HU"/>
        </w:rPr>
        <w:t>agranulocitózis (nagyon alacsony fehérvérsejt</w:t>
      </w:r>
      <w:r w:rsidR="00EE7646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</w:t>
      </w:r>
      <w:r w:rsidR="00B73956" w:rsidRPr="00A530FF">
        <w:rPr>
          <w:szCs w:val="22"/>
          <w:lang w:val="hu-HU"/>
        </w:rPr>
        <w:t>[</w:t>
      </w:r>
      <w:r w:rsidRPr="00A530FF">
        <w:rPr>
          <w:szCs w:val="22"/>
          <w:lang w:val="hu-HU"/>
        </w:rPr>
        <w:t>neutrofilszám</w:t>
      </w:r>
      <w:r w:rsidR="00EE7646">
        <w:rPr>
          <w:szCs w:val="22"/>
          <w:lang w:val="hu-HU"/>
        </w:rPr>
        <w:t>]</w:t>
      </w:r>
      <w:r w:rsidRPr="00A530FF">
        <w:rPr>
          <w:szCs w:val="22"/>
          <w:lang w:val="hu-HU"/>
        </w:rPr>
        <w:t>).</w:t>
      </w:r>
    </w:p>
    <w:p w:rsidR="00187644" w:rsidRPr="00A530FF" w:rsidRDefault="00187644" w:rsidP="009E0F23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amennyiben jelenleg </w:t>
      </w:r>
      <w:r w:rsidR="00374851" w:rsidRPr="00A530FF">
        <w:rPr>
          <w:szCs w:val="22"/>
          <w:lang w:val="hu-HU"/>
        </w:rPr>
        <w:t xml:space="preserve">olyan gyógyszereket szed, melyekről tudott, hogy </w:t>
      </w:r>
      <w:r w:rsidRPr="00A530FF">
        <w:rPr>
          <w:szCs w:val="22"/>
          <w:lang w:val="hu-HU"/>
        </w:rPr>
        <w:t>neutropéniát vagy agranulocitózist okoz</w:t>
      </w:r>
      <w:r w:rsidR="00374851" w:rsidRPr="00A530FF">
        <w:rPr>
          <w:szCs w:val="22"/>
          <w:lang w:val="hu-HU"/>
        </w:rPr>
        <w:t>nak</w:t>
      </w:r>
      <w:r w:rsidR="001B4308" w:rsidRPr="00A530FF">
        <w:rPr>
          <w:szCs w:val="22"/>
          <w:lang w:val="hu-HU"/>
        </w:rPr>
        <w:t xml:space="preserve"> (lásd a „</w:t>
      </w:r>
      <w:r w:rsidR="001D1BEA" w:rsidRPr="00A530FF">
        <w:rPr>
          <w:szCs w:val="22"/>
          <w:lang w:val="hu-HU"/>
        </w:rPr>
        <w:t>E</w:t>
      </w:r>
      <w:r w:rsidR="001B4308" w:rsidRPr="00A530FF">
        <w:rPr>
          <w:szCs w:val="22"/>
          <w:lang w:val="hu-HU"/>
        </w:rPr>
        <w:t>gyéb gyógyszerek</w:t>
      </w:r>
      <w:r w:rsidR="001D1BEA" w:rsidRPr="00A530FF">
        <w:rPr>
          <w:szCs w:val="22"/>
          <w:lang w:val="hu-HU"/>
        </w:rPr>
        <w:t xml:space="preserve"> és a Ferriprox</w:t>
      </w:r>
      <w:r w:rsidR="001B4308" w:rsidRPr="00A530FF">
        <w:rPr>
          <w:szCs w:val="22"/>
          <w:lang w:val="hu-HU"/>
        </w:rPr>
        <w:t>” című bekezdést)</w:t>
      </w:r>
      <w:r w:rsidRPr="00A530FF">
        <w:rPr>
          <w:szCs w:val="22"/>
          <w:lang w:val="hu-HU"/>
        </w:rPr>
        <w:t>.</w:t>
      </w:r>
    </w:p>
    <w:p w:rsidR="00187644" w:rsidRPr="00A530FF" w:rsidRDefault="00187644" w:rsidP="00D53463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terhes vagy szoptat.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1D1BEA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Figyelmeztetések és óvintézkedések</w:t>
      </w:r>
    </w:p>
    <w:p w:rsidR="00187644" w:rsidRPr="00A530FF" w:rsidRDefault="00187644" w:rsidP="009E0F23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</w:t>
      </w:r>
      <w:r w:rsidR="00CF0CD0" w:rsidRPr="00A530FF">
        <w:rPr>
          <w:szCs w:val="22"/>
          <w:lang w:val="hu-HU"/>
        </w:rPr>
        <w:t xml:space="preserve">legsúlyosabb mellékhatás, ami a </w:t>
      </w:r>
      <w:r w:rsidRPr="00A530FF">
        <w:rPr>
          <w:szCs w:val="22"/>
          <w:lang w:val="hu-HU"/>
        </w:rPr>
        <w:t>Ferriprox szedése alatt bekövetkezhet</w:t>
      </w:r>
      <w:r w:rsidR="00CF0CD0" w:rsidRPr="00A530FF">
        <w:rPr>
          <w:szCs w:val="22"/>
          <w:lang w:val="hu-HU"/>
        </w:rPr>
        <w:t>, az</w:t>
      </w:r>
      <w:r w:rsidRPr="00A530FF">
        <w:rPr>
          <w:szCs w:val="22"/>
          <w:lang w:val="hu-HU"/>
        </w:rPr>
        <w:t xml:space="preserve"> a nagyon alacsony fehérvérsejt</w:t>
      </w:r>
      <w:r w:rsidR="00EE7646">
        <w:rPr>
          <w:szCs w:val="22"/>
          <w:lang w:val="hu-HU"/>
        </w:rPr>
        <w:t xml:space="preserve">szám </w:t>
      </w:r>
      <w:r w:rsidRPr="00A530FF">
        <w:rPr>
          <w:szCs w:val="22"/>
          <w:lang w:val="hu-HU"/>
        </w:rPr>
        <w:t>(neutrofilszám</w:t>
      </w:r>
      <w:r w:rsidR="00EE7646">
        <w:rPr>
          <w:szCs w:val="22"/>
          <w:lang w:val="hu-HU"/>
        </w:rPr>
        <w:t>)</w:t>
      </w:r>
      <w:r w:rsidRPr="00A530FF">
        <w:rPr>
          <w:szCs w:val="22"/>
          <w:lang w:val="hu-HU"/>
        </w:rPr>
        <w:t xml:space="preserve">. Ez a súlyos neutropéniaként vagy agranulocitózisként ismert állapot nagyjából 100-ból </w:t>
      </w:r>
      <w:r w:rsidR="00EE60AD" w:rsidRPr="00A530FF">
        <w:rPr>
          <w:szCs w:val="22"/>
          <w:lang w:val="hu-HU"/>
        </w:rPr>
        <w:t>egy-két</w:t>
      </w:r>
      <w:r w:rsidR="00083C19" w:rsidRPr="00A530FF">
        <w:rPr>
          <w:szCs w:val="22"/>
          <w:lang w:val="hu-HU"/>
        </w:rPr>
        <w:t>,</w:t>
      </w:r>
      <w:r w:rsidRPr="00A530FF">
        <w:rPr>
          <w:szCs w:val="22"/>
          <w:lang w:val="hu-HU"/>
        </w:rPr>
        <w:t xml:space="preserve"> Ferriprox</w:t>
      </w:r>
      <w:r w:rsidR="002D56C1" w:rsidRPr="00A530FF">
        <w:rPr>
          <w:szCs w:val="22"/>
          <w:lang w:val="hu-HU"/>
        </w:rPr>
        <w:t>-</w:t>
      </w:r>
      <w:r w:rsidRPr="00A530FF">
        <w:rPr>
          <w:szCs w:val="22"/>
          <w:lang w:val="hu-HU"/>
        </w:rPr>
        <w:t>ot szedő embernél fordult elő a klinikai vizsgálatok során. Mivel a fehérvérsejtek a fertőzések leküzdésében segítenek, az alacsony neutrofilszám súlyos és esetlegesen életet veszélyeztető fertőzés kockázatát jelentheti. A neutropénia ellenőrzése érdekében orvosa a Ferr</w:t>
      </w:r>
      <w:r w:rsidR="00083C19" w:rsidRPr="00A530FF">
        <w:rPr>
          <w:szCs w:val="22"/>
          <w:lang w:val="hu-HU"/>
        </w:rPr>
        <w:t>i</w:t>
      </w:r>
      <w:r w:rsidRPr="00A530FF">
        <w:rPr>
          <w:szCs w:val="22"/>
          <w:lang w:val="hu-HU"/>
        </w:rPr>
        <w:t xml:space="preserve">prox szedése alatt rendszeres – akár hetente történő – vérvizsgálatra fogja kérni Önt (fehérvérsejtszáma ellenőrzése érdekében). </w:t>
      </w:r>
      <w:r w:rsidR="00A97B3B" w:rsidRPr="00A530FF">
        <w:rPr>
          <w:szCs w:val="22"/>
          <w:lang w:val="hu-HU"/>
        </w:rPr>
        <w:t>Az Ön érdekében n</w:t>
      </w:r>
      <w:r w:rsidRPr="00A530FF">
        <w:rPr>
          <w:szCs w:val="22"/>
          <w:lang w:val="hu-HU"/>
        </w:rPr>
        <w:t>agyon fontos</w:t>
      </w:r>
      <w:r w:rsidR="00A97B3B" w:rsidRPr="00A530FF">
        <w:rPr>
          <w:szCs w:val="22"/>
          <w:lang w:val="hu-HU"/>
        </w:rPr>
        <w:t>, hogy</w:t>
      </w:r>
      <w:r w:rsidRPr="00A530FF">
        <w:rPr>
          <w:szCs w:val="22"/>
          <w:lang w:val="hu-HU"/>
        </w:rPr>
        <w:t xml:space="preserve"> az összes ilyen vizsgálaton </w:t>
      </w:r>
      <w:r w:rsidR="00A97B3B" w:rsidRPr="00A530FF">
        <w:rPr>
          <w:szCs w:val="22"/>
          <w:lang w:val="hu-HU"/>
        </w:rPr>
        <w:t>megjelenjen</w:t>
      </w:r>
      <w:r w:rsidRPr="00A530FF">
        <w:rPr>
          <w:szCs w:val="22"/>
          <w:lang w:val="hu-HU"/>
        </w:rPr>
        <w:t>. Kérjük, olvassa el a</w:t>
      </w:r>
      <w:r w:rsidR="00486C66" w:rsidRPr="00A530FF">
        <w:rPr>
          <w:szCs w:val="22"/>
          <w:lang w:val="hu-HU"/>
        </w:rPr>
        <w:t>z ehhez a betegtájékoztatóhoz</w:t>
      </w:r>
      <w:r w:rsidRPr="00A530FF">
        <w:rPr>
          <w:szCs w:val="22"/>
          <w:lang w:val="hu-HU"/>
        </w:rPr>
        <w:t xml:space="preserve"> </w:t>
      </w:r>
      <w:r w:rsidR="00486C66" w:rsidRPr="00A530FF">
        <w:rPr>
          <w:szCs w:val="22"/>
          <w:lang w:val="hu-HU"/>
        </w:rPr>
        <w:t>mellékelt</w:t>
      </w:r>
      <w:r w:rsidR="00D02BCD" w:rsidRPr="00A530FF">
        <w:rPr>
          <w:szCs w:val="22"/>
          <w:lang w:val="hu-HU"/>
        </w:rPr>
        <w:t>, a betegnek</w:t>
      </w:r>
      <w:r w:rsidR="00EE7646">
        <w:rPr>
          <w:szCs w:val="22"/>
          <w:lang w:val="hu-HU"/>
        </w:rPr>
        <w:t>,</w:t>
      </w:r>
      <w:r w:rsidR="00D02BCD" w:rsidRPr="00A530FF">
        <w:rPr>
          <w:szCs w:val="22"/>
          <w:lang w:val="hu-HU"/>
        </w:rPr>
        <w:t xml:space="preserve"> illetve gondozójának szóló</w:t>
      </w:r>
      <w:r w:rsidRPr="00A530FF">
        <w:rPr>
          <w:szCs w:val="22"/>
          <w:lang w:val="hu-HU"/>
        </w:rPr>
        <w:t xml:space="preserve"> emlékeztető kártyát. </w:t>
      </w:r>
      <w:r w:rsidR="002E6F7B" w:rsidRPr="00A076D1">
        <w:rPr>
          <w:szCs w:val="22"/>
          <w:lang w:val="hu"/>
        </w:rPr>
        <w:t>Ha bármilyen fertőzésre utaló jelet észlel, például lázat, torokfájást vagy influenzaszerű tüneteket, azonnal forduljon orvoshoz. A fehérvérsejtszámát 24 órán belül ellenőrizni kell az esetleges agranulocytosis diagnosztizálása érdekében</w:t>
      </w:r>
      <w:r w:rsidRPr="00A530FF">
        <w:rPr>
          <w:szCs w:val="22"/>
          <w:lang w:val="hu-HU"/>
        </w:rPr>
        <w:t>.</w:t>
      </w:r>
    </w:p>
    <w:p w:rsidR="00B6527F" w:rsidRPr="00A530FF" w:rsidRDefault="00B6527F" w:rsidP="00B6527F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>
        <w:rPr>
          <w:szCs w:val="22"/>
          <w:lang w:val="hu-HU"/>
        </w:rPr>
        <w:t>a</w:t>
      </w:r>
      <w:r w:rsidRPr="00A530FF">
        <w:rPr>
          <w:szCs w:val="22"/>
          <w:lang w:val="hu-HU"/>
        </w:rPr>
        <w:t xml:space="preserve">mennyiben Ön HIV-pozitív, illetve ha </w:t>
      </w:r>
      <w:r w:rsidR="002F3841" w:rsidRPr="00A076D1">
        <w:rPr>
          <w:szCs w:val="22"/>
          <w:lang w:val="hu"/>
        </w:rPr>
        <w:t xml:space="preserve">máj- vagy veseműködése </w:t>
      </w:r>
      <w:r w:rsidRPr="00B6527F">
        <w:rPr>
          <w:szCs w:val="22"/>
          <w:lang w:val="hu-HU"/>
        </w:rPr>
        <w:t>súlyosan</w:t>
      </w:r>
      <w:r w:rsidRPr="00A530FF">
        <w:rPr>
          <w:szCs w:val="22"/>
          <w:lang w:val="hu-HU"/>
        </w:rPr>
        <w:t xml:space="preserve"> károsodott, orvosa további vizsgálatokat javasolhat.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951A83">
      <w:pPr>
        <w:tabs>
          <w:tab w:val="left" w:pos="0"/>
        </w:tabs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Kezelőo</w:t>
      </w:r>
      <w:r w:rsidR="00DA1F84" w:rsidRPr="00A530FF">
        <w:rPr>
          <w:sz w:val="22"/>
          <w:szCs w:val="22"/>
          <w:lang w:val="hu-HU"/>
        </w:rPr>
        <w:t xml:space="preserve">rvosa </w:t>
      </w:r>
      <w:r w:rsidR="0056030D">
        <w:rPr>
          <w:sz w:val="22"/>
          <w:szCs w:val="22"/>
          <w:lang w:val="hu-HU"/>
        </w:rPr>
        <w:t xml:space="preserve">olyan </w:t>
      </w:r>
      <w:r w:rsidR="00DA1F84" w:rsidRPr="00A530FF">
        <w:rPr>
          <w:sz w:val="22"/>
          <w:szCs w:val="22"/>
          <w:lang w:val="hu-HU"/>
        </w:rPr>
        <w:t xml:space="preserve">vizsgálatokra </w:t>
      </w:r>
      <w:r w:rsidR="00287F37">
        <w:rPr>
          <w:sz w:val="22"/>
          <w:szCs w:val="22"/>
          <w:lang w:val="hu-HU"/>
        </w:rPr>
        <w:t>fogja</w:t>
      </w:r>
      <w:r w:rsidR="00DA1F84" w:rsidRPr="00A530FF">
        <w:rPr>
          <w:sz w:val="22"/>
          <w:szCs w:val="22"/>
          <w:lang w:val="hu-HU"/>
        </w:rPr>
        <w:t xml:space="preserve"> behívni</w:t>
      </w:r>
      <w:r w:rsidR="00287F37">
        <w:rPr>
          <w:sz w:val="22"/>
          <w:szCs w:val="22"/>
          <w:lang w:val="hu-HU"/>
        </w:rPr>
        <w:t xml:space="preserve">, </w:t>
      </w:r>
      <w:r w:rsidR="0056030D">
        <w:rPr>
          <w:sz w:val="22"/>
          <w:szCs w:val="22"/>
          <w:lang w:val="hu-HU"/>
        </w:rPr>
        <w:t xml:space="preserve">amellyel </w:t>
      </w:r>
      <w:r w:rsidR="0056030D" w:rsidRPr="00A530FF">
        <w:rPr>
          <w:sz w:val="22"/>
          <w:szCs w:val="22"/>
          <w:lang w:val="hu-HU"/>
        </w:rPr>
        <w:t>ellenőrz</w:t>
      </w:r>
      <w:r w:rsidR="0056030D">
        <w:rPr>
          <w:sz w:val="22"/>
          <w:szCs w:val="22"/>
          <w:lang w:val="hu-HU"/>
        </w:rPr>
        <w:t>i</w:t>
      </w:r>
      <w:r w:rsidR="0056030D" w:rsidRPr="00A530FF">
        <w:rPr>
          <w:sz w:val="22"/>
          <w:szCs w:val="22"/>
          <w:lang w:val="hu-HU"/>
        </w:rPr>
        <w:t xml:space="preserve"> </w:t>
      </w:r>
      <w:r w:rsidR="0056030D">
        <w:rPr>
          <w:sz w:val="22"/>
          <w:szCs w:val="22"/>
          <w:lang w:val="hu-HU"/>
        </w:rPr>
        <w:t xml:space="preserve">az Ön </w:t>
      </w:r>
      <w:r w:rsidR="0056030D" w:rsidRPr="00A530FF">
        <w:rPr>
          <w:sz w:val="22"/>
          <w:szCs w:val="22"/>
          <w:lang w:val="hu-HU"/>
        </w:rPr>
        <w:t>vasháztartását</w:t>
      </w:r>
      <w:r w:rsidR="0056030D">
        <w:rPr>
          <w:sz w:val="22"/>
          <w:szCs w:val="22"/>
          <w:lang w:val="hu-HU"/>
        </w:rPr>
        <w:t>,</w:t>
      </w:r>
      <w:r w:rsidR="0056030D" w:rsidRPr="00A530FF">
        <w:rPr>
          <w:sz w:val="22"/>
          <w:szCs w:val="22"/>
          <w:lang w:val="hu-HU"/>
        </w:rPr>
        <w:t xml:space="preserve"> </w:t>
      </w:r>
      <w:r w:rsidR="00287F37">
        <w:rPr>
          <w:sz w:val="22"/>
          <w:szCs w:val="22"/>
          <w:lang w:val="hu-HU"/>
        </w:rPr>
        <w:t>továbbá e</w:t>
      </w:r>
      <w:r w:rsidR="0040748C" w:rsidRPr="0040748C">
        <w:rPr>
          <w:sz w:val="22"/>
          <w:szCs w:val="22"/>
          <w:lang w:val="hu-HU"/>
        </w:rPr>
        <w:t>lőfordulhat, hogy beutalja májbiopsziára</w:t>
      </w:r>
      <w:r w:rsidR="00287F37">
        <w:rPr>
          <w:sz w:val="22"/>
          <w:szCs w:val="22"/>
          <w:lang w:val="hu-HU"/>
        </w:rPr>
        <w:t xml:space="preserve"> is</w:t>
      </w:r>
      <w:r w:rsidR="00DA1F84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pStyle w:val="EndnoteText"/>
        <w:tabs>
          <w:tab w:val="clear" w:pos="567"/>
          <w:tab w:val="left" w:pos="0"/>
        </w:tabs>
        <w:rPr>
          <w:strike/>
          <w:szCs w:val="22"/>
          <w:lang w:val="hu-HU"/>
        </w:rPr>
      </w:pPr>
    </w:p>
    <w:p w:rsidR="00DA1F84" w:rsidRPr="00A530FF" w:rsidRDefault="001D1BEA">
      <w:pPr>
        <w:tabs>
          <w:tab w:val="left" w:pos="0"/>
        </w:tabs>
        <w:rPr>
          <w:b/>
          <w:sz w:val="22"/>
          <w:szCs w:val="22"/>
          <w:lang w:val="hu-HU"/>
        </w:rPr>
      </w:pPr>
      <w:r w:rsidRPr="00A14CC8">
        <w:rPr>
          <w:b/>
          <w:sz w:val="22"/>
          <w:szCs w:val="22"/>
          <w:lang w:val="hu-HU"/>
        </w:rPr>
        <w:t>E</w:t>
      </w:r>
      <w:r w:rsidR="00DA1F84" w:rsidRPr="00A14CC8">
        <w:rPr>
          <w:b/>
          <w:sz w:val="22"/>
          <w:szCs w:val="22"/>
          <w:lang w:val="hu-HU"/>
        </w:rPr>
        <w:t>gyéb gyógyszerek</w:t>
      </w:r>
      <w:r w:rsidRPr="00A14CC8">
        <w:rPr>
          <w:b/>
          <w:sz w:val="22"/>
          <w:szCs w:val="22"/>
          <w:lang w:val="hu-HU"/>
        </w:rPr>
        <w:t xml:space="preserve"> és a Ferriprox</w:t>
      </w:r>
    </w:p>
    <w:p w:rsidR="00187644" w:rsidRPr="00A530FF" w:rsidRDefault="001B4308" w:rsidP="0038683B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Ne szedjen ismerten neutropéniát </w:t>
      </w:r>
      <w:r w:rsidR="00601577" w:rsidRPr="00A530FF">
        <w:rPr>
          <w:sz w:val="22"/>
          <w:szCs w:val="22"/>
          <w:lang w:val="hu-HU"/>
        </w:rPr>
        <w:t>(</w:t>
      </w:r>
      <w:r w:rsidR="00EE7646" w:rsidRPr="00A530FF">
        <w:rPr>
          <w:sz w:val="22"/>
          <w:szCs w:val="22"/>
          <w:lang w:val="hu-HU"/>
        </w:rPr>
        <w:t xml:space="preserve">bizonyos fehérvérsejtek </w:t>
      </w:r>
      <w:r w:rsidR="00601577" w:rsidRPr="00A530FF">
        <w:rPr>
          <w:sz w:val="22"/>
          <w:szCs w:val="22"/>
          <w:lang w:val="hu-HU"/>
        </w:rPr>
        <w:t>alacsony szám</w:t>
      </w:r>
      <w:r w:rsidR="00EE7646">
        <w:rPr>
          <w:sz w:val="22"/>
          <w:szCs w:val="22"/>
          <w:lang w:val="hu-HU"/>
        </w:rPr>
        <w:t>a</w:t>
      </w:r>
      <w:r w:rsidR="00601577" w:rsidRPr="00A530FF">
        <w:rPr>
          <w:sz w:val="22"/>
          <w:szCs w:val="22"/>
          <w:lang w:val="hu-HU"/>
        </w:rPr>
        <w:t xml:space="preserve">) </w:t>
      </w:r>
      <w:r w:rsidRPr="00A530FF">
        <w:rPr>
          <w:sz w:val="22"/>
          <w:szCs w:val="22"/>
          <w:lang w:val="hu-HU"/>
        </w:rPr>
        <w:t>vagy agranulocitózist</w:t>
      </w:r>
      <w:r w:rsidR="00601577" w:rsidRPr="00A530FF">
        <w:rPr>
          <w:sz w:val="22"/>
          <w:szCs w:val="22"/>
          <w:lang w:val="hu-HU"/>
        </w:rPr>
        <w:t xml:space="preserve"> (bizonyos fehérvérsejtek teljes hiánya a vérben)</w:t>
      </w:r>
      <w:r w:rsidRPr="00A530FF">
        <w:rPr>
          <w:sz w:val="22"/>
          <w:szCs w:val="22"/>
          <w:lang w:val="hu-HU"/>
        </w:rPr>
        <w:t xml:space="preserve"> okozó gyógyszereket (lásd a „Ne szedje a Ferriprox</w:t>
      </w:r>
      <w:r w:rsidR="00EE7646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 xml:space="preserve">ot” című </w:t>
      </w:r>
      <w:r w:rsidR="00601577" w:rsidRPr="00A530FF">
        <w:rPr>
          <w:sz w:val="22"/>
          <w:szCs w:val="22"/>
          <w:lang w:val="hu-HU"/>
        </w:rPr>
        <w:t>részt</w:t>
      </w:r>
      <w:r w:rsidRPr="00A530FF">
        <w:rPr>
          <w:sz w:val="22"/>
          <w:szCs w:val="22"/>
          <w:lang w:val="hu-HU"/>
        </w:rPr>
        <w:t xml:space="preserve">). </w:t>
      </w:r>
      <w:r w:rsidR="00DA1F84" w:rsidRPr="00A530FF">
        <w:rPr>
          <w:sz w:val="22"/>
          <w:szCs w:val="22"/>
          <w:lang w:val="hu-HU"/>
        </w:rPr>
        <w:t>Feltétlenül tájékoztassa kezelőorvosát vagy gyógyszerészét a jelenleg vagy nemrégiben szedett</w:t>
      </w:r>
      <w:r w:rsidR="001D1BEA" w:rsidRPr="00A530FF">
        <w:rPr>
          <w:sz w:val="22"/>
          <w:szCs w:val="22"/>
          <w:lang w:val="hu-HU"/>
        </w:rPr>
        <w:t>, valamint szedni tervezett</w:t>
      </w:r>
      <w:r w:rsidR="00DA1F84" w:rsidRPr="00A530FF">
        <w:rPr>
          <w:sz w:val="22"/>
          <w:szCs w:val="22"/>
          <w:lang w:val="hu-HU"/>
        </w:rPr>
        <w:t xml:space="preserve"> egyéb gyógyszereiről, beleértve a vény nélkül kapható készítményeket is.</w:t>
      </w:r>
    </w:p>
    <w:p w:rsidR="00187644" w:rsidRPr="00A530FF" w:rsidRDefault="00187644" w:rsidP="0038683B">
      <w:pPr>
        <w:pStyle w:val="BodyText"/>
        <w:jc w:val="left"/>
        <w:rPr>
          <w:szCs w:val="22"/>
          <w:lang w:val="hu-HU"/>
        </w:rPr>
      </w:pPr>
    </w:p>
    <w:p w:rsidR="00082A17" w:rsidRDefault="00082A17" w:rsidP="00082A17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Ferriprox </w:t>
      </w:r>
      <w:r w:rsidRPr="0040748C">
        <w:rPr>
          <w:szCs w:val="22"/>
          <w:lang w:val="hu-HU"/>
        </w:rPr>
        <w:t xml:space="preserve">szedésével egyidejűleg </w:t>
      </w:r>
      <w:r w:rsidRPr="00A530FF">
        <w:rPr>
          <w:szCs w:val="22"/>
          <w:lang w:val="hu-HU"/>
        </w:rPr>
        <w:t>ne szedjen alumíniumalapú savlekötőket.</w:t>
      </w:r>
    </w:p>
    <w:p w:rsidR="00187644" w:rsidRPr="00A530FF" w:rsidRDefault="00187644" w:rsidP="0038683B">
      <w:pPr>
        <w:pStyle w:val="BodyText"/>
        <w:jc w:val="left"/>
        <w:rPr>
          <w:szCs w:val="22"/>
          <w:lang w:val="hu-HU"/>
        </w:rPr>
      </w:pPr>
    </w:p>
    <w:p w:rsidR="00187644" w:rsidRPr="00A530FF" w:rsidRDefault="00187644" w:rsidP="0038683B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Kérjük, konzultáljon orvosával vagy gyógyszerészével, mielőtt C</w:t>
      </w:r>
      <w:r w:rsidR="0010309E" w:rsidRPr="00A530FF">
        <w:rPr>
          <w:szCs w:val="22"/>
          <w:lang w:val="hu-HU"/>
        </w:rPr>
        <w:t>-</w:t>
      </w:r>
      <w:r w:rsidRPr="00A530FF">
        <w:rPr>
          <w:szCs w:val="22"/>
          <w:lang w:val="hu-HU"/>
        </w:rPr>
        <w:t>vitamint szedne együtt a Ferriprox</w:t>
      </w:r>
      <w:r w:rsidR="00AB7498" w:rsidRPr="00A530FF">
        <w:rPr>
          <w:szCs w:val="22"/>
          <w:lang w:val="hu-HU"/>
        </w:rPr>
        <w:t>-</w:t>
      </w:r>
      <w:r w:rsidR="00C75CC0" w:rsidRPr="00A530FF">
        <w:rPr>
          <w:szCs w:val="22"/>
          <w:lang w:val="hu-HU"/>
        </w:rPr>
        <w:t>szal.</w:t>
      </w:r>
    </w:p>
    <w:p w:rsidR="00DA1F84" w:rsidRPr="00A530FF" w:rsidRDefault="00DA1F84" w:rsidP="0038683B">
      <w:pPr>
        <w:pStyle w:val="BodyText3"/>
        <w:rPr>
          <w:color w:val="auto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Terhesség és szoptatás</w:t>
      </w:r>
    </w:p>
    <w:p w:rsidR="001B4308" w:rsidRPr="00A530FF" w:rsidRDefault="00DA1F84" w:rsidP="00092570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 szedje ezt a gyógyszert, ha várandós vagy ha terhességet tervez. Ez a gyógyszer súlyosan károsíthatja gyermeke egészségét. A Ferriprox szedése alatt hatékony fogamzásgátlással kell élnie. Kérje orvosa tanácsát az Ön számára legmegfelelőbb módszerről. Ha a Ferriprox szedése közben teherbe esik, azonnal hagyja abba a gyógyszer szedését és közölje orvosával, hogy teherbe esett.</w:t>
      </w:r>
    </w:p>
    <w:p w:rsidR="001B4308" w:rsidRPr="00A530FF" w:rsidRDefault="001B4308" w:rsidP="00092570">
      <w:pPr>
        <w:tabs>
          <w:tab w:val="left" w:pos="0"/>
        </w:tabs>
        <w:rPr>
          <w:sz w:val="22"/>
          <w:szCs w:val="22"/>
          <w:lang w:val="hu-HU"/>
        </w:rPr>
      </w:pPr>
    </w:p>
    <w:p w:rsidR="00DA1F84" w:rsidRPr="00A530FF" w:rsidRDefault="00DA1F84" w:rsidP="00092570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Szoptatós anyák ne szedjék a Ferriprox</w:t>
      </w:r>
      <w:r w:rsidR="002D56C1"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ot.</w:t>
      </w:r>
      <w:r w:rsidR="005D02E7" w:rsidRPr="00A530FF">
        <w:rPr>
          <w:sz w:val="22"/>
          <w:szCs w:val="22"/>
          <w:lang w:val="hu-HU"/>
        </w:rPr>
        <w:t xml:space="preserve"> </w:t>
      </w:r>
      <w:r w:rsidR="00092570" w:rsidRPr="00A530FF">
        <w:rPr>
          <w:sz w:val="22"/>
          <w:szCs w:val="22"/>
          <w:lang w:val="hu-HU"/>
        </w:rPr>
        <w:t>Kérjük, olvassa el a betegtájékoztatóhoz mellékelt betegek/gondozók számára szóló emlékeztető kártya utasításait</w:t>
      </w:r>
      <w:r w:rsidR="005D02E7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tabs>
          <w:tab w:val="left" w:pos="0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készítmény hatásai a gépjárművezetéshez és </w:t>
      </w:r>
      <w:r w:rsidR="00441286" w:rsidRPr="00A530FF">
        <w:rPr>
          <w:b/>
          <w:sz w:val="22"/>
          <w:szCs w:val="22"/>
          <w:lang w:val="hu-HU"/>
        </w:rPr>
        <w:t xml:space="preserve">a </w:t>
      </w:r>
      <w:r w:rsidRPr="00A530FF">
        <w:rPr>
          <w:b/>
          <w:sz w:val="22"/>
          <w:szCs w:val="22"/>
          <w:lang w:val="hu-HU"/>
        </w:rPr>
        <w:t>gépek kezeléséhez szükséges képességekre</w:t>
      </w:r>
    </w:p>
    <w:p w:rsidR="00DA1F84" w:rsidRPr="00A530FF" w:rsidRDefault="009D485C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DA1F84" w:rsidRPr="00A530FF" w:rsidRDefault="00DA1F84">
      <w:pPr>
        <w:tabs>
          <w:tab w:val="left" w:pos="851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851"/>
        </w:tabs>
        <w:ind w:left="567" w:hanging="567"/>
        <w:rPr>
          <w:sz w:val="22"/>
          <w:szCs w:val="22"/>
          <w:lang w:val="hu-HU"/>
        </w:rPr>
      </w:pPr>
    </w:p>
    <w:p w:rsidR="00DA1F84" w:rsidRPr="00A530FF" w:rsidRDefault="00DA1F84">
      <w:pPr>
        <w:pStyle w:val="WW-Szvegtrzs212"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3.</w:t>
      </w:r>
      <w:r w:rsidRPr="00A530FF">
        <w:rPr>
          <w:szCs w:val="22"/>
          <w:lang w:val="hu-HU" w:eastAsia="en-US"/>
        </w:rPr>
        <w:tab/>
        <w:t>H</w:t>
      </w:r>
      <w:r w:rsidR="003417C9" w:rsidRPr="00A530FF">
        <w:rPr>
          <w:szCs w:val="22"/>
          <w:lang w:val="hu-HU" w:eastAsia="en-US"/>
        </w:rPr>
        <w:t xml:space="preserve">ogyan kell szedni a </w:t>
      </w:r>
      <w:r w:rsidRPr="00A530FF">
        <w:rPr>
          <w:szCs w:val="22"/>
          <w:lang w:val="hu-HU" w:eastAsia="en-US"/>
        </w:rPr>
        <w:t>F</w:t>
      </w:r>
      <w:r w:rsidR="003417C9" w:rsidRPr="00A530FF">
        <w:rPr>
          <w:szCs w:val="22"/>
          <w:lang w:val="hu-HU" w:eastAsia="en-US"/>
        </w:rPr>
        <w:t>erriprox-ot?</w:t>
      </w: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150565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</w:t>
      </w:r>
      <w:r w:rsidR="003417C9" w:rsidRPr="00A530FF">
        <w:rPr>
          <w:sz w:val="22"/>
          <w:szCs w:val="22"/>
          <w:lang w:val="hu-HU"/>
        </w:rPr>
        <w:t>gyógyszert</w:t>
      </w:r>
      <w:r w:rsidRPr="00A530FF">
        <w:rPr>
          <w:sz w:val="22"/>
          <w:szCs w:val="22"/>
          <w:lang w:val="hu-HU"/>
        </w:rPr>
        <w:t xml:space="preserve"> mindig a </w:t>
      </w:r>
      <w:r w:rsidR="003417C9" w:rsidRPr="00A530FF">
        <w:rPr>
          <w:sz w:val="22"/>
          <w:szCs w:val="22"/>
          <w:lang w:val="hu-HU"/>
        </w:rPr>
        <w:t>kezelő</w:t>
      </w:r>
      <w:r w:rsidRPr="00A530FF">
        <w:rPr>
          <w:sz w:val="22"/>
          <w:szCs w:val="22"/>
          <w:lang w:val="hu-HU"/>
        </w:rPr>
        <w:t xml:space="preserve">orvos által elmondottaknak megfelelően szedje. Amennyiben nem biztos az adagolást illetően, kérdezze meg </w:t>
      </w:r>
      <w:r w:rsidR="003417C9" w:rsidRPr="00A530FF">
        <w:rPr>
          <w:sz w:val="22"/>
          <w:szCs w:val="22"/>
          <w:lang w:val="hu-HU"/>
        </w:rPr>
        <w:t>kezelő</w:t>
      </w:r>
      <w:r w:rsidRPr="00A530FF">
        <w:rPr>
          <w:sz w:val="22"/>
          <w:szCs w:val="22"/>
          <w:lang w:val="hu-HU"/>
        </w:rPr>
        <w:t xml:space="preserve">orvosát vagy gyógyszerészét. A Ferriprox adagja testsúlyától függ. Amennyiben a kezelőorvos másképp nem rendeli, a gyógyszer szokásos adagja 25 mg/testtömegkilogramm, napi három alkalommal, a 75 mg/testtömegkilogramm teljes napi adag eléréséig. A teljes napi adag nem haladhatja meg a 100 mg/testtömegkilogramm mennyiséget. Az első adagot reggel, a másodikat délben, a harmadikat este vegye be. </w:t>
      </w:r>
      <w:r w:rsidR="00C013A4" w:rsidRPr="00A530FF">
        <w:rPr>
          <w:sz w:val="22"/>
          <w:szCs w:val="22"/>
          <w:lang w:val="hu-HU"/>
        </w:rPr>
        <w:t>A Ferriprox beszedhető étellel vagy étel nélkül;</w:t>
      </w:r>
      <w:r w:rsidR="00150565" w:rsidRPr="00A530FF">
        <w:rPr>
          <w:sz w:val="22"/>
          <w:szCs w:val="22"/>
          <w:lang w:val="hu-HU"/>
        </w:rPr>
        <w:t xml:space="preserve"> </w:t>
      </w:r>
      <w:r w:rsidR="00C013A4" w:rsidRPr="00A530FF">
        <w:rPr>
          <w:sz w:val="22"/>
          <w:szCs w:val="22"/>
          <w:lang w:val="hu-HU"/>
        </w:rPr>
        <w:t>t</w:t>
      </w:r>
      <w:r w:rsidRPr="00A530FF">
        <w:rPr>
          <w:sz w:val="22"/>
          <w:szCs w:val="22"/>
          <w:lang w:val="hu-HU"/>
        </w:rPr>
        <w:t>alán könnyebben eszébe jut, hogy bevegye a Ferriprox-ot, ha mindig étkezések alkalmával veszi azt be.</w:t>
      </w:r>
    </w:p>
    <w:p w:rsidR="00DA1F84" w:rsidRPr="00A530FF" w:rsidRDefault="00DA1F84">
      <w:pPr>
        <w:pStyle w:val="FootnoteText"/>
        <w:numPr>
          <w:ilvl w:val="12"/>
          <w:numId w:val="0"/>
        </w:numPr>
        <w:rPr>
          <w:sz w:val="22"/>
          <w:szCs w:val="22"/>
          <w:lang w:val="hu-HU"/>
        </w:rPr>
      </w:pPr>
    </w:p>
    <w:p w:rsidR="00DA1F84" w:rsidRPr="00A530FF" w:rsidRDefault="00DA1F8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Ha az előírtnál több Ferriprox</w:t>
      </w:r>
      <w:r w:rsidR="002D56C1" w:rsidRPr="00A530FF">
        <w:rPr>
          <w:b/>
          <w:sz w:val="22"/>
          <w:szCs w:val="22"/>
          <w:lang w:val="hu-HU"/>
        </w:rPr>
        <w:t>-</w:t>
      </w:r>
      <w:r w:rsidRPr="00A530FF">
        <w:rPr>
          <w:b/>
          <w:sz w:val="22"/>
          <w:szCs w:val="22"/>
          <w:lang w:val="hu-HU"/>
        </w:rPr>
        <w:t>ot vett be</w:t>
      </w:r>
    </w:p>
    <w:p w:rsidR="00DA1F84" w:rsidRPr="00A530FF" w:rsidRDefault="00DA1F84">
      <w:pPr>
        <w:numPr>
          <w:ilvl w:val="12"/>
          <w:numId w:val="0"/>
        </w:numPr>
        <w:tabs>
          <w:tab w:val="left" w:pos="851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esetén nem számoltak be akut túladagolásról. Ha véletlenül többet vett be a felírt dózisnál forduljon orvosához.</w:t>
      </w:r>
    </w:p>
    <w:p w:rsidR="00DA1F84" w:rsidRPr="00A530FF" w:rsidRDefault="00DA1F8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</w:p>
    <w:p w:rsidR="00DA1F84" w:rsidRPr="00A530FF" w:rsidRDefault="00DA1F8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Ha elfelejtette bevenni a Ferriprox</w:t>
      </w:r>
      <w:r w:rsidR="00AB7498" w:rsidRPr="00A530FF">
        <w:rPr>
          <w:b/>
          <w:sz w:val="22"/>
          <w:szCs w:val="22"/>
          <w:lang w:val="hu-HU"/>
        </w:rPr>
        <w:t>-</w:t>
      </w:r>
      <w:r w:rsidRPr="00A530FF">
        <w:rPr>
          <w:b/>
          <w:sz w:val="22"/>
          <w:szCs w:val="22"/>
          <w:lang w:val="hu-HU"/>
        </w:rPr>
        <w:t>ot</w:t>
      </w:r>
    </w:p>
    <w:p w:rsidR="00DA1F84" w:rsidRPr="00A530FF" w:rsidRDefault="00DA1F84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akkor a leghatásosabb, ha nem felejti el egyetlen adag bevételét sem. Ha kifelejt egy adagot, vegye be amint ez eszébe jutott, majd a következő adagot vegye be annak rendes idején. Ha több, mint egy adag bevételét hagyta ki, ne vegyen be </w:t>
      </w:r>
      <w:r w:rsidR="0044489D">
        <w:rPr>
          <w:sz w:val="22"/>
          <w:szCs w:val="22"/>
          <w:lang w:val="hu-HU"/>
        </w:rPr>
        <w:t>kétszeres</w:t>
      </w:r>
      <w:r w:rsidR="0044489D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adagot az elfele</w:t>
      </w:r>
      <w:r w:rsidR="0044489D">
        <w:rPr>
          <w:sz w:val="22"/>
          <w:szCs w:val="22"/>
          <w:lang w:val="hu-HU"/>
        </w:rPr>
        <w:t>jtett</w:t>
      </w:r>
      <w:r w:rsidRPr="00A530FF">
        <w:rPr>
          <w:sz w:val="22"/>
          <w:szCs w:val="22"/>
          <w:lang w:val="hu-HU"/>
        </w:rPr>
        <w:t xml:space="preserve"> adag</w:t>
      </w:r>
      <w:r w:rsidR="0044489D">
        <w:rPr>
          <w:sz w:val="22"/>
          <w:szCs w:val="22"/>
          <w:lang w:val="hu-HU"/>
        </w:rPr>
        <w:t xml:space="preserve"> pótlására</w:t>
      </w:r>
      <w:r w:rsidRPr="00A530FF">
        <w:rPr>
          <w:sz w:val="22"/>
          <w:szCs w:val="22"/>
          <w:lang w:val="hu-HU"/>
        </w:rPr>
        <w:t>, csak folytassa a gyógyszer szedését a normális időbeosztás szerint. Ne változtasson a napi adagján anélkül, hogy azt orvosával megbeszélné.</w:t>
      </w: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DA1F84" w:rsidRPr="00A530FF" w:rsidRDefault="00DA1F84" w:rsidP="000A0A3A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4.</w:t>
      </w:r>
      <w:r w:rsidRPr="00A530FF">
        <w:rPr>
          <w:szCs w:val="22"/>
          <w:lang w:val="hu-HU" w:eastAsia="en-US"/>
        </w:rPr>
        <w:tab/>
        <w:t>L</w:t>
      </w:r>
      <w:r w:rsidR="003417C9" w:rsidRPr="00A530FF">
        <w:rPr>
          <w:szCs w:val="22"/>
          <w:lang w:val="hu-HU" w:eastAsia="en-US"/>
        </w:rPr>
        <w:t>ehetséges mellékhatások</w:t>
      </w:r>
    </w:p>
    <w:p w:rsidR="00DA1F84" w:rsidRPr="00A530FF" w:rsidRDefault="00DA1F84" w:rsidP="000A0A3A">
      <w:pPr>
        <w:keepNext/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Mint minden gyógyszer, így </w:t>
      </w:r>
      <w:r w:rsidR="003417C9" w:rsidRPr="00A530FF">
        <w:rPr>
          <w:sz w:val="22"/>
          <w:szCs w:val="22"/>
          <w:lang w:val="hu-HU"/>
        </w:rPr>
        <w:t>ez a gyógyszer</w:t>
      </w:r>
      <w:r w:rsidRPr="00A530FF">
        <w:rPr>
          <w:sz w:val="22"/>
          <w:szCs w:val="22"/>
          <w:lang w:val="hu-HU"/>
        </w:rPr>
        <w:t xml:space="preserve"> is okozhat mellékhatásokat, amelyek azonban nem mindenkinél jelentkeznek.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C013A4" w:rsidRPr="00A530FF" w:rsidRDefault="00C013A4" w:rsidP="00C013A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legsúlyosabb mellékhatása a nagyon alacsony fehérvérsejt</w:t>
      </w:r>
      <w:r w:rsidR="0044489D">
        <w:rPr>
          <w:sz w:val="22"/>
          <w:szCs w:val="22"/>
          <w:lang w:val="hu-HU"/>
        </w:rPr>
        <w:t>szám</w:t>
      </w:r>
      <w:r w:rsidRPr="00A530FF">
        <w:rPr>
          <w:sz w:val="22"/>
          <w:szCs w:val="22"/>
          <w:lang w:val="hu-HU"/>
        </w:rPr>
        <w:t xml:space="preserve"> (neutrofilszám</w:t>
      </w:r>
      <w:r w:rsidR="0044489D">
        <w:rPr>
          <w:sz w:val="22"/>
          <w:szCs w:val="22"/>
          <w:lang w:val="hu-HU"/>
        </w:rPr>
        <w:t>)</w:t>
      </w:r>
      <w:r w:rsidRPr="00A530FF">
        <w:rPr>
          <w:sz w:val="22"/>
          <w:szCs w:val="22"/>
          <w:lang w:val="hu-HU"/>
        </w:rPr>
        <w:t>. Ez az állapot, más néven súlyos neutrop</w:t>
      </w:r>
      <w:r w:rsidR="00677283" w:rsidRPr="00A530FF">
        <w:rPr>
          <w:sz w:val="22"/>
          <w:szCs w:val="22"/>
          <w:lang w:val="hu-HU"/>
        </w:rPr>
        <w:t>é</w:t>
      </w:r>
      <w:r w:rsidRPr="00A530FF">
        <w:rPr>
          <w:sz w:val="22"/>
          <w:szCs w:val="22"/>
          <w:lang w:val="hu-HU"/>
        </w:rPr>
        <w:t xml:space="preserve">nia vagy agranulocitózis, a klinikai vizsgálatok során Ferriprox-ot szedett 100 betegből </w:t>
      </w:r>
      <w:r w:rsidR="00EE60AD" w:rsidRPr="00A530FF">
        <w:rPr>
          <w:sz w:val="22"/>
          <w:szCs w:val="22"/>
          <w:lang w:val="hu-HU"/>
        </w:rPr>
        <w:t>1</w:t>
      </w:r>
      <w:r w:rsidR="00EE60AD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2-nél fordult elő. Az alacsony fehérvérsejtszám súlyos és akár életveszélyes fertőzéssel társulhat. Haladéktalanul jelentse orvosának, ha bármi olyan tünetet észlel, ami fertőzésre utal, például: láz, torokfájás vagy influenzaszerű tünetek.</w:t>
      </w:r>
    </w:p>
    <w:p w:rsidR="00C013A4" w:rsidRPr="00A530FF" w:rsidRDefault="00C013A4" w:rsidP="00C013A4">
      <w:pPr>
        <w:rPr>
          <w:sz w:val="22"/>
          <w:szCs w:val="22"/>
          <w:lang w:val="hu-HU"/>
        </w:rPr>
      </w:pPr>
    </w:p>
    <w:p w:rsidR="00C013A4" w:rsidRPr="00A530FF" w:rsidRDefault="00C013A4" w:rsidP="00C013A4">
      <w:pPr>
        <w:pStyle w:val="BodyText"/>
        <w:rPr>
          <w:szCs w:val="22"/>
          <w:lang w:val="hu-HU"/>
        </w:rPr>
      </w:pPr>
      <w:r w:rsidRPr="00A530FF">
        <w:rPr>
          <w:b/>
          <w:bCs/>
          <w:szCs w:val="22"/>
          <w:lang w:val="hu-HU"/>
        </w:rPr>
        <w:t>Nagyon gyakori mellékhatások</w:t>
      </w:r>
      <w:r w:rsidRPr="00A530FF">
        <w:rPr>
          <w:szCs w:val="22"/>
          <w:lang w:val="hu-HU"/>
        </w:rPr>
        <w:t xml:space="preserve"> (10-ből több mint 1 </w:t>
      </w:r>
      <w:r w:rsidR="003417C9" w:rsidRPr="00A530FF">
        <w:rPr>
          <w:szCs w:val="22"/>
          <w:lang w:val="hu-HU"/>
        </w:rPr>
        <w:t xml:space="preserve">beteget </w:t>
      </w:r>
      <w:r w:rsidRPr="00A530FF">
        <w:rPr>
          <w:szCs w:val="22"/>
          <w:lang w:val="hu-HU"/>
        </w:rPr>
        <w:t>érint</w:t>
      </w:r>
      <w:r w:rsidR="003417C9" w:rsidRPr="00A530FF">
        <w:rPr>
          <w:szCs w:val="22"/>
          <w:lang w:val="hu-HU"/>
        </w:rPr>
        <w:t>het</w:t>
      </w:r>
      <w:r w:rsidRPr="00A530FF">
        <w:rPr>
          <w:szCs w:val="22"/>
          <w:lang w:val="hu-HU"/>
        </w:rPr>
        <w:t>):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hasi fájdalom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hányinger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hányás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vizelet vöröses/barn</w:t>
      </w:r>
      <w:r w:rsidR="005447F7" w:rsidRPr="00A530FF">
        <w:rPr>
          <w:szCs w:val="22"/>
          <w:lang w:val="hu-HU"/>
        </w:rPr>
        <w:t>ás</w:t>
      </w:r>
      <w:r w:rsidRPr="00A530FF">
        <w:rPr>
          <w:szCs w:val="22"/>
          <w:lang w:val="hu-HU"/>
        </w:rPr>
        <w:t xml:space="preserve"> elszíneződése</w:t>
      </w:r>
    </w:p>
    <w:p w:rsidR="00092570" w:rsidRPr="00A530FF" w:rsidRDefault="00092570" w:rsidP="00092570">
      <w:pPr>
        <w:rPr>
          <w:sz w:val="22"/>
          <w:szCs w:val="22"/>
          <w:lang w:val="hu-HU"/>
        </w:rPr>
      </w:pPr>
    </w:p>
    <w:p w:rsidR="00092570" w:rsidRPr="00A530FF" w:rsidRDefault="00092570" w:rsidP="0009257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 hányingere van, vagy hány, segíthet, ha a Ferriprox-ot étkezés közben veszi be. A vizelet elszíneződése nagyon gyakori, és nem ártalmas.</w:t>
      </w:r>
    </w:p>
    <w:p w:rsidR="00092570" w:rsidRPr="00A530FF" w:rsidRDefault="00092570" w:rsidP="00092570">
      <w:pPr>
        <w:rPr>
          <w:sz w:val="22"/>
          <w:szCs w:val="22"/>
          <w:lang w:val="hu-HU"/>
        </w:rPr>
      </w:pPr>
    </w:p>
    <w:p w:rsidR="00C013A4" w:rsidRPr="00A530FF" w:rsidRDefault="00C013A4" w:rsidP="00C013A4">
      <w:pPr>
        <w:pStyle w:val="BodyText"/>
        <w:rPr>
          <w:szCs w:val="22"/>
          <w:lang w:val="hu-HU"/>
        </w:rPr>
      </w:pPr>
      <w:r w:rsidRPr="00A530FF">
        <w:rPr>
          <w:b/>
          <w:bCs/>
          <w:szCs w:val="22"/>
          <w:lang w:val="hu-HU"/>
        </w:rPr>
        <w:t>Gyakori mellékhatások</w:t>
      </w:r>
      <w:r w:rsidRPr="00A530FF">
        <w:rPr>
          <w:szCs w:val="22"/>
          <w:lang w:val="hu-HU"/>
        </w:rPr>
        <w:t xml:space="preserve"> (10-</w:t>
      </w:r>
      <w:r w:rsidR="003417C9" w:rsidRPr="00A530FF">
        <w:rPr>
          <w:szCs w:val="22"/>
          <w:lang w:val="hu-HU"/>
        </w:rPr>
        <w:t>ből legfeljebb 1 beteget</w:t>
      </w:r>
      <w:r w:rsidRPr="00A530FF">
        <w:rPr>
          <w:szCs w:val="22"/>
          <w:lang w:val="hu-HU"/>
        </w:rPr>
        <w:t xml:space="preserve"> érint</w:t>
      </w:r>
      <w:r w:rsidR="003417C9" w:rsidRPr="00A530FF">
        <w:rPr>
          <w:szCs w:val="22"/>
          <w:lang w:val="hu-HU"/>
        </w:rPr>
        <w:t>het</w:t>
      </w:r>
      <w:r w:rsidRPr="00A530FF">
        <w:rPr>
          <w:szCs w:val="22"/>
          <w:lang w:val="hu-HU"/>
        </w:rPr>
        <w:t>):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alacsony fehérvérsejtszám (agranulocitózis és neutropénia)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fejfájás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hasmenés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májenzimek </w:t>
      </w:r>
      <w:r w:rsidR="005447F7" w:rsidRPr="00A530FF">
        <w:rPr>
          <w:szCs w:val="22"/>
          <w:lang w:val="hu-HU"/>
        </w:rPr>
        <w:t xml:space="preserve">szintjének </w:t>
      </w:r>
      <w:r w:rsidRPr="00A530FF">
        <w:rPr>
          <w:szCs w:val="22"/>
          <w:lang w:val="hu-HU"/>
        </w:rPr>
        <w:t>emelkedése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fáradtság</w:t>
      </w:r>
    </w:p>
    <w:p w:rsidR="00C013A4" w:rsidRPr="00A530FF" w:rsidRDefault="00FF26F7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fokozott </w:t>
      </w:r>
      <w:r w:rsidR="00C013A4" w:rsidRPr="00A530FF">
        <w:rPr>
          <w:szCs w:val="22"/>
          <w:lang w:val="hu-HU"/>
        </w:rPr>
        <w:t>étvágy</w:t>
      </w:r>
    </w:p>
    <w:p w:rsidR="003417C9" w:rsidRPr="00A530FF" w:rsidRDefault="003417C9" w:rsidP="003417C9">
      <w:pPr>
        <w:pStyle w:val="BodyText"/>
        <w:rPr>
          <w:szCs w:val="22"/>
          <w:lang w:val="hu-HU"/>
        </w:rPr>
      </w:pPr>
    </w:p>
    <w:p w:rsidR="00C40DCF" w:rsidRPr="00A530FF" w:rsidRDefault="003417C9" w:rsidP="00C40DCF">
      <w:pPr>
        <w:pStyle w:val="BodyText"/>
        <w:tabs>
          <w:tab w:val="clear" w:pos="567"/>
        </w:tabs>
        <w:spacing w:line="240" w:lineRule="auto"/>
        <w:jc w:val="left"/>
        <w:rPr>
          <w:bCs/>
          <w:szCs w:val="22"/>
          <w:lang w:val="hu-HU"/>
        </w:rPr>
      </w:pPr>
      <w:r w:rsidRPr="00A530FF">
        <w:rPr>
          <w:b/>
          <w:bCs/>
          <w:szCs w:val="22"/>
          <w:lang w:val="hu-HU"/>
        </w:rPr>
        <w:t xml:space="preserve">Nem ismert </w:t>
      </w:r>
      <w:r w:rsidR="00951A83">
        <w:rPr>
          <w:b/>
          <w:bCs/>
          <w:szCs w:val="22"/>
          <w:lang w:val="hu-HU"/>
        </w:rPr>
        <w:t xml:space="preserve">gyakoriságú mellékhatás </w:t>
      </w:r>
      <w:r w:rsidRPr="00A530FF">
        <w:rPr>
          <w:bCs/>
          <w:szCs w:val="22"/>
          <w:lang w:val="hu-HU"/>
        </w:rPr>
        <w:t>(a gyakoriság a rendelkezésre álló adatok alapján</w:t>
      </w:r>
      <w:r w:rsidR="00307F98" w:rsidRPr="00A530FF">
        <w:rPr>
          <w:bCs/>
          <w:szCs w:val="22"/>
          <w:lang w:val="hu-HU"/>
        </w:rPr>
        <w:t xml:space="preserve"> nem állapítható meg</w:t>
      </w:r>
      <w:r w:rsidRPr="00A530FF">
        <w:rPr>
          <w:bCs/>
          <w:szCs w:val="22"/>
          <w:lang w:val="hu-HU"/>
        </w:rPr>
        <w:t>):</w:t>
      </w:r>
    </w:p>
    <w:p w:rsidR="003417C9" w:rsidRPr="00A530FF" w:rsidRDefault="00DA5AF5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allergiás reakciók, beleértve a bőrkiütést vagy csalánkiütést</w:t>
      </w:r>
    </w:p>
    <w:p w:rsidR="00092570" w:rsidRPr="00A530FF" w:rsidRDefault="00092570" w:rsidP="003417C9">
      <w:pPr>
        <w:tabs>
          <w:tab w:val="left" w:pos="6002"/>
        </w:tabs>
        <w:rPr>
          <w:sz w:val="22"/>
          <w:szCs w:val="22"/>
          <w:lang w:val="hu-HU"/>
        </w:rPr>
      </w:pPr>
    </w:p>
    <w:p w:rsidR="000A0A3A" w:rsidRPr="00A530FF" w:rsidRDefault="00092570" w:rsidP="0009257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ízületi fájdalommal és az ízületek dagadásával járó esetek között az egy vagy több ízületben jelentkező enyhe fájdalomtól a súlyos mozgásképtelenségig minden előfordult. A legtöbb esetben a fájdalom elmúlt</w:t>
      </w:r>
      <w:r w:rsidR="00230191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miközben a betegek folytatták a Ferriprox szedését</w:t>
      </w:r>
      <w:r w:rsidR="005D02E7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807437" w:rsidP="00092570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</w:t>
      </w:r>
      <w:r w:rsidR="005D02E7" w:rsidRPr="00A530FF">
        <w:rPr>
          <w:sz w:val="22"/>
          <w:szCs w:val="22"/>
          <w:lang w:val="hu-HU"/>
        </w:rPr>
        <w:t xml:space="preserve">eurológiai rendellenességekről (például remegés, járászavarok, kettős látás, önkéntelen izomösszehúzódások, mozgáskoordinációs zavarok) </w:t>
      </w:r>
      <w:r w:rsidR="00092570" w:rsidRPr="00A530FF">
        <w:rPr>
          <w:sz w:val="22"/>
          <w:szCs w:val="22"/>
          <w:lang w:val="hu-HU"/>
        </w:rPr>
        <w:t xml:space="preserve">számolnak </w:t>
      </w:r>
      <w:r w:rsidR="005D02E7" w:rsidRPr="00A530FF">
        <w:rPr>
          <w:sz w:val="22"/>
          <w:szCs w:val="22"/>
          <w:lang w:val="hu-HU"/>
        </w:rPr>
        <w:t>be olyan gyermekeknél, akiknek több éven át szándékosan a javasolt maximális 100 mg/testtömegkilogramm/nap dózis kétszeresét meghaladó dózisokat írtak fel</w:t>
      </w:r>
      <w:r w:rsidRPr="00807437">
        <w:rPr>
          <w:sz w:val="22"/>
          <w:szCs w:val="22"/>
          <w:lang w:val="hu-HU"/>
        </w:rPr>
        <w:t xml:space="preserve">, és olyan gyermekeknél is, akiket </w:t>
      </w:r>
      <w:r w:rsidR="000C0D0B">
        <w:rPr>
          <w:sz w:val="22"/>
          <w:szCs w:val="22"/>
          <w:lang w:val="hu-HU"/>
        </w:rPr>
        <w:t>a szokásos</w:t>
      </w:r>
      <w:r w:rsidRPr="00807437">
        <w:rPr>
          <w:sz w:val="22"/>
          <w:szCs w:val="22"/>
          <w:lang w:val="hu-HU"/>
        </w:rPr>
        <w:t xml:space="preserve"> dózisú deferipronnal kezeltek</w:t>
      </w:r>
      <w:r w:rsidR="005D02E7" w:rsidRPr="00A530FF">
        <w:rPr>
          <w:sz w:val="22"/>
          <w:szCs w:val="22"/>
          <w:lang w:val="hu-HU"/>
        </w:rPr>
        <w:t>.</w:t>
      </w:r>
      <w:r w:rsidR="00DA1F84" w:rsidRPr="00A530FF">
        <w:rPr>
          <w:sz w:val="22"/>
          <w:szCs w:val="22"/>
          <w:lang w:val="hu-HU"/>
        </w:rPr>
        <w:t xml:space="preserve"> A Ferriprox szedésének megszakítását követően a </w:t>
      </w:r>
      <w:r w:rsidRPr="00807437">
        <w:rPr>
          <w:sz w:val="22"/>
          <w:szCs w:val="22"/>
          <w:lang w:val="hu-HU"/>
        </w:rPr>
        <w:t>gyermekeknél</w:t>
      </w:r>
      <w:r>
        <w:rPr>
          <w:sz w:val="22"/>
          <w:szCs w:val="22"/>
          <w:lang w:val="hu-HU"/>
        </w:rPr>
        <w:t xml:space="preserve"> a</w:t>
      </w:r>
      <w:r w:rsidRPr="00807437">
        <w:rPr>
          <w:sz w:val="22"/>
          <w:szCs w:val="22"/>
          <w:lang w:val="hu-HU"/>
        </w:rPr>
        <w:t xml:space="preserve"> </w:t>
      </w:r>
      <w:r w:rsidR="00DA1F84" w:rsidRPr="00A530FF">
        <w:rPr>
          <w:sz w:val="22"/>
          <w:szCs w:val="22"/>
          <w:lang w:val="hu-HU"/>
        </w:rPr>
        <w:t>tünetek megszűntek.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1132EC" w:rsidRPr="00A530FF" w:rsidRDefault="001132EC" w:rsidP="001132EC">
      <w:pPr>
        <w:ind w:right="-29"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Mellékhatások bejelentése</w:t>
      </w:r>
    </w:p>
    <w:p w:rsidR="001132EC" w:rsidRPr="00A530FF" w:rsidRDefault="00DA1F84" w:rsidP="001132EC">
      <w:pPr>
        <w:ind w:right="-2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Ha </w:t>
      </w:r>
      <w:r w:rsidR="00DA5AF5" w:rsidRPr="00A530FF">
        <w:rPr>
          <w:sz w:val="22"/>
          <w:szCs w:val="22"/>
          <w:lang w:val="hu-HU"/>
        </w:rPr>
        <w:t>Önnél bármilyen</w:t>
      </w:r>
      <w:r w:rsidRPr="00A530FF">
        <w:rPr>
          <w:sz w:val="22"/>
          <w:szCs w:val="22"/>
          <w:lang w:val="hu-HU"/>
        </w:rPr>
        <w:t xml:space="preserve"> mellékhatás</w:t>
      </w:r>
      <w:r w:rsidR="00DA5AF5" w:rsidRPr="00A530FF">
        <w:rPr>
          <w:sz w:val="22"/>
          <w:szCs w:val="22"/>
          <w:lang w:val="hu-HU"/>
        </w:rPr>
        <w:t xml:space="preserve"> jelentkezik</w:t>
      </w:r>
      <w:r w:rsidRPr="00A530FF">
        <w:rPr>
          <w:sz w:val="22"/>
          <w:szCs w:val="22"/>
          <w:lang w:val="hu-HU"/>
        </w:rPr>
        <w:t xml:space="preserve">, </w:t>
      </w:r>
      <w:r w:rsidR="00DA5AF5" w:rsidRPr="00A530FF">
        <w:rPr>
          <w:sz w:val="22"/>
          <w:szCs w:val="22"/>
          <w:lang w:val="hu-HU"/>
        </w:rPr>
        <w:t>tájékoztassa</w:t>
      </w:r>
      <w:r w:rsidRPr="00A530FF">
        <w:rPr>
          <w:sz w:val="22"/>
          <w:szCs w:val="22"/>
          <w:lang w:val="hu-HU"/>
        </w:rPr>
        <w:t xml:space="preserve"> </w:t>
      </w:r>
      <w:r w:rsidR="00DA5AF5" w:rsidRPr="00A530FF">
        <w:rPr>
          <w:sz w:val="22"/>
          <w:szCs w:val="22"/>
          <w:lang w:val="hu-HU"/>
        </w:rPr>
        <w:t>kezelő</w:t>
      </w:r>
      <w:r w:rsidRPr="00A530FF">
        <w:rPr>
          <w:sz w:val="22"/>
          <w:szCs w:val="22"/>
          <w:lang w:val="hu-HU"/>
        </w:rPr>
        <w:t>orvosát vagy gyógyszerészét.</w:t>
      </w:r>
      <w:r w:rsidR="00DA5AF5" w:rsidRPr="00A530FF">
        <w:rPr>
          <w:sz w:val="22"/>
          <w:szCs w:val="22"/>
          <w:lang w:val="hu-HU"/>
        </w:rPr>
        <w:t xml:space="preserve"> Ez a betegtájékoztatóban fel nem sorolt bármilyen lehetséges mellékhatásra is vonatkozik.</w:t>
      </w:r>
      <w:r w:rsidR="001132EC" w:rsidRPr="00A530FF">
        <w:rPr>
          <w:sz w:val="22"/>
          <w:szCs w:val="22"/>
          <w:lang w:val="hu-HU"/>
        </w:rPr>
        <w:t xml:space="preserve"> A mellékhatásokat közvetlenül a hatóság részére is bejelentheti az </w:t>
      </w:r>
      <w:hyperlink r:id="rId13" w:history="1">
        <w:r w:rsidR="004211E1" w:rsidRPr="004211E1">
          <w:rPr>
            <w:rStyle w:val="Hyperlink"/>
            <w:sz w:val="22"/>
            <w:highlight w:val="lightGray"/>
            <w:lang w:val="hu-HU"/>
          </w:rPr>
          <w:t>V. függelékben</w:t>
        </w:r>
      </w:hyperlink>
      <w:r w:rsidR="001132EC" w:rsidRPr="004211E1">
        <w:rPr>
          <w:sz w:val="24"/>
          <w:szCs w:val="22"/>
          <w:highlight w:val="lightGray"/>
          <w:lang w:val="hu-HU"/>
        </w:rPr>
        <w:t xml:space="preserve"> </w:t>
      </w:r>
      <w:r w:rsidR="001132EC" w:rsidRPr="00A530FF">
        <w:rPr>
          <w:sz w:val="22"/>
          <w:szCs w:val="22"/>
          <w:highlight w:val="lightGray"/>
          <w:lang w:val="hu-HU"/>
        </w:rPr>
        <w:t>található elérhetőségeken keresztül</w:t>
      </w:r>
      <w:r w:rsidR="001132EC" w:rsidRPr="00A530FF">
        <w:rPr>
          <w:sz w:val="22"/>
          <w:szCs w:val="22"/>
          <w:lang w:val="hu-HU"/>
        </w:rPr>
        <w:t>. A mellékhatások bejelentésével Ön is hozzájárulhat ahhoz, hogy minél több információ álljon rendelkezésre a gyógyszer biztonságos alkalmazásával kapcsolatban.</w:t>
      </w:r>
    </w:p>
    <w:p w:rsidR="00DA1F84" w:rsidRPr="00A530FF" w:rsidRDefault="00DA1F84">
      <w:pPr>
        <w:pStyle w:val="BodyText3"/>
        <w:numPr>
          <w:ilvl w:val="12"/>
          <w:numId w:val="0"/>
        </w:numPr>
        <w:rPr>
          <w:color w:val="auto"/>
          <w:szCs w:val="22"/>
          <w:lang w:val="hu-HU"/>
        </w:rPr>
      </w:pP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A5089D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5.</w:t>
      </w:r>
      <w:r w:rsidRPr="00A530FF">
        <w:rPr>
          <w:szCs w:val="22"/>
          <w:lang w:val="hu-HU" w:eastAsia="en-US"/>
        </w:rPr>
        <w:tab/>
        <w:t>H</w:t>
      </w:r>
      <w:r w:rsidR="00DA5AF5" w:rsidRPr="00A530FF">
        <w:rPr>
          <w:szCs w:val="22"/>
          <w:lang w:val="hu-HU" w:eastAsia="en-US"/>
        </w:rPr>
        <w:t xml:space="preserve">ogyan kell a </w:t>
      </w:r>
      <w:r w:rsidRPr="00A530FF">
        <w:rPr>
          <w:szCs w:val="22"/>
          <w:lang w:val="hu-HU" w:eastAsia="en-US"/>
        </w:rPr>
        <w:t>F</w:t>
      </w:r>
      <w:r w:rsidR="00DA5AF5" w:rsidRPr="00A530FF">
        <w:rPr>
          <w:szCs w:val="22"/>
          <w:lang w:val="hu-HU" w:eastAsia="en-US"/>
        </w:rPr>
        <w:t>erriprox-ot tárolni</w:t>
      </w:r>
      <w:r w:rsidRPr="00A530FF">
        <w:rPr>
          <w:szCs w:val="22"/>
          <w:lang w:val="hu-HU" w:eastAsia="en-US"/>
        </w:rPr>
        <w:t>?</w:t>
      </w:r>
    </w:p>
    <w:p w:rsidR="00DA1F84" w:rsidRPr="00A530FF" w:rsidRDefault="00DA1F84" w:rsidP="00A5089D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 gyermekektől elzárva tartandó!</w:t>
      </w:r>
    </w:p>
    <w:p w:rsidR="00153AA4" w:rsidRPr="00A530FF" w:rsidRDefault="00153AA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címkén és dobozon feltüntetett lejárati idő (</w:t>
      </w:r>
      <w:r w:rsidR="001E1F63">
        <w:rPr>
          <w:sz w:val="22"/>
          <w:szCs w:val="22"/>
          <w:lang w:val="hu-HU"/>
        </w:rPr>
        <w:t>EXP</w:t>
      </w:r>
      <w:r w:rsidRPr="00A530FF">
        <w:rPr>
          <w:sz w:val="22"/>
          <w:szCs w:val="22"/>
          <w:lang w:val="hu-HU"/>
        </w:rPr>
        <w:t xml:space="preserve">) után ne szedje a </w:t>
      </w:r>
      <w:r w:rsidR="001F6B23" w:rsidRPr="00A530FF">
        <w:rPr>
          <w:sz w:val="22"/>
          <w:szCs w:val="22"/>
          <w:lang w:val="hu-HU"/>
        </w:rPr>
        <w:t>gyógyszert</w:t>
      </w:r>
      <w:r w:rsidRPr="00A530FF">
        <w:rPr>
          <w:sz w:val="22"/>
          <w:szCs w:val="22"/>
          <w:lang w:val="hu-HU"/>
        </w:rPr>
        <w:t>.</w:t>
      </w:r>
    </w:p>
    <w:p w:rsidR="00153AA4" w:rsidRPr="00A530FF" w:rsidRDefault="00153AA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30°C-on tárolandó.</w:t>
      </w:r>
    </w:p>
    <w:p w:rsidR="007B2E9E" w:rsidRDefault="007B2E9E" w:rsidP="007B2E9E">
      <w:pPr>
        <w:rPr>
          <w:sz w:val="22"/>
          <w:szCs w:val="22"/>
          <w:lang w:val="hu-HU"/>
        </w:rPr>
      </w:pPr>
    </w:p>
    <w:p w:rsidR="00DA1F84" w:rsidRDefault="007B2E9E" w:rsidP="007B2E9E">
      <w:pPr>
        <w:rPr>
          <w:sz w:val="22"/>
          <w:szCs w:val="22"/>
          <w:lang w:val="hu-HU"/>
        </w:rPr>
      </w:pPr>
      <w:r w:rsidRPr="007B2E9E">
        <w:rPr>
          <w:sz w:val="22"/>
          <w:szCs w:val="22"/>
          <w:lang w:val="hu-HU"/>
        </w:rPr>
        <w:t>Semmilyen gyóg</w:t>
      </w:r>
      <w:r>
        <w:rPr>
          <w:sz w:val="22"/>
          <w:szCs w:val="22"/>
          <w:lang w:val="hu-HU"/>
        </w:rPr>
        <w:t xml:space="preserve">yszert ne dobjon a szennyvízbe </w:t>
      </w:r>
      <w:r w:rsidRPr="007B2E9E">
        <w:rPr>
          <w:sz w:val="22"/>
          <w:szCs w:val="22"/>
          <w:lang w:val="hu-HU"/>
        </w:rPr>
        <w:t>vagy a háztartási hulladékba. Kérdezze meg gyógyszerészét, hogy mit tegyen a már nem használt gyógyszereivel. Ezek az intézkedések elősegítik a környezet védelmét.</w:t>
      </w:r>
    </w:p>
    <w:p w:rsidR="007B2E9E" w:rsidRPr="007B2E9E" w:rsidRDefault="007B2E9E" w:rsidP="007B2E9E">
      <w:pPr>
        <w:rPr>
          <w:sz w:val="22"/>
          <w:szCs w:val="22"/>
          <w:lang w:val="hu-HU"/>
        </w:rPr>
      </w:pPr>
    </w:p>
    <w:p w:rsidR="00DA1F84" w:rsidRPr="007B2E9E" w:rsidRDefault="00DA1F84" w:rsidP="007B2E9E">
      <w:pPr>
        <w:rPr>
          <w:sz w:val="22"/>
          <w:szCs w:val="22"/>
          <w:lang w:val="hu-HU"/>
        </w:rPr>
      </w:pPr>
    </w:p>
    <w:p w:rsidR="00DA1F84" w:rsidRPr="00A530FF" w:rsidRDefault="00DA1F84" w:rsidP="00937515">
      <w:pPr>
        <w:keepNext/>
        <w:spacing w:line="260" w:lineRule="atLeast"/>
        <w:ind w:left="567" w:right="-2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</w:t>
      </w:r>
      <w:r w:rsidRPr="00A530FF">
        <w:rPr>
          <w:b/>
          <w:sz w:val="22"/>
          <w:szCs w:val="22"/>
          <w:lang w:val="hu-HU"/>
        </w:rPr>
        <w:tab/>
      </w:r>
      <w:r w:rsidR="00937515" w:rsidRPr="00A530FF">
        <w:rPr>
          <w:b/>
          <w:sz w:val="22"/>
          <w:szCs w:val="22"/>
          <w:lang w:val="hu-HU"/>
        </w:rPr>
        <w:t>A csomagolás tartalma és egyéb információk</w:t>
      </w:r>
    </w:p>
    <w:p w:rsidR="00DA1F84" w:rsidRPr="00A530FF" w:rsidRDefault="00DA1F84" w:rsidP="00937515">
      <w:pPr>
        <w:keepNext/>
        <w:rPr>
          <w:sz w:val="22"/>
          <w:szCs w:val="22"/>
          <w:lang w:val="hu-HU"/>
        </w:rPr>
      </w:pPr>
    </w:p>
    <w:p w:rsidR="00DA1F84" w:rsidRPr="00A530FF" w:rsidRDefault="00DA1F84" w:rsidP="00937515">
      <w:pPr>
        <w:keepNext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Mit tartalmaz a Ferriprox</w:t>
      </w:r>
      <w:r w:rsidR="00C45EBD">
        <w:rPr>
          <w:b/>
          <w:bCs/>
          <w:sz w:val="22"/>
          <w:szCs w:val="22"/>
          <w:lang w:val="hu-HU"/>
        </w:rPr>
        <w:t>?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készítmény hatóanyaga deferipron. </w:t>
      </w:r>
      <w:r w:rsidR="007D3DCE" w:rsidRPr="00A530FF">
        <w:rPr>
          <w:sz w:val="22"/>
          <w:szCs w:val="22"/>
          <w:lang w:val="hu-HU"/>
        </w:rPr>
        <w:t xml:space="preserve">Minden </w:t>
      </w:r>
      <w:r w:rsidR="007D3DCE">
        <w:rPr>
          <w:sz w:val="22"/>
          <w:szCs w:val="22"/>
          <w:lang w:val="hu-HU"/>
        </w:rPr>
        <w:t>5</w:t>
      </w:r>
      <w:r w:rsidR="007D3DCE" w:rsidRPr="00A530FF">
        <w:rPr>
          <w:sz w:val="22"/>
          <w:szCs w:val="22"/>
          <w:lang w:val="hu-HU"/>
        </w:rPr>
        <w:t>00</w:t>
      </w:r>
      <w:r w:rsidR="007D3DCE">
        <w:rPr>
          <w:sz w:val="22"/>
          <w:szCs w:val="22"/>
          <w:lang w:val="hu-HU"/>
        </w:rPr>
        <w:t> </w:t>
      </w:r>
      <w:r w:rsidR="007D3DCE" w:rsidRPr="00A530FF">
        <w:rPr>
          <w:sz w:val="22"/>
          <w:szCs w:val="22"/>
          <w:lang w:val="hu-HU"/>
        </w:rPr>
        <w:t xml:space="preserve">mg-os tabletta </w:t>
      </w:r>
      <w:r w:rsidRPr="00A530FF">
        <w:rPr>
          <w:sz w:val="22"/>
          <w:szCs w:val="22"/>
          <w:lang w:val="hu-HU"/>
        </w:rPr>
        <w:t>500 mg deferipron</w:t>
      </w:r>
      <w:r w:rsidR="007D3DCE" w:rsidRPr="00A530FF">
        <w:rPr>
          <w:sz w:val="22"/>
          <w:szCs w:val="22"/>
          <w:lang w:val="hu-HU"/>
        </w:rPr>
        <w:t>t tartalmaz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Egyéb összetevők:</w:t>
      </w:r>
      <w:r w:rsidR="00E85B8C">
        <w:rPr>
          <w:sz w:val="22"/>
          <w:szCs w:val="22"/>
          <w:lang w:val="hu-HU"/>
        </w:rPr>
        <w:t xml:space="preserve"> </w:t>
      </w:r>
      <w:r w:rsidRPr="00012126">
        <w:rPr>
          <w:i/>
          <w:iCs/>
          <w:sz w:val="22"/>
          <w:szCs w:val="22"/>
          <w:lang w:val="hu-HU"/>
        </w:rPr>
        <w:t>Tablettamag:</w:t>
      </w:r>
      <w:r w:rsidRPr="00A530FF">
        <w:rPr>
          <w:sz w:val="22"/>
          <w:szCs w:val="22"/>
          <w:lang w:val="hu-HU"/>
        </w:rPr>
        <w:t xml:space="preserve"> </w:t>
      </w:r>
      <w:r w:rsidR="00290EB2" w:rsidRPr="00A530FF">
        <w:rPr>
          <w:sz w:val="22"/>
          <w:szCs w:val="22"/>
          <w:lang w:val="hu-HU"/>
        </w:rPr>
        <w:t>m</w:t>
      </w:r>
      <w:r w:rsidRPr="00A530FF">
        <w:rPr>
          <w:sz w:val="22"/>
          <w:szCs w:val="22"/>
          <w:lang w:val="hu-HU"/>
        </w:rPr>
        <w:t xml:space="preserve">ikrokristályos cellulóz, </w:t>
      </w:r>
      <w:r w:rsidR="00290EB2" w:rsidRPr="00A530FF">
        <w:rPr>
          <w:sz w:val="22"/>
          <w:szCs w:val="22"/>
          <w:lang w:val="hu-HU"/>
        </w:rPr>
        <w:t>m</w:t>
      </w:r>
      <w:r w:rsidRPr="00A530FF">
        <w:rPr>
          <w:sz w:val="22"/>
          <w:szCs w:val="22"/>
          <w:lang w:val="hu-HU"/>
        </w:rPr>
        <w:t xml:space="preserve">agnézium-sztearát, </w:t>
      </w:r>
      <w:r w:rsidR="00290EB2" w:rsidRPr="00A530FF">
        <w:rPr>
          <w:sz w:val="22"/>
          <w:szCs w:val="22"/>
          <w:lang w:val="hu-HU"/>
        </w:rPr>
        <w:t>k</w:t>
      </w:r>
      <w:r w:rsidRPr="00A530FF">
        <w:rPr>
          <w:sz w:val="22"/>
          <w:szCs w:val="22"/>
          <w:lang w:val="hu-HU"/>
        </w:rPr>
        <w:t>olloid szilícium-dioxid.</w:t>
      </w:r>
      <w:r w:rsidR="00E85B8C">
        <w:rPr>
          <w:sz w:val="22"/>
          <w:szCs w:val="22"/>
          <w:lang w:val="hu-HU"/>
        </w:rPr>
        <w:t xml:space="preserve"> </w:t>
      </w:r>
      <w:r w:rsidRPr="00012126">
        <w:rPr>
          <w:i/>
          <w:iCs/>
          <w:sz w:val="22"/>
          <w:szCs w:val="22"/>
          <w:lang w:val="hu-HU"/>
        </w:rPr>
        <w:t xml:space="preserve">Bevonat: </w:t>
      </w:r>
      <w:r w:rsidR="00290EB2" w:rsidRPr="00A530FF">
        <w:rPr>
          <w:sz w:val="22"/>
          <w:szCs w:val="22"/>
          <w:lang w:val="hu-HU"/>
        </w:rPr>
        <w:t>h</w:t>
      </w:r>
      <w:r w:rsidRPr="00A530FF">
        <w:rPr>
          <w:sz w:val="22"/>
          <w:szCs w:val="22"/>
          <w:lang w:val="hu-HU"/>
        </w:rPr>
        <w:t xml:space="preserve">ipromellóz, </w:t>
      </w:r>
      <w:r w:rsidR="00290EB2" w:rsidRPr="00A530FF">
        <w:rPr>
          <w:sz w:val="22"/>
          <w:szCs w:val="22"/>
          <w:lang w:val="hu-HU"/>
        </w:rPr>
        <w:t>m</w:t>
      </w:r>
      <w:r w:rsidRPr="00A530FF">
        <w:rPr>
          <w:sz w:val="22"/>
          <w:szCs w:val="22"/>
          <w:lang w:val="hu-HU"/>
        </w:rPr>
        <w:t xml:space="preserve">akrogol, </w:t>
      </w:r>
      <w:r w:rsidR="00290EB2" w:rsidRPr="00A530FF">
        <w:rPr>
          <w:sz w:val="22"/>
          <w:szCs w:val="22"/>
          <w:lang w:val="hu-HU"/>
        </w:rPr>
        <w:t>t</w:t>
      </w:r>
      <w:r w:rsidRPr="00A530FF">
        <w:rPr>
          <w:sz w:val="22"/>
          <w:szCs w:val="22"/>
          <w:lang w:val="hu-HU"/>
        </w:rPr>
        <w:t>itán-dioxid.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D55C2A">
      <w:pPr>
        <w:keepNext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 xml:space="preserve">Milyen a </w:t>
      </w:r>
      <w:r w:rsidR="00307F98" w:rsidRPr="00A530FF">
        <w:rPr>
          <w:b/>
          <w:sz w:val="22"/>
          <w:szCs w:val="22"/>
          <w:lang w:val="es-ES"/>
        </w:rPr>
        <w:t xml:space="preserve">Ferriprox </w:t>
      </w:r>
      <w:r w:rsidRPr="00A530FF">
        <w:rPr>
          <w:b/>
          <w:bCs/>
          <w:sz w:val="22"/>
          <w:szCs w:val="22"/>
          <w:lang w:val="hu-HU"/>
        </w:rPr>
        <w:t>külleme és mit tartalmaz a csomagolás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</w:t>
      </w:r>
      <w:r w:rsidR="007D3DCE">
        <w:rPr>
          <w:sz w:val="22"/>
          <w:szCs w:val="22"/>
          <w:lang w:val="hu-HU"/>
        </w:rPr>
        <w:t xml:space="preserve">500 mg-os </w:t>
      </w:r>
      <w:r w:rsidRPr="00A530FF">
        <w:rPr>
          <w:sz w:val="22"/>
          <w:szCs w:val="22"/>
          <w:lang w:val="hu-HU"/>
        </w:rPr>
        <w:t>tabletták fehér</w:t>
      </w:r>
      <w:r w:rsidR="00EE3A62">
        <w:rPr>
          <w:sz w:val="22"/>
          <w:szCs w:val="22"/>
          <w:lang w:val="hu-HU"/>
        </w:rPr>
        <w:t xml:space="preserve"> vagy </w:t>
      </w:r>
      <w:r w:rsidR="00230191">
        <w:rPr>
          <w:sz w:val="22"/>
          <w:szCs w:val="22"/>
          <w:lang w:val="hu-HU"/>
        </w:rPr>
        <w:t xml:space="preserve">csaknem </w:t>
      </w:r>
      <w:r w:rsidRPr="00A530FF">
        <w:rPr>
          <w:sz w:val="22"/>
          <w:szCs w:val="22"/>
          <w:lang w:val="hu-HU"/>
        </w:rPr>
        <w:t xml:space="preserve">fehér, hosszúkás alakú filmtabletták, az egyik oldalukon </w:t>
      </w:r>
      <w:r w:rsidR="00293498" w:rsidRPr="00A530FF">
        <w:rPr>
          <w:sz w:val="22"/>
          <w:szCs w:val="22"/>
          <w:lang w:val="hu-HU"/>
        </w:rPr>
        <w:t>„</w:t>
      </w:r>
      <w:r w:rsidRPr="00A530FF">
        <w:rPr>
          <w:sz w:val="22"/>
          <w:szCs w:val="22"/>
          <w:lang w:val="hu-HU"/>
        </w:rPr>
        <w:t xml:space="preserve">APO” és </w:t>
      </w:r>
      <w:r w:rsidR="00293498" w:rsidRPr="00A530FF">
        <w:rPr>
          <w:sz w:val="22"/>
          <w:szCs w:val="22"/>
          <w:lang w:val="hu-HU"/>
        </w:rPr>
        <w:t>„</w:t>
      </w:r>
      <w:smartTag w:uri="urn:schemas-microsoft-com:office:smarttags" w:element="State">
        <w:smartTagPr>
          <w:attr w:name="ProductID" w:val="500”"/>
        </w:smartTagPr>
        <w:r w:rsidRPr="00A530FF">
          <w:rPr>
            <w:sz w:val="22"/>
            <w:szCs w:val="22"/>
            <w:lang w:val="hu-HU"/>
          </w:rPr>
          <w:t>500”</w:t>
        </w:r>
      </w:smartTag>
      <w:r w:rsidRPr="00A530FF">
        <w:rPr>
          <w:sz w:val="22"/>
          <w:szCs w:val="22"/>
          <w:lang w:val="hu-HU"/>
        </w:rPr>
        <w:t xml:space="preserve"> felirattal ellátva, a másik oldaluk</w:t>
      </w:r>
      <w:r w:rsidR="00230191">
        <w:rPr>
          <w:sz w:val="22"/>
          <w:szCs w:val="22"/>
          <w:lang w:val="hu-HU"/>
        </w:rPr>
        <w:t>on</w:t>
      </w:r>
      <w:r w:rsidRPr="00A530FF">
        <w:rPr>
          <w:sz w:val="22"/>
          <w:szCs w:val="22"/>
          <w:lang w:val="hu-HU"/>
        </w:rPr>
        <w:t xml:space="preserve"> jelzés nélkül. A tabletták </w:t>
      </w:r>
      <w:r w:rsidR="00A55BA1">
        <w:rPr>
          <w:sz w:val="22"/>
          <w:szCs w:val="22"/>
          <w:lang w:val="hu-HU"/>
        </w:rPr>
        <w:t>bemetszéssel</w:t>
      </w:r>
      <w:r w:rsidR="00A55BA1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vannak ellátva, amely</w:t>
      </w:r>
      <w:r w:rsidR="00A55BA1">
        <w:rPr>
          <w:sz w:val="22"/>
          <w:szCs w:val="22"/>
          <w:lang w:val="hu-HU"/>
        </w:rPr>
        <w:t xml:space="preserve"> mentén</w:t>
      </w:r>
      <w:r w:rsidRPr="00A530FF">
        <w:rPr>
          <w:sz w:val="22"/>
          <w:szCs w:val="22"/>
          <w:lang w:val="hu-HU"/>
        </w:rPr>
        <w:t xml:space="preserve"> félbetörhetőek. A Ferriprox 100 </w:t>
      </w:r>
      <w:r w:rsidR="00A55BA1">
        <w:rPr>
          <w:sz w:val="22"/>
          <w:szCs w:val="22"/>
          <w:lang w:val="hu-HU"/>
        </w:rPr>
        <w:t xml:space="preserve">db </w:t>
      </w:r>
      <w:r w:rsidRPr="00A530FF">
        <w:rPr>
          <w:sz w:val="22"/>
          <w:szCs w:val="22"/>
          <w:lang w:val="hu-HU"/>
        </w:rPr>
        <w:t>tablettát tartalmazó tartály</w:t>
      </w:r>
      <w:r w:rsidR="00290EB2" w:rsidRPr="00A530FF">
        <w:rPr>
          <w:sz w:val="22"/>
          <w:szCs w:val="22"/>
          <w:lang w:val="hu-HU"/>
        </w:rPr>
        <w:t>ban</w:t>
      </w:r>
      <w:r w:rsidRPr="00A530FF">
        <w:rPr>
          <w:sz w:val="22"/>
          <w:szCs w:val="22"/>
          <w:lang w:val="hu-HU"/>
        </w:rPr>
        <w:t xml:space="preserve"> kerül forgalomba.</w:t>
      </w:r>
    </w:p>
    <w:p w:rsidR="00DA1F84" w:rsidRPr="00A530FF" w:rsidRDefault="00DA1F84">
      <w:pPr>
        <w:rPr>
          <w:iCs/>
          <w:sz w:val="22"/>
          <w:szCs w:val="22"/>
          <w:lang w:val="hu-HU"/>
        </w:rPr>
      </w:pPr>
    </w:p>
    <w:p w:rsidR="00DA1F84" w:rsidRPr="00A530FF" w:rsidRDefault="00DA1F84" w:rsidP="000A0A3A">
      <w:pPr>
        <w:keepNext/>
        <w:tabs>
          <w:tab w:val="left" w:pos="4320"/>
        </w:tabs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A forgalomba hozatali engedély jogosultja és a gyártó</w:t>
      </w:r>
    </w:p>
    <w:p w:rsidR="00C26888" w:rsidRDefault="00DA1F84" w:rsidP="00C2688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</w:t>
      </w:r>
      <w:r w:rsidR="00C26888">
        <w:rPr>
          <w:sz w:val="22"/>
          <w:szCs w:val="22"/>
          <w:lang w:val="hu-HU"/>
        </w:rPr>
        <w:t>a hozatali engedély jogosultja: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Via Palermo 26/A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43122 Parma</w:t>
      </w:r>
    </w:p>
    <w:p w:rsidR="00DA1F84" w:rsidRPr="00A530F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Olaszország</w:t>
      </w:r>
    </w:p>
    <w:p w:rsidR="00DA1F84" w:rsidRPr="00A530FF" w:rsidRDefault="00DA1F84" w:rsidP="00C26888">
      <w:pPr>
        <w:ind w:left="720"/>
        <w:rPr>
          <w:sz w:val="22"/>
          <w:szCs w:val="22"/>
          <w:lang w:val="hu-HU"/>
        </w:rPr>
      </w:pPr>
    </w:p>
    <w:p w:rsidR="00C26888" w:rsidRDefault="00DA1F84" w:rsidP="00C26888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Gyártó:</w:t>
      </w:r>
      <w:r w:rsidRPr="00A530FF">
        <w:rPr>
          <w:b/>
          <w:sz w:val="22"/>
          <w:szCs w:val="22"/>
          <w:lang w:val="hu-HU"/>
        </w:rPr>
        <w:tab/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fr-FR"/>
        </w:rPr>
      </w:pPr>
      <w:r w:rsidRPr="00C26888">
        <w:rPr>
          <w:lang w:val="fr-FR"/>
        </w:rPr>
        <w:t>Eurofins PROXY Laboratories B.V.</w:t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fr-FR"/>
        </w:rPr>
      </w:pPr>
      <w:r w:rsidRPr="00C26888">
        <w:rPr>
          <w:lang w:val="fr-FR"/>
        </w:rPr>
        <w:t>Archimedesweg 25</w:t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fr-FR"/>
        </w:rPr>
      </w:pPr>
      <w:r w:rsidRPr="00C26888">
        <w:rPr>
          <w:lang w:val="fr-FR"/>
        </w:rPr>
        <w:t>2333 CM Leiden</w:t>
      </w:r>
    </w:p>
    <w:p w:rsidR="00C26888" w:rsidRPr="00A530FF" w:rsidRDefault="00C26888" w:rsidP="00C26888">
      <w:pPr>
        <w:tabs>
          <w:tab w:val="left" w:pos="567"/>
        </w:tabs>
        <w:ind w:left="720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Hollandia</w:t>
      </w:r>
    </w:p>
    <w:p w:rsidR="00DA1F84" w:rsidRPr="00A530FF" w:rsidRDefault="00DA1F84" w:rsidP="00C26888">
      <w:pPr>
        <w:rPr>
          <w:sz w:val="22"/>
          <w:szCs w:val="22"/>
          <w:lang w:val="hu-HU"/>
        </w:rPr>
      </w:pPr>
    </w:p>
    <w:p w:rsidR="00DA1F84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készítményhez kapcsolódó további kérdéseivel forduljon a forgalomba</w:t>
      </w:r>
      <w:r w:rsidR="0046164D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hozatali engedély jogosultjának helyi képviseletéhez:</w:t>
      </w:r>
    </w:p>
    <w:p w:rsidR="00E14D58" w:rsidRPr="00586776" w:rsidRDefault="00E14D58" w:rsidP="00E14D58">
      <w:pPr>
        <w:keepNext/>
        <w:numPr>
          <w:ilvl w:val="12"/>
          <w:numId w:val="0"/>
        </w:numPr>
        <w:ind w:right="-2"/>
        <w:rPr>
          <w:sz w:val="22"/>
          <w:szCs w:val="24"/>
          <w:lang w:val="bg-BG"/>
        </w:rPr>
      </w:pPr>
    </w:p>
    <w:tbl>
      <w:tblPr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854"/>
        <w:gridCol w:w="4858"/>
        <w:gridCol w:w="8"/>
      </w:tblGrid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België/Belgique/Belgien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Chiesi sa/nv </w:t>
            </w:r>
          </w:p>
          <w:p w:rsidR="00586776" w:rsidRDefault="00586776">
            <w:pPr>
              <w:ind w:right="34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Tél/Tel: + 32 (0)2 788 42 00</w:t>
            </w:r>
          </w:p>
          <w:p w:rsidR="00586776" w:rsidRDefault="00586776">
            <w:pPr>
              <w:ind w:right="34"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Lietuva</w:t>
            </w:r>
          </w:p>
          <w:p w:rsidR="00586776" w:rsidRDefault="00586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Pharmaceuticals GmbH </w:t>
            </w:r>
          </w:p>
          <w:p w:rsidR="00586776" w:rsidRDefault="00586776">
            <w:pPr>
              <w:suppressAutoHyphens/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</w:rPr>
              <w:t xml:space="preserve">+ 43 1 4073919 </w:t>
            </w:r>
          </w:p>
          <w:p w:rsidR="00586776" w:rsidRPr="00586776" w:rsidRDefault="00586776">
            <w:pPr>
              <w:suppressAutoHyphens/>
              <w:rPr>
                <w:sz w:val="22"/>
                <w:szCs w:val="22"/>
                <w:lang w:val="en-GB"/>
              </w:rPr>
            </w:pP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it-CH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България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IT"/>
              </w:rPr>
              <w:t xml:space="preserve">Chiesi Bulgaria EOOD </w:t>
            </w:r>
          </w:p>
          <w:p w:rsidR="00586776" w:rsidRDefault="00586776">
            <w:pPr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en-GB"/>
              </w:rPr>
              <w:t>Тел</w:t>
            </w:r>
            <w:r>
              <w:rPr>
                <w:sz w:val="22"/>
                <w:szCs w:val="22"/>
                <w:lang w:val="it-CH"/>
              </w:rPr>
              <w:t xml:space="preserve">.: +359 </w:t>
            </w:r>
            <w:r>
              <w:rPr>
                <w:sz w:val="22"/>
                <w:szCs w:val="22"/>
                <w:lang w:val="it-IT"/>
              </w:rPr>
              <w:t xml:space="preserve">29201205 </w:t>
            </w:r>
          </w:p>
          <w:p w:rsidR="00586776" w:rsidRDefault="00586776">
            <w:pPr>
              <w:tabs>
                <w:tab w:val="left" w:pos="-720"/>
              </w:tabs>
              <w:suppressAutoHyphens/>
              <w:jc w:val="both"/>
              <w:rPr>
                <w:b/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Luxembourg/Luxemburg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sa/nv</w:t>
            </w:r>
          </w:p>
          <w:p w:rsidR="00586776" w:rsidRPr="00586776" w:rsidRDefault="00586776">
            <w:pPr>
              <w:suppressAutoHyphens/>
              <w:rPr>
                <w:sz w:val="22"/>
                <w:szCs w:val="22"/>
                <w:lang w:val="it-CH"/>
              </w:rPr>
            </w:pPr>
            <w:r w:rsidRPr="00586776">
              <w:rPr>
                <w:sz w:val="22"/>
                <w:szCs w:val="22"/>
                <w:lang w:val="it-CH"/>
              </w:rPr>
              <w:t xml:space="preserve">Tél/Tel: + 32 (0)2 788 42 00 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pt-BR"/>
              </w:rPr>
            </w:pPr>
            <w:r w:rsidRPr="00586776">
              <w:rPr>
                <w:b/>
                <w:sz w:val="22"/>
                <w:szCs w:val="22"/>
                <w:lang w:val="pt-BR"/>
              </w:rPr>
              <w:t>Česká republika</w:t>
            </w:r>
          </w:p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pt-BR"/>
              </w:rPr>
            </w:pPr>
            <w:r w:rsidRPr="00586776">
              <w:rPr>
                <w:sz w:val="22"/>
                <w:szCs w:val="22"/>
                <w:lang w:val="pt-BR"/>
              </w:rPr>
              <w:t>Aurovitas, spol. s r.o.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Tel: +00420 234 705 700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spacing w:line="260" w:lineRule="atLeast"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Magyarország</w:t>
            </w:r>
          </w:p>
          <w:p w:rsidR="00586776" w:rsidRDefault="00586776">
            <w:pPr>
              <w:spacing w:line="260" w:lineRule="atLeast"/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Hungary Kft.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Tel.: + 36-1-429 1060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Danmark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Pharma AB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Tlf: + 46 8 753 35 20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Malta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Tel: + 39 0521 </w:t>
            </w:r>
            <w:r>
              <w:rPr>
                <w:sz w:val="22"/>
                <w:szCs w:val="22"/>
              </w:rPr>
              <w:t>2791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Deutschland</w:t>
            </w:r>
          </w:p>
          <w:p w:rsidR="00586776" w:rsidRDefault="0058677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Chiesi GmbH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Tel: + 49 40 89724-0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de-DE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Nederland</w:t>
            </w:r>
          </w:p>
          <w:p w:rsidR="00586776" w:rsidRDefault="00586776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Chiesi Pharmaceuticals B.V.</w:t>
            </w:r>
          </w:p>
          <w:p w:rsidR="00586776" w:rsidRDefault="00586776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Tel: + 31 88 501 64 00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b/>
                <w:bCs/>
                <w:sz w:val="22"/>
                <w:szCs w:val="22"/>
              </w:rPr>
            </w:pPr>
            <w:r w:rsidRPr="00586776">
              <w:rPr>
                <w:b/>
                <w:bCs/>
                <w:sz w:val="22"/>
                <w:szCs w:val="22"/>
              </w:rPr>
              <w:t>Eesti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</w:rPr>
              <w:t>Chiesi Pharmaceuticals GmbH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</w:rPr>
              <w:t>Tel: + 43 1 4073919</w:t>
            </w:r>
          </w:p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keepNext/>
              <w:ind w:left="709" w:hanging="709"/>
              <w:outlineLvl w:val="1"/>
              <w:rPr>
                <w:rFonts w:ascii="Times New Roman Bold" w:hAnsi="Times New Roman Bold"/>
                <w:b/>
                <w:bCs/>
                <w:caps/>
                <w:snapToGrid w:val="0"/>
                <w:sz w:val="22"/>
                <w:szCs w:val="22"/>
                <w:lang w:val="it-IT"/>
              </w:rPr>
            </w:pPr>
            <w:r>
              <w:rPr>
                <w:rFonts w:ascii="Times New Roman Bold" w:hAnsi="Times New Roman Bold"/>
                <w:b/>
                <w:bCs/>
                <w:snapToGrid w:val="0"/>
                <w:sz w:val="22"/>
                <w:szCs w:val="22"/>
                <w:lang w:val="it-IT"/>
              </w:rPr>
              <w:t>Norge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Tlf: + 46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Ελλάδα</w:t>
            </w:r>
          </w:p>
          <w:p w:rsidR="00586776" w:rsidRDefault="00586776">
            <w:pPr>
              <w:rPr>
                <w:snapToGrid w:val="0"/>
                <w:sz w:val="22"/>
                <w:szCs w:val="22"/>
                <w:lang w:val="en-GB"/>
              </w:rPr>
            </w:pPr>
            <w:r>
              <w:rPr>
                <w:snapToGrid w:val="0"/>
                <w:sz w:val="22"/>
                <w:szCs w:val="22"/>
                <w:lang w:val="en-GB"/>
              </w:rPr>
              <w:t>DEMO ABEE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Τηλ: + 30 210 8161802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Österreich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s-ES"/>
              </w:rPr>
            </w:pPr>
            <w:r w:rsidRPr="00586776">
              <w:rPr>
                <w:b/>
                <w:sz w:val="22"/>
                <w:szCs w:val="22"/>
                <w:lang w:val="es-ES"/>
              </w:rPr>
              <w:t>España</w:t>
            </w:r>
          </w:p>
          <w:p w:rsidR="00586776" w:rsidRPr="00586776" w:rsidRDefault="00586776">
            <w:pPr>
              <w:rPr>
                <w:sz w:val="22"/>
                <w:szCs w:val="22"/>
                <w:lang w:val="es-ES"/>
              </w:rPr>
            </w:pPr>
            <w:r w:rsidRPr="00586776">
              <w:rPr>
                <w:sz w:val="22"/>
                <w:szCs w:val="22"/>
                <w:lang w:val="es-ES"/>
              </w:rPr>
              <w:t>Chiesi España, S.A.U.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+ 34 934948000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Polska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Poland Sp. z.o.o.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it-CH"/>
              </w:rPr>
              <w:t>Tel.: + 48 22 620 1421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France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Chiesi S.A.S. 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Tél: + 33 1 47688899 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Portugal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</w:tc>
      </w:tr>
      <w:tr w:rsidR="00930597" w:rsidTr="00586776">
        <w:trPr>
          <w:cantSplit/>
        </w:trPr>
        <w:tc>
          <w:tcPr>
            <w:tcW w:w="4855" w:type="dxa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 w:val="22"/>
                <w:szCs w:val="22"/>
                <w:lang w:val="hr-HR"/>
              </w:rPr>
            </w:pPr>
            <w:r>
              <w:rPr>
                <w:b/>
                <w:noProof/>
                <w:sz w:val="22"/>
                <w:szCs w:val="22"/>
                <w:lang w:val="hr-HR"/>
              </w:rPr>
              <w:t>Hrvatska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Chiesi Pharmaceuticals GmbH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Tel: + 43 1 4073919</w:t>
            </w:r>
          </w:p>
        </w:tc>
        <w:tc>
          <w:tcPr>
            <w:tcW w:w="4868" w:type="dxa"/>
            <w:gridSpan w:val="2"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România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Romania S.R.L.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+ 40 212023642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</w:tr>
      <w:tr w:rsidR="00930597" w:rsidTr="00586776">
        <w:trPr>
          <w:gridAfter w:val="1"/>
          <w:wAfter w:w="8" w:type="dxa"/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Ireland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0" w:type="dxa"/>
            <w:hideMark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Slovenija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Slovenija d.o.o.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+ 386-1-43 00 901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Ísland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Sími: +46 8 753 35 20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Slovenská republika</w:t>
            </w:r>
          </w:p>
          <w:p w:rsidR="00586776" w:rsidRDefault="00586776">
            <w:pPr>
              <w:spacing w:line="260" w:lineRule="atLeast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Chiesi Slovakia s.r.o.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+ 421 259300060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Italia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Italia S.p.A.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Suomi/Finland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Puh/Tel: +46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Κύπρος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Star Medicines Importers Co. Ltd.</w:t>
            </w:r>
          </w:p>
          <w:p w:rsidR="00586776" w:rsidRDefault="00586776">
            <w:pPr>
              <w:rPr>
                <w:sz w:val="22"/>
                <w:szCs w:val="22"/>
                <w:lang w:val="en-GB" w:eastAsia="en-CA"/>
              </w:rPr>
            </w:pPr>
            <w:r>
              <w:rPr>
                <w:sz w:val="22"/>
                <w:szCs w:val="22"/>
                <w:lang w:val="en-GB"/>
              </w:rPr>
              <w:t xml:space="preserve">Τηλ: + </w:t>
            </w:r>
            <w:r>
              <w:rPr>
                <w:sz w:val="22"/>
                <w:szCs w:val="22"/>
                <w:lang w:val="en-GB" w:eastAsia="en-CA"/>
              </w:rPr>
              <w:t>357 25 371056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Sverige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  <w:hideMark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Latvija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United Kingdom</w:t>
            </w:r>
          </w:p>
          <w:p w:rsidR="00586776" w:rsidRDefault="00586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Ltd 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Tel: + 44 (0)161 488 5555 </w:t>
            </w:r>
          </w:p>
        </w:tc>
      </w:tr>
    </w:tbl>
    <w:p w:rsidR="00E14D58" w:rsidRDefault="00E14D58" w:rsidP="00E14D58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586776" w:rsidRDefault="00586776" w:rsidP="00E14D58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DA1F84" w:rsidRPr="00A530FF" w:rsidRDefault="00DA1F84" w:rsidP="0027359A">
      <w:pPr>
        <w:rPr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betegtájékoztató </w:t>
      </w:r>
      <w:r w:rsidR="00937515" w:rsidRPr="00A530FF">
        <w:rPr>
          <w:b/>
          <w:sz w:val="22"/>
          <w:szCs w:val="22"/>
          <w:lang w:val="hu-HU"/>
        </w:rPr>
        <w:t>legutóbbi felülvizsgálatának</w:t>
      </w:r>
      <w:r w:rsidRPr="00A530FF">
        <w:rPr>
          <w:b/>
          <w:sz w:val="22"/>
          <w:szCs w:val="22"/>
          <w:lang w:val="hu-HU"/>
        </w:rPr>
        <w:t xml:space="preserve"> dátuma</w:t>
      </w:r>
      <w:r w:rsidR="00937515" w:rsidRPr="00A530FF">
        <w:rPr>
          <w:b/>
          <w:sz w:val="22"/>
          <w:szCs w:val="22"/>
          <w:lang w:val="hu-HU"/>
        </w:rPr>
        <w:t>:</w:t>
      </w:r>
    </w:p>
    <w:p w:rsidR="0046164D" w:rsidRPr="00A530FF" w:rsidRDefault="0046164D" w:rsidP="0027359A">
      <w:pPr>
        <w:rPr>
          <w:sz w:val="22"/>
          <w:szCs w:val="22"/>
          <w:lang w:val="hu-HU"/>
        </w:rPr>
      </w:pPr>
    </w:p>
    <w:p w:rsidR="0046164D" w:rsidRPr="00A530FF" w:rsidRDefault="0046164D" w:rsidP="0027359A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gyógyszerről részletes információ az Európai Gyógyszerügynökség internetes honl</w:t>
      </w:r>
      <w:r w:rsidR="00AD3396" w:rsidRPr="00A530FF">
        <w:rPr>
          <w:sz w:val="22"/>
          <w:szCs w:val="22"/>
          <w:lang w:val="hu-HU"/>
        </w:rPr>
        <w:t>apján (http://www.ema.europa.eu</w:t>
      </w:r>
      <w:r w:rsidRPr="00A530FF">
        <w:rPr>
          <w:sz w:val="22"/>
          <w:szCs w:val="22"/>
          <w:lang w:val="hu-HU"/>
        </w:rPr>
        <w:t>) találhatók.</w:t>
      </w:r>
    </w:p>
    <w:p w:rsidR="00DA1F84" w:rsidRPr="00A530FF" w:rsidRDefault="00DA1F84" w:rsidP="00837D87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br w:type="page"/>
      </w:r>
      <w:r w:rsidR="000C3D64" w:rsidRPr="00A530FF">
        <w:rPr>
          <w:b/>
          <w:sz w:val="22"/>
          <w:szCs w:val="22"/>
          <w:lang w:val="hu-HU"/>
        </w:rPr>
        <w:t>Betegtájékoztató</w:t>
      </w:r>
      <w:r w:rsidRPr="00A530FF">
        <w:rPr>
          <w:b/>
          <w:sz w:val="22"/>
          <w:szCs w:val="22"/>
          <w:lang w:val="hu-HU"/>
        </w:rPr>
        <w:t xml:space="preserve">: </w:t>
      </w:r>
      <w:r w:rsidR="009E7262" w:rsidRPr="00A530FF">
        <w:rPr>
          <w:b/>
          <w:sz w:val="22"/>
          <w:szCs w:val="22"/>
          <w:lang w:val="hu-HU"/>
        </w:rPr>
        <w:t>Információk a felhasználó számára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Ferriprox 100 mg/ml belsőleges oldat</w:t>
      </w:r>
    </w:p>
    <w:p w:rsidR="00DA1F84" w:rsidRPr="00A530FF" w:rsidRDefault="003E44E4">
      <w:pPr>
        <w:jc w:val="center"/>
        <w:rPr>
          <w:bCs/>
          <w:sz w:val="22"/>
          <w:szCs w:val="22"/>
          <w:lang w:val="hu-HU"/>
        </w:rPr>
      </w:pPr>
      <w:r>
        <w:rPr>
          <w:bCs/>
          <w:sz w:val="22"/>
          <w:szCs w:val="22"/>
          <w:lang w:val="hu-HU"/>
        </w:rPr>
        <w:t>d</w:t>
      </w:r>
      <w:r w:rsidR="00DA1F84" w:rsidRPr="00A530FF">
        <w:rPr>
          <w:bCs/>
          <w:sz w:val="22"/>
          <w:szCs w:val="22"/>
          <w:lang w:val="hu-HU"/>
        </w:rPr>
        <w:t>eferipron</w:t>
      </w:r>
    </w:p>
    <w:p w:rsidR="00DA1F84" w:rsidRPr="00A530FF" w:rsidRDefault="00DA1F84">
      <w:pPr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Mielőtt </w:t>
      </w:r>
      <w:r w:rsidR="00DF2BB5" w:rsidRPr="00A530FF">
        <w:rPr>
          <w:b/>
          <w:sz w:val="22"/>
          <w:szCs w:val="22"/>
          <w:lang w:val="hu-HU"/>
        </w:rPr>
        <w:t xml:space="preserve">elkezdi </w:t>
      </w:r>
      <w:r w:rsidRPr="00A530FF">
        <w:rPr>
          <w:b/>
          <w:sz w:val="22"/>
          <w:szCs w:val="22"/>
          <w:lang w:val="hu-HU"/>
        </w:rPr>
        <w:t>szedni ezt a gyógyszert, olvassa el figyelmesen az alábbi betegtájékoztatót</w:t>
      </w:r>
      <w:r w:rsidR="00084BF5" w:rsidRPr="00A530FF">
        <w:rPr>
          <w:b/>
          <w:sz w:val="22"/>
          <w:szCs w:val="22"/>
          <w:lang w:val="hu-HU"/>
        </w:rPr>
        <w:t>, me</w:t>
      </w:r>
      <w:r w:rsidR="006731AC" w:rsidRPr="00A530FF">
        <w:rPr>
          <w:b/>
          <w:sz w:val="22"/>
          <w:szCs w:val="22"/>
          <w:lang w:val="hu-HU"/>
        </w:rPr>
        <w:t>rt</w:t>
      </w:r>
      <w:r w:rsidR="00084BF5" w:rsidRPr="00A530FF">
        <w:rPr>
          <w:b/>
          <w:sz w:val="22"/>
          <w:szCs w:val="22"/>
          <w:lang w:val="hu-HU"/>
        </w:rPr>
        <w:t xml:space="preserve"> az Ön számára fontos információkat tartalmaz</w:t>
      </w:r>
      <w:r w:rsidRPr="00A530FF">
        <w:rPr>
          <w:b/>
          <w:sz w:val="22"/>
          <w:szCs w:val="22"/>
          <w:lang w:val="hu-HU"/>
        </w:rPr>
        <w:t>.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Tartsa meg a betegtájékoztatót, mert a benne szereplő információkra a későbbiekben is szüksége lehet.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További kérdéseivel forduljon </w:t>
      </w:r>
      <w:r w:rsidR="00084BF5" w:rsidRPr="00A530FF">
        <w:rPr>
          <w:szCs w:val="22"/>
          <w:lang w:val="hu-HU"/>
        </w:rPr>
        <w:t>kezelő</w:t>
      </w:r>
      <w:r w:rsidRPr="00A530FF">
        <w:rPr>
          <w:szCs w:val="22"/>
          <w:lang w:val="hu-HU"/>
        </w:rPr>
        <w:t>orvosához vagy gyógyszerészéhez.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Ezt a gyógyszert az orvos </w:t>
      </w:r>
      <w:r w:rsidR="00084BF5" w:rsidRPr="00A530FF">
        <w:rPr>
          <w:szCs w:val="22"/>
          <w:lang w:val="hu-HU"/>
        </w:rPr>
        <w:t xml:space="preserve">kizárólag </w:t>
      </w:r>
      <w:r w:rsidRPr="00A530FF">
        <w:rPr>
          <w:szCs w:val="22"/>
          <w:lang w:val="hu-HU"/>
        </w:rPr>
        <w:t xml:space="preserve">Önnek írta fel. Ne adja át a készítményt másnak, mert számára ártalmas lehet még abban az esetben is, ha </w:t>
      </w:r>
      <w:r w:rsidR="00DF2BB5" w:rsidRPr="00A530FF">
        <w:rPr>
          <w:noProof/>
          <w:szCs w:val="24"/>
          <w:lang w:val="hu-HU"/>
        </w:rPr>
        <w:t>a betegsége</w:t>
      </w:r>
      <w:r w:rsidR="00DF2BB5" w:rsidRPr="00A530FF">
        <w:rPr>
          <w:szCs w:val="22"/>
          <w:lang w:val="hu-HU"/>
        </w:rPr>
        <w:t xml:space="preserve"> </w:t>
      </w:r>
      <w:r w:rsidRPr="00A530FF">
        <w:rPr>
          <w:szCs w:val="22"/>
          <w:lang w:val="hu-HU"/>
        </w:rPr>
        <w:t>tünetei az Önéhez hasonlóak.</w:t>
      </w:r>
    </w:p>
    <w:p w:rsidR="00DA1F84" w:rsidRPr="00A530FF" w:rsidRDefault="00DA1F84" w:rsidP="008061A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Ha </w:t>
      </w:r>
      <w:r w:rsidR="00084BF5" w:rsidRPr="00A530FF">
        <w:rPr>
          <w:szCs w:val="22"/>
          <w:lang w:val="hu-HU"/>
        </w:rPr>
        <w:t>Önnél bármilyen</w:t>
      </w:r>
      <w:r w:rsidRPr="00A530FF">
        <w:rPr>
          <w:szCs w:val="22"/>
          <w:lang w:val="hu-HU"/>
        </w:rPr>
        <w:t xml:space="preserve"> mellékhatás</w:t>
      </w:r>
      <w:r w:rsidR="00084BF5" w:rsidRPr="00A530FF">
        <w:rPr>
          <w:szCs w:val="22"/>
          <w:lang w:val="hu-HU"/>
        </w:rPr>
        <w:t xml:space="preserve"> jelentkezik</w:t>
      </w:r>
      <w:r w:rsidRPr="00A530FF">
        <w:rPr>
          <w:szCs w:val="22"/>
          <w:lang w:val="hu-HU"/>
        </w:rPr>
        <w:t xml:space="preserve">, </w:t>
      </w:r>
      <w:r w:rsidR="00084BF5" w:rsidRPr="00A530FF">
        <w:rPr>
          <w:szCs w:val="22"/>
          <w:lang w:val="hu-HU"/>
        </w:rPr>
        <w:t>tájékoztassa erről</w:t>
      </w:r>
      <w:r w:rsidRPr="00A530FF">
        <w:rPr>
          <w:szCs w:val="22"/>
          <w:lang w:val="hu-HU"/>
        </w:rPr>
        <w:t xml:space="preserve"> </w:t>
      </w:r>
      <w:r w:rsidR="00084BF5" w:rsidRPr="00A530FF">
        <w:rPr>
          <w:szCs w:val="22"/>
          <w:lang w:val="hu-HU"/>
        </w:rPr>
        <w:t>kezelő</w:t>
      </w:r>
      <w:r w:rsidRPr="00A530FF">
        <w:rPr>
          <w:szCs w:val="22"/>
          <w:lang w:val="hu-HU"/>
        </w:rPr>
        <w:t>orvosát vagy gyógyszerészét.</w:t>
      </w:r>
      <w:r w:rsidR="00084BF5" w:rsidRPr="00A530FF">
        <w:rPr>
          <w:szCs w:val="22"/>
          <w:lang w:val="hu-HU"/>
        </w:rPr>
        <w:t xml:space="preserve"> Ez a betegtájékoztatóban fel nem sorolt bármilyen lehetséges mellékhatásra is vonatkozik.</w:t>
      </w:r>
      <w:r w:rsidR="004327DC" w:rsidRPr="00A530FF">
        <w:rPr>
          <w:lang w:val="hu-HU"/>
        </w:rPr>
        <w:t xml:space="preserve"> Lásd 4. pont.</w:t>
      </w:r>
    </w:p>
    <w:p w:rsidR="00CC1581" w:rsidRPr="00A530FF" w:rsidRDefault="00092570" w:rsidP="0035431B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betegtájékoztatóhoz </w:t>
      </w:r>
      <w:r w:rsidR="00CC1581" w:rsidRPr="00A530FF">
        <w:rPr>
          <w:szCs w:val="22"/>
          <w:lang w:val="hu-HU"/>
        </w:rPr>
        <w:t xml:space="preserve">mellékelve található egy emlékeztető </w:t>
      </w:r>
      <w:r w:rsidRPr="00A530FF">
        <w:rPr>
          <w:szCs w:val="22"/>
          <w:lang w:val="hu-HU"/>
        </w:rPr>
        <w:t>kártya a betegek/gondozók számára. Kérjük, tépje le, töltse ki, olvassa el figyelmesen, és tartsa magánál</w:t>
      </w:r>
      <w:r w:rsidR="00CC1581" w:rsidRPr="00A530FF">
        <w:rPr>
          <w:szCs w:val="22"/>
          <w:lang w:val="hu-HU"/>
        </w:rPr>
        <w:t>.</w:t>
      </w:r>
      <w:r w:rsidR="002F3841" w:rsidRPr="002F3841">
        <w:rPr>
          <w:szCs w:val="22"/>
          <w:lang w:val="hu"/>
        </w:rPr>
        <w:t xml:space="preserve"> </w:t>
      </w:r>
      <w:r w:rsidR="002F3841" w:rsidRPr="00A076D1">
        <w:rPr>
          <w:szCs w:val="22"/>
          <w:lang w:val="hu"/>
        </w:rPr>
        <w:t>Adja át a kártyát az orvosának, ha bármilyen fertőzésre utaló jelet, például lázat, torokfájást vagy influenzaszerű tüneteket</w:t>
      </w:r>
      <w:r w:rsidR="008061AA" w:rsidRPr="008061AA">
        <w:rPr>
          <w:szCs w:val="22"/>
          <w:lang w:val="hu"/>
        </w:rPr>
        <w:t xml:space="preserve"> </w:t>
      </w:r>
      <w:r w:rsidR="008061AA" w:rsidRPr="00A076D1">
        <w:rPr>
          <w:szCs w:val="22"/>
          <w:lang w:val="hu"/>
        </w:rPr>
        <w:t>észlel</w:t>
      </w:r>
      <w:r w:rsidR="002F3841" w:rsidRPr="00A076D1">
        <w:rPr>
          <w:szCs w:val="22"/>
          <w:lang w:val="hu"/>
        </w:rPr>
        <w:t>.</w:t>
      </w:r>
    </w:p>
    <w:p w:rsidR="00DA1F84" w:rsidRPr="00A530FF" w:rsidRDefault="00DA1F84" w:rsidP="00F75EF0">
      <w:pPr>
        <w:ind w:right="-2"/>
        <w:rPr>
          <w:b/>
          <w:sz w:val="22"/>
          <w:szCs w:val="22"/>
          <w:u w:val="single"/>
          <w:lang w:val="hu-HU"/>
        </w:rPr>
      </w:pPr>
    </w:p>
    <w:p w:rsidR="00DA1F84" w:rsidRPr="00A530FF" w:rsidRDefault="00DA1F84" w:rsidP="00F75EF0">
      <w:pPr>
        <w:ind w:right="-2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A betegtájékoztató tartalma:</w:t>
      </w:r>
    </w:p>
    <w:p w:rsidR="00DA1F84" w:rsidRPr="00A530FF" w:rsidRDefault="00DA1F84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1.</w:t>
      </w:r>
      <w:r w:rsidRPr="00A530FF">
        <w:rPr>
          <w:sz w:val="22"/>
          <w:szCs w:val="22"/>
          <w:lang w:val="hu-HU"/>
        </w:rPr>
        <w:tab/>
        <w:t>Milyen típusú gyógyszer a Ferriprox és milyen betegségek esetén alkalmazható?</w:t>
      </w:r>
    </w:p>
    <w:p w:rsidR="00DA1F84" w:rsidRPr="00A530FF" w:rsidRDefault="00DA1F84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2.</w:t>
      </w:r>
      <w:r w:rsidRPr="00A530FF">
        <w:rPr>
          <w:sz w:val="22"/>
          <w:szCs w:val="22"/>
          <w:lang w:val="hu-HU"/>
        </w:rPr>
        <w:tab/>
        <w:t>Tudnivalók a Ferriprox szedése előtt</w:t>
      </w:r>
    </w:p>
    <w:p w:rsidR="00DA1F84" w:rsidRPr="00A530FF" w:rsidRDefault="00DA1F84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3.</w:t>
      </w:r>
      <w:r w:rsidRPr="00A530FF">
        <w:rPr>
          <w:sz w:val="22"/>
          <w:szCs w:val="22"/>
          <w:lang w:val="hu-HU"/>
        </w:rPr>
        <w:tab/>
        <w:t>Hogyan kell szedni a Ferriprox-ot</w:t>
      </w:r>
      <w:r w:rsidR="00C54A76" w:rsidRPr="00A530FF">
        <w:rPr>
          <w:sz w:val="22"/>
          <w:szCs w:val="22"/>
          <w:lang w:val="hu-HU"/>
        </w:rPr>
        <w:t>?</w:t>
      </w:r>
    </w:p>
    <w:p w:rsidR="00DA1F84" w:rsidRPr="00A530FF" w:rsidRDefault="00DA1F84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4.</w:t>
      </w:r>
      <w:r w:rsidRPr="00A530FF">
        <w:rPr>
          <w:sz w:val="22"/>
          <w:szCs w:val="22"/>
          <w:lang w:val="hu-HU"/>
        </w:rPr>
        <w:tab/>
        <w:t>Lehetséges mellékhatások</w:t>
      </w:r>
    </w:p>
    <w:p w:rsidR="00DA1F84" w:rsidRPr="00A530FF" w:rsidRDefault="00DA1F84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5.</w:t>
      </w:r>
      <w:r w:rsidRPr="00A530FF">
        <w:rPr>
          <w:sz w:val="22"/>
          <w:szCs w:val="22"/>
          <w:lang w:val="hu-HU"/>
        </w:rPr>
        <w:tab/>
        <w:t>Hogyan kell a Ferriprox-ot tárolni?</w:t>
      </w:r>
    </w:p>
    <w:p w:rsidR="00DA1F84" w:rsidRPr="00A530FF" w:rsidRDefault="00DA1F84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6.</w:t>
      </w:r>
      <w:r w:rsidRPr="00A530FF">
        <w:rPr>
          <w:sz w:val="22"/>
          <w:szCs w:val="22"/>
          <w:lang w:val="hu-HU"/>
        </w:rPr>
        <w:tab/>
      </w:r>
      <w:r w:rsidR="00084BF5" w:rsidRPr="00A530FF">
        <w:rPr>
          <w:sz w:val="22"/>
          <w:szCs w:val="22"/>
          <w:lang w:val="hu-HU"/>
        </w:rPr>
        <w:t>A csomagolás tartalma és egyéb</w:t>
      </w:r>
      <w:r w:rsidRPr="00A530FF">
        <w:rPr>
          <w:sz w:val="22"/>
          <w:szCs w:val="22"/>
          <w:lang w:val="hu-HU"/>
        </w:rPr>
        <w:t xml:space="preserve"> információk</w:t>
      </w:r>
    </w:p>
    <w:p w:rsidR="00DA1F84" w:rsidRPr="00A530FF" w:rsidRDefault="00DA1F84" w:rsidP="008061AA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 w:rsidP="000A0A3A">
      <w:pPr>
        <w:pStyle w:val="WW-Szvegtrzs212"/>
        <w:tabs>
          <w:tab w:val="left" w:pos="567"/>
        </w:tabs>
        <w:suppressAutoHyphens w:val="0"/>
        <w:spacing w:line="260" w:lineRule="exact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1.</w:t>
      </w:r>
      <w:r w:rsidRPr="00A530FF">
        <w:rPr>
          <w:szCs w:val="22"/>
          <w:lang w:val="hu-HU" w:eastAsia="en-US"/>
        </w:rPr>
        <w:tab/>
        <w:t>M</w:t>
      </w:r>
      <w:r w:rsidR="00084BF5" w:rsidRPr="00A530FF">
        <w:rPr>
          <w:szCs w:val="22"/>
          <w:lang w:val="hu-HU"/>
        </w:rPr>
        <w:t>ilyen típusú gyógyszer a Ferriprox és milyen betegségek esetén alkalmazható</w:t>
      </w:r>
      <w:r w:rsidRPr="00A530FF">
        <w:rPr>
          <w:szCs w:val="22"/>
          <w:lang w:val="hu-HU" w:eastAsia="en-US"/>
        </w:rPr>
        <w:t>?</w:t>
      </w:r>
    </w:p>
    <w:p w:rsidR="00DA1F84" w:rsidRPr="00A530FF" w:rsidRDefault="00DA1F8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</w:p>
    <w:p w:rsidR="00B6527F" w:rsidRPr="00A530FF" w:rsidRDefault="00B6527F" w:rsidP="00B6527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</w:t>
      </w:r>
      <w:r w:rsidRPr="00065795">
        <w:rPr>
          <w:sz w:val="22"/>
          <w:szCs w:val="22"/>
          <w:lang w:val="hu-HU"/>
        </w:rPr>
        <w:t>deferipron hatóanyagot tartalmaz</w:t>
      </w:r>
      <w:r w:rsidRPr="00A530FF">
        <w:rPr>
          <w:sz w:val="22"/>
          <w:szCs w:val="22"/>
          <w:lang w:val="hu-HU"/>
        </w:rPr>
        <w:t xml:space="preserve">. A Ferriprox </w:t>
      </w:r>
      <w:r w:rsidR="00287F37">
        <w:rPr>
          <w:sz w:val="22"/>
          <w:szCs w:val="22"/>
          <w:lang w:val="hu-HU"/>
        </w:rPr>
        <w:t xml:space="preserve">egy </w:t>
      </w:r>
      <w:r w:rsidRPr="00B6527F">
        <w:rPr>
          <w:sz w:val="22"/>
          <w:szCs w:val="22"/>
          <w:lang w:val="hu-HU"/>
        </w:rPr>
        <w:t xml:space="preserve">vaskelátor </w:t>
      </w:r>
      <w:r w:rsidR="00287F37">
        <w:rPr>
          <w:sz w:val="22"/>
          <w:szCs w:val="22"/>
          <w:lang w:val="hu-HU"/>
        </w:rPr>
        <w:t xml:space="preserve">– </w:t>
      </w:r>
      <w:r w:rsidRPr="00A530FF">
        <w:rPr>
          <w:sz w:val="22"/>
          <w:szCs w:val="22"/>
          <w:lang w:val="hu-HU"/>
        </w:rPr>
        <w:t xml:space="preserve">olyan gyógyszer, amely eltávolítja a </w:t>
      </w:r>
      <w:r w:rsidRPr="00B6527F">
        <w:rPr>
          <w:sz w:val="22"/>
          <w:szCs w:val="22"/>
          <w:lang w:val="hu-HU"/>
        </w:rPr>
        <w:t xml:space="preserve">felesleges </w:t>
      </w:r>
      <w:r w:rsidRPr="00A530FF">
        <w:rPr>
          <w:sz w:val="22"/>
          <w:szCs w:val="22"/>
          <w:lang w:val="hu-HU"/>
        </w:rPr>
        <w:t>vasat a szervezetből.</w:t>
      </w:r>
    </w:p>
    <w:p w:rsidR="003C0A7E" w:rsidRPr="00A530FF" w:rsidRDefault="003C0A7E" w:rsidP="003C0A7E">
      <w:pPr>
        <w:rPr>
          <w:sz w:val="22"/>
          <w:szCs w:val="22"/>
          <w:lang w:val="hu-HU"/>
        </w:rPr>
      </w:pPr>
    </w:p>
    <w:p w:rsidR="005D4765" w:rsidRPr="00A530FF" w:rsidRDefault="005D4765" w:rsidP="005D476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az úgynevezett </w:t>
      </w:r>
      <w:r w:rsidR="008061AA">
        <w:rPr>
          <w:sz w:val="22"/>
          <w:szCs w:val="22"/>
          <w:lang w:val="hu-HU"/>
        </w:rPr>
        <w:t xml:space="preserve">talasszémia </w:t>
      </w:r>
      <w:r w:rsidRPr="00A530FF">
        <w:rPr>
          <w:sz w:val="22"/>
          <w:szCs w:val="22"/>
          <w:lang w:val="hu-HU"/>
        </w:rPr>
        <w:t xml:space="preserve">majorban szenvedő betegeknél alkalmazott gyakori vérátömlesztéssel okozott vastúlterhelés kezelésére szolgál, </w:t>
      </w:r>
      <w:r>
        <w:rPr>
          <w:sz w:val="22"/>
          <w:szCs w:val="22"/>
          <w:lang w:val="hu-HU"/>
        </w:rPr>
        <w:t xml:space="preserve">ha a jelenlegi </w:t>
      </w:r>
      <w:r w:rsidRPr="00750901">
        <w:rPr>
          <w:sz w:val="22"/>
          <w:szCs w:val="22"/>
          <w:lang w:val="hu-HU"/>
        </w:rPr>
        <w:t xml:space="preserve">kelátterápia </w:t>
      </w:r>
      <w:r w:rsidRPr="00A530FF">
        <w:rPr>
          <w:sz w:val="22"/>
          <w:szCs w:val="22"/>
          <w:lang w:val="hu-HU"/>
        </w:rPr>
        <w:t>ellenjavallt vagy nem megfelelő.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pStyle w:val="WW-Szvegtrzs212"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2.</w:t>
      </w:r>
      <w:r w:rsidRPr="00A530FF">
        <w:rPr>
          <w:szCs w:val="22"/>
          <w:lang w:val="hu-HU" w:eastAsia="en-US"/>
        </w:rPr>
        <w:tab/>
        <w:t>T</w:t>
      </w:r>
      <w:r w:rsidR="003426D9" w:rsidRPr="00A530FF">
        <w:rPr>
          <w:szCs w:val="22"/>
          <w:lang w:val="hu-HU"/>
        </w:rPr>
        <w:t>udnivalók a Ferriprox szedése előtt</w:t>
      </w:r>
    </w:p>
    <w:p w:rsidR="00DA1F84" w:rsidRPr="00A530FF" w:rsidRDefault="00DA1F84">
      <w:pPr>
        <w:ind w:left="567" w:hanging="567"/>
        <w:rPr>
          <w:b/>
          <w:sz w:val="22"/>
          <w:szCs w:val="22"/>
          <w:lang w:val="hu-HU"/>
        </w:rPr>
      </w:pPr>
    </w:p>
    <w:p w:rsidR="00DA1F84" w:rsidRPr="00A530FF" w:rsidRDefault="00DA1F84">
      <w:pPr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Ne szedje a Ferriprox</w:t>
      </w:r>
      <w:r w:rsidR="002D56C1" w:rsidRPr="00A530FF">
        <w:rPr>
          <w:b/>
          <w:sz w:val="22"/>
          <w:szCs w:val="22"/>
          <w:lang w:val="hu-HU"/>
        </w:rPr>
        <w:t>-</w:t>
      </w:r>
      <w:r w:rsidRPr="00A530FF">
        <w:rPr>
          <w:b/>
          <w:sz w:val="22"/>
          <w:szCs w:val="22"/>
          <w:lang w:val="hu-HU"/>
        </w:rPr>
        <w:t>ot:</w:t>
      </w:r>
    </w:p>
    <w:p w:rsidR="00DA1F84" w:rsidRPr="00A530FF" w:rsidRDefault="00DA1F8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ha allergiás a deferipronra vagy a </w:t>
      </w:r>
      <w:r w:rsidR="003426D9" w:rsidRPr="00A530FF">
        <w:rPr>
          <w:szCs w:val="22"/>
          <w:lang w:val="hu-HU"/>
        </w:rPr>
        <w:t>gyógyszer (6. pontban felsorolt)</w:t>
      </w:r>
      <w:r w:rsidRPr="00A530FF">
        <w:rPr>
          <w:szCs w:val="22"/>
          <w:lang w:val="hu-HU"/>
        </w:rPr>
        <w:t xml:space="preserve"> egyéb összetevőjére.</w:t>
      </w:r>
    </w:p>
    <w:p w:rsidR="00891DBB" w:rsidRPr="00A530FF" w:rsidRDefault="00891DBB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kórtörténetében szerepel időről-időre megjelenő neutropénia (alacsony fehérvérsejt</w:t>
      </w:r>
      <w:r w:rsidR="008061AA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[neutrofilszám</w:t>
      </w:r>
      <w:r w:rsidR="008061AA">
        <w:rPr>
          <w:szCs w:val="22"/>
          <w:lang w:val="hu-HU"/>
        </w:rPr>
        <w:t>]</w:t>
      </w:r>
      <w:r w:rsidRPr="00A530FF">
        <w:rPr>
          <w:szCs w:val="22"/>
          <w:lang w:val="hu-HU"/>
        </w:rPr>
        <w:t>).</w:t>
      </w:r>
    </w:p>
    <w:p w:rsidR="00891DBB" w:rsidRPr="00A530FF" w:rsidRDefault="00891DBB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kórtörténetében szerepel agranulocitózis (nagyon alacsony fehérvérsejt</w:t>
      </w:r>
      <w:r w:rsidR="008061AA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[neutrofilszám</w:t>
      </w:r>
      <w:r w:rsidR="008061AA">
        <w:rPr>
          <w:szCs w:val="22"/>
          <w:lang w:val="hu-HU"/>
        </w:rPr>
        <w:t>]</w:t>
      </w:r>
      <w:r w:rsidRPr="00A530FF">
        <w:rPr>
          <w:szCs w:val="22"/>
          <w:lang w:val="hu-HU"/>
        </w:rPr>
        <w:t>).</w:t>
      </w:r>
    </w:p>
    <w:p w:rsidR="00891DBB" w:rsidRPr="00A530FF" w:rsidRDefault="00891DBB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jelenleg olyan gyógyszereket szed, melyekről tudott, hogy neutropéniát vagy agranulocitózist okoznak</w:t>
      </w:r>
      <w:r w:rsidR="001B4308" w:rsidRPr="00A530FF">
        <w:rPr>
          <w:szCs w:val="22"/>
          <w:lang w:val="hu-HU"/>
        </w:rPr>
        <w:t xml:space="preserve"> (lásd a „</w:t>
      </w:r>
      <w:r w:rsidR="008C1739" w:rsidRPr="00A530FF">
        <w:rPr>
          <w:szCs w:val="22"/>
          <w:lang w:val="hu-HU"/>
        </w:rPr>
        <w:t>E</w:t>
      </w:r>
      <w:r w:rsidR="001B4308" w:rsidRPr="00A530FF">
        <w:rPr>
          <w:szCs w:val="22"/>
          <w:lang w:val="hu-HU"/>
        </w:rPr>
        <w:t>gyéb gyógyszerek</w:t>
      </w:r>
      <w:r w:rsidR="008C1739" w:rsidRPr="00A530FF">
        <w:rPr>
          <w:szCs w:val="22"/>
          <w:lang w:val="hu-HU"/>
        </w:rPr>
        <w:t xml:space="preserve"> és a Ferriprox</w:t>
      </w:r>
      <w:r w:rsidR="001B4308" w:rsidRPr="00A530FF">
        <w:rPr>
          <w:szCs w:val="22"/>
          <w:lang w:val="hu-HU"/>
        </w:rPr>
        <w:t>” című bekezdést)</w:t>
      </w:r>
      <w:r w:rsidRPr="00A530FF">
        <w:rPr>
          <w:szCs w:val="22"/>
          <w:lang w:val="hu-HU"/>
        </w:rPr>
        <w:t>.</w:t>
      </w:r>
    </w:p>
    <w:p w:rsidR="00C013A4" w:rsidRPr="00A530FF" w:rsidRDefault="00C013A4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terhes vagy szoptat.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F</w:t>
      </w:r>
      <w:r w:rsidR="008C1739" w:rsidRPr="00A530FF">
        <w:rPr>
          <w:b/>
          <w:sz w:val="22"/>
          <w:szCs w:val="22"/>
          <w:lang w:val="hu-HU"/>
        </w:rPr>
        <w:t>igyelmeztetések és óvintézkedések</w:t>
      </w:r>
    </w:p>
    <w:p w:rsidR="00B6527F" w:rsidRPr="00B6527F" w:rsidRDefault="005D0E6C" w:rsidP="00B6527F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legsúlyosabb mellékhatás, ami a Ferriprox szedése alatt bekövetkezhet, az a nagyon alacsony fehérvérsejt</w:t>
      </w:r>
      <w:r w:rsidR="008061AA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(neutrofilszám</w:t>
      </w:r>
      <w:r w:rsidR="008061AA">
        <w:rPr>
          <w:szCs w:val="22"/>
          <w:lang w:val="hu-HU"/>
        </w:rPr>
        <w:t>)</w:t>
      </w:r>
      <w:r w:rsidRPr="00A530FF">
        <w:rPr>
          <w:szCs w:val="22"/>
          <w:lang w:val="hu-HU"/>
        </w:rPr>
        <w:t xml:space="preserve">. Ez a súlyos neutropéniaként vagy agranulocitózisként ismert állapot nagyjából 100-ból </w:t>
      </w:r>
      <w:r w:rsidR="00EE60AD" w:rsidRPr="00A530FF">
        <w:rPr>
          <w:szCs w:val="22"/>
          <w:lang w:val="hu-HU"/>
        </w:rPr>
        <w:t>egy-két</w:t>
      </w:r>
      <w:r w:rsidRPr="00A530FF">
        <w:rPr>
          <w:szCs w:val="22"/>
          <w:lang w:val="hu-HU"/>
        </w:rPr>
        <w:t>, Ferriprox</w:t>
      </w:r>
      <w:r w:rsidR="002D56C1" w:rsidRPr="00A530FF">
        <w:rPr>
          <w:szCs w:val="22"/>
          <w:lang w:val="hu-HU"/>
        </w:rPr>
        <w:t>-</w:t>
      </w:r>
      <w:r w:rsidRPr="00A530FF">
        <w:rPr>
          <w:szCs w:val="22"/>
          <w:lang w:val="hu-HU"/>
        </w:rPr>
        <w:t>ot szedő embernél fordult elő a klinikai vizsgálatok során. Mivel a fehérvérsejtek a fertőzések leküzdésében segítenek, az alacsony neutrofilszám súlyos és esetlegesen életet veszélyeztető fertőzés kockázatát jelentheti. A neutropénia ellenőrzése érdekében orvosa a Ferriprox szedése alatt rendszeres – akár hetente történő – vérvizsgálatra fogja kérni Önt (fehérvérsejtszáma ellenőrzése érdekében). Az Ön érdekében nagyon fontos, hogy az összes ilyen vizsgálaton megjelenjen. Kérjük, olvassa el az ehhez a betegtájékoztatóhoz mellékelt, a betegnek</w:t>
      </w:r>
      <w:r w:rsidR="008061AA">
        <w:rPr>
          <w:szCs w:val="22"/>
          <w:lang w:val="hu-HU"/>
        </w:rPr>
        <w:t>,</w:t>
      </w:r>
      <w:r w:rsidRPr="00A530FF">
        <w:rPr>
          <w:szCs w:val="22"/>
          <w:lang w:val="hu-HU"/>
        </w:rPr>
        <w:t xml:space="preserve"> illetve gondozójának szóló emlékeztető kártyát. </w:t>
      </w:r>
      <w:r w:rsidR="002E6F7B" w:rsidRPr="00A076D1">
        <w:rPr>
          <w:szCs w:val="22"/>
          <w:lang w:val="hu"/>
        </w:rPr>
        <w:t>Ha bármilyen fertőzésre utaló jelet észlel, például lázat, torokfájást vagy influenzaszerű tüneteket, azonnal forduljon orvoshoz. A fehérvérsejtszámát 24 órán belül ellenőrizni kell az esetleges agranulocytosis diagnosztizálása érdekében</w:t>
      </w:r>
      <w:r w:rsidRPr="00A530FF">
        <w:rPr>
          <w:szCs w:val="22"/>
          <w:lang w:val="hu-HU"/>
        </w:rPr>
        <w:t>.</w:t>
      </w:r>
    </w:p>
    <w:p w:rsidR="002F3841" w:rsidRPr="00A530FF" w:rsidRDefault="002F3841" w:rsidP="002F3841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>
        <w:rPr>
          <w:szCs w:val="22"/>
          <w:lang w:val="hu-HU"/>
        </w:rPr>
        <w:t>a</w:t>
      </w:r>
      <w:r w:rsidRPr="00A530FF">
        <w:rPr>
          <w:szCs w:val="22"/>
          <w:lang w:val="hu-HU"/>
        </w:rPr>
        <w:t xml:space="preserve">mennyiben Ön HIV-pozitív, illetve ha </w:t>
      </w:r>
      <w:r w:rsidRPr="00A076D1">
        <w:rPr>
          <w:szCs w:val="22"/>
          <w:lang w:val="hu"/>
        </w:rPr>
        <w:t xml:space="preserve">máj- vagy veseműködése </w:t>
      </w:r>
      <w:r w:rsidRPr="00B6527F">
        <w:rPr>
          <w:szCs w:val="22"/>
          <w:lang w:val="hu-HU"/>
        </w:rPr>
        <w:t>súlyosan</w:t>
      </w:r>
      <w:r w:rsidRPr="00A530FF">
        <w:rPr>
          <w:szCs w:val="22"/>
          <w:lang w:val="hu-HU"/>
        </w:rPr>
        <w:t xml:space="preserve"> károsodott, orvosa további vizsgálatokat javasolhat.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56030D" w:rsidRPr="00A530FF" w:rsidRDefault="0056030D" w:rsidP="0056030D">
      <w:pPr>
        <w:tabs>
          <w:tab w:val="left" w:pos="0"/>
        </w:tabs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Kezelőo</w:t>
      </w:r>
      <w:r w:rsidRPr="00A530FF">
        <w:rPr>
          <w:sz w:val="22"/>
          <w:szCs w:val="22"/>
          <w:lang w:val="hu-HU"/>
        </w:rPr>
        <w:t xml:space="preserve">rvosa </w:t>
      </w:r>
      <w:r>
        <w:rPr>
          <w:sz w:val="22"/>
          <w:szCs w:val="22"/>
          <w:lang w:val="hu-HU"/>
        </w:rPr>
        <w:t xml:space="preserve">olyan </w:t>
      </w:r>
      <w:r w:rsidRPr="00A530FF">
        <w:rPr>
          <w:sz w:val="22"/>
          <w:szCs w:val="22"/>
          <w:lang w:val="hu-HU"/>
        </w:rPr>
        <w:t xml:space="preserve">vizsgálatokra </w:t>
      </w:r>
      <w:r>
        <w:rPr>
          <w:sz w:val="22"/>
          <w:szCs w:val="22"/>
          <w:lang w:val="hu-HU"/>
        </w:rPr>
        <w:t>fogja</w:t>
      </w:r>
      <w:r w:rsidRPr="00A530FF">
        <w:rPr>
          <w:sz w:val="22"/>
          <w:szCs w:val="22"/>
          <w:lang w:val="hu-HU"/>
        </w:rPr>
        <w:t xml:space="preserve"> behívni</w:t>
      </w:r>
      <w:r>
        <w:rPr>
          <w:sz w:val="22"/>
          <w:szCs w:val="22"/>
          <w:lang w:val="hu-HU"/>
        </w:rPr>
        <w:t xml:space="preserve">, amellyel </w:t>
      </w:r>
      <w:r w:rsidRPr="00A530FF">
        <w:rPr>
          <w:sz w:val="22"/>
          <w:szCs w:val="22"/>
          <w:lang w:val="hu-HU"/>
        </w:rPr>
        <w:t>ellenőrz</w:t>
      </w:r>
      <w:r>
        <w:rPr>
          <w:sz w:val="22"/>
          <w:szCs w:val="22"/>
          <w:lang w:val="hu-HU"/>
        </w:rPr>
        <w:t>i</w:t>
      </w:r>
      <w:r w:rsidRPr="00A530FF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 xml:space="preserve">az Ön </w:t>
      </w:r>
      <w:r w:rsidRPr="00A530FF">
        <w:rPr>
          <w:sz w:val="22"/>
          <w:szCs w:val="22"/>
          <w:lang w:val="hu-HU"/>
        </w:rPr>
        <w:t>vasháztartását</w:t>
      </w:r>
      <w:r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továbbá e</w:t>
      </w:r>
      <w:r w:rsidRPr="0040748C">
        <w:rPr>
          <w:sz w:val="22"/>
          <w:szCs w:val="22"/>
          <w:lang w:val="hu-HU"/>
        </w:rPr>
        <w:t>lőfordulhat, hogy beutalja májbiopsziára</w:t>
      </w:r>
      <w:r>
        <w:rPr>
          <w:sz w:val="22"/>
          <w:szCs w:val="22"/>
          <w:lang w:val="hu-HU"/>
        </w:rPr>
        <w:t xml:space="preserve"> is</w:t>
      </w:r>
      <w:r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pStyle w:val="EndnoteText"/>
        <w:tabs>
          <w:tab w:val="clear" w:pos="567"/>
          <w:tab w:val="left" w:pos="0"/>
        </w:tabs>
        <w:rPr>
          <w:strike/>
          <w:szCs w:val="22"/>
          <w:lang w:val="hu-HU"/>
        </w:rPr>
      </w:pPr>
    </w:p>
    <w:p w:rsidR="00DA1F84" w:rsidRPr="00A530FF" w:rsidRDefault="008C1739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E</w:t>
      </w:r>
      <w:r w:rsidR="00DA1F84" w:rsidRPr="00A530FF">
        <w:rPr>
          <w:b/>
          <w:sz w:val="22"/>
          <w:szCs w:val="22"/>
          <w:lang w:val="hu-HU"/>
        </w:rPr>
        <w:t>gyéb gyógyszerek</w:t>
      </w:r>
      <w:r w:rsidRPr="00A530FF">
        <w:rPr>
          <w:b/>
          <w:sz w:val="22"/>
          <w:szCs w:val="22"/>
          <w:lang w:val="hu-HU"/>
        </w:rPr>
        <w:t xml:space="preserve"> és a Ferriprox</w:t>
      </w:r>
    </w:p>
    <w:p w:rsidR="00C013A4" w:rsidRPr="00A530FF" w:rsidRDefault="00601577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 szedjen ismerten neutropéniát (</w:t>
      </w:r>
      <w:r w:rsidR="008061AA" w:rsidRPr="00A530FF">
        <w:rPr>
          <w:sz w:val="22"/>
          <w:szCs w:val="22"/>
          <w:lang w:val="hu-HU"/>
        </w:rPr>
        <w:t xml:space="preserve">bizonyos fehérvérsejtek </w:t>
      </w:r>
      <w:r w:rsidRPr="00A530FF">
        <w:rPr>
          <w:sz w:val="22"/>
          <w:szCs w:val="22"/>
          <w:lang w:val="hu-HU"/>
        </w:rPr>
        <w:t>alacsony szám</w:t>
      </w:r>
      <w:r w:rsidR="008061AA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 xml:space="preserve">) vagy agranulocitózist (bizonyos fehérvérsejtek teljes hiánya a vérben) </w:t>
      </w:r>
      <w:r w:rsidR="001B4308" w:rsidRPr="00A530FF">
        <w:rPr>
          <w:sz w:val="22"/>
          <w:szCs w:val="22"/>
          <w:lang w:val="hu-HU"/>
        </w:rPr>
        <w:t>okozó gyógyszereket (lásd a „Ne szedje a Ferriprox</w:t>
      </w:r>
      <w:r w:rsidR="008061AA">
        <w:rPr>
          <w:sz w:val="22"/>
          <w:szCs w:val="22"/>
          <w:lang w:val="hu-HU"/>
        </w:rPr>
        <w:noBreakHyphen/>
      </w:r>
      <w:r w:rsidR="001B4308" w:rsidRPr="00A530FF">
        <w:rPr>
          <w:sz w:val="22"/>
          <w:szCs w:val="22"/>
          <w:lang w:val="hu-HU"/>
        </w:rPr>
        <w:t xml:space="preserve">ot” című </w:t>
      </w:r>
      <w:r w:rsidRPr="00A530FF">
        <w:rPr>
          <w:sz w:val="22"/>
          <w:szCs w:val="22"/>
          <w:lang w:val="hu-HU"/>
        </w:rPr>
        <w:t>részt</w:t>
      </w:r>
      <w:r w:rsidR="001B4308" w:rsidRPr="00A530FF">
        <w:rPr>
          <w:sz w:val="22"/>
          <w:szCs w:val="22"/>
          <w:lang w:val="hu-HU"/>
        </w:rPr>
        <w:t xml:space="preserve">). </w:t>
      </w:r>
      <w:r w:rsidR="00DA1F84" w:rsidRPr="00A530FF">
        <w:rPr>
          <w:sz w:val="22"/>
          <w:szCs w:val="22"/>
          <w:lang w:val="hu-HU"/>
        </w:rPr>
        <w:t>Feltétlenül tájékoztassa kezelőorvosát vagy gyógyszerészét a jelenleg vagy nemrégiben szedett</w:t>
      </w:r>
      <w:r w:rsidR="00244CBA" w:rsidRPr="00A530FF">
        <w:rPr>
          <w:sz w:val="22"/>
          <w:szCs w:val="22"/>
          <w:lang w:val="hu-HU"/>
        </w:rPr>
        <w:t>, valamint szedni tervezett</w:t>
      </w:r>
      <w:r w:rsidR="00DA1F84" w:rsidRPr="00A530FF">
        <w:rPr>
          <w:sz w:val="22"/>
          <w:szCs w:val="22"/>
          <w:lang w:val="hu-HU"/>
        </w:rPr>
        <w:t xml:space="preserve"> egyéb gyógyszereiről, beleértve a vény nélkül kapható készítményeket is.</w:t>
      </w:r>
    </w:p>
    <w:p w:rsidR="00C013A4" w:rsidRPr="00A530FF" w:rsidRDefault="00C013A4" w:rsidP="0038683B">
      <w:pPr>
        <w:pStyle w:val="BodyText"/>
        <w:jc w:val="left"/>
        <w:rPr>
          <w:szCs w:val="22"/>
          <w:lang w:val="hu-HU"/>
        </w:rPr>
      </w:pPr>
    </w:p>
    <w:p w:rsidR="00082A17" w:rsidRDefault="00082A17" w:rsidP="00082A17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Ferriprox </w:t>
      </w:r>
      <w:r w:rsidRPr="0040748C">
        <w:rPr>
          <w:szCs w:val="22"/>
          <w:lang w:val="hu-HU"/>
        </w:rPr>
        <w:t xml:space="preserve">szedésével egyidejűleg </w:t>
      </w:r>
      <w:r w:rsidRPr="00A530FF">
        <w:rPr>
          <w:szCs w:val="22"/>
          <w:lang w:val="hu-HU"/>
        </w:rPr>
        <w:t>ne szedjen alumíniumalapú savlekötőket.</w:t>
      </w:r>
    </w:p>
    <w:p w:rsidR="00C013A4" w:rsidRPr="00A530FF" w:rsidRDefault="00C013A4" w:rsidP="0038683B">
      <w:pPr>
        <w:pStyle w:val="BodyText"/>
        <w:jc w:val="left"/>
        <w:rPr>
          <w:szCs w:val="22"/>
          <w:lang w:val="hu-HU"/>
        </w:rPr>
      </w:pPr>
    </w:p>
    <w:p w:rsidR="005C41A6" w:rsidRDefault="00C013A4" w:rsidP="0038683B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Kérjük, konzultáljon orvosával vagy gyógyszerészével, mielőtt C vitamint szedne együtt a Ferriproxszal.</w:t>
      </w:r>
    </w:p>
    <w:p w:rsidR="00DA1F84" w:rsidRPr="00A530FF" w:rsidRDefault="00DA1F84">
      <w:pPr>
        <w:pStyle w:val="BodyText3"/>
        <w:rPr>
          <w:color w:val="auto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Terhesség és szoptatás</w:t>
      </w:r>
    </w:p>
    <w:p w:rsidR="001B4308" w:rsidRPr="00A530FF" w:rsidRDefault="00DA1F84" w:rsidP="00092570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 szedje ezt a gyógyszert, ha várandós vagy ha terhességet tervez. Ez a gyógyszer súlyosan károsíthatja gyermeke egészségét. A Ferriprox szedése alatt hatékony fogamzásgátlással kell élnie. Kérje orvosa tanácsát az Ön számára legmegfelelőbb módszerről. Ha a Ferriprox szedése közben teherbe esik, azonnal hagyja abba a gyógyszer szedését és közölje orvosával, hogy teherbe esett.</w:t>
      </w:r>
    </w:p>
    <w:p w:rsidR="001B4308" w:rsidRPr="00A530FF" w:rsidRDefault="001B4308" w:rsidP="00092570">
      <w:pPr>
        <w:tabs>
          <w:tab w:val="left" w:pos="0"/>
        </w:tabs>
        <w:rPr>
          <w:sz w:val="22"/>
          <w:szCs w:val="22"/>
          <w:lang w:val="hu-HU"/>
        </w:rPr>
      </w:pPr>
    </w:p>
    <w:p w:rsidR="00DA1F84" w:rsidRPr="00A530FF" w:rsidRDefault="00DA1F84" w:rsidP="00092570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Szoptatós anyák ne szedjék a Ferriprox</w:t>
      </w:r>
      <w:r w:rsidR="002D56C1" w:rsidRPr="00A530FF">
        <w:rPr>
          <w:sz w:val="22"/>
          <w:szCs w:val="22"/>
          <w:lang w:val="hu-HU"/>
        </w:rPr>
        <w:t>-</w:t>
      </w:r>
      <w:r w:rsidRPr="00A530FF">
        <w:rPr>
          <w:sz w:val="22"/>
          <w:szCs w:val="22"/>
          <w:lang w:val="hu-HU"/>
        </w:rPr>
        <w:t>ot.</w:t>
      </w:r>
      <w:r w:rsidR="005D02E7" w:rsidRPr="00A530FF">
        <w:rPr>
          <w:sz w:val="22"/>
          <w:szCs w:val="22"/>
          <w:lang w:val="hu-HU"/>
        </w:rPr>
        <w:t xml:space="preserve"> </w:t>
      </w:r>
      <w:r w:rsidR="00092570" w:rsidRPr="00A530FF">
        <w:rPr>
          <w:sz w:val="22"/>
          <w:szCs w:val="22"/>
          <w:lang w:val="hu-HU"/>
        </w:rPr>
        <w:t>Kérjük, olvassa el a betegtájékoztatóhoz mellékelt betegek/gondozók számára szóló emlékeztető kártya utasításait</w:t>
      </w:r>
      <w:r w:rsidR="005D02E7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tabs>
          <w:tab w:val="left" w:pos="0"/>
        </w:tabs>
        <w:rPr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készítmény hatásai a gépjárművezetéshez és </w:t>
      </w:r>
      <w:r w:rsidR="00441286" w:rsidRPr="00A530FF">
        <w:rPr>
          <w:b/>
          <w:sz w:val="22"/>
          <w:szCs w:val="22"/>
          <w:lang w:val="hu-HU"/>
        </w:rPr>
        <w:t xml:space="preserve">a </w:t>
      </w:r>
      <w:r w:rsidRPr="00A530FF">
        <w:rPr>
          <w:b/>
          <w:sz w:val="22"/>
          <w:szCs w:val="22"/>
          <w:lang w:val="hu-HU"/>
        </w:rPr>
        <w:t>gépek kezeléséhez szükséges képességekre</w:t>
      </w:r>
    </w:p>
    <w:p w:rsidR="00DA1F84" w:rsidRPr="00A530FF" w:rsidRDefault="009D485C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2E1D67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</w:t>
      </w:r>
      <w:r w:rsidR="00DA1F84" w:rsidRPr="00A530FF">
        <w:rPr>
          <w:b/>
          <w:sz w:val="22"/>
          <w:szCs w:val="22"/>
          <w:lang w:val="hu-HU"/>
        </w:rPr>
        <w:t xml:space="preserve">Ferriprox </w:t>
      </w:r>
      <w:r w:rsidR="00244CBA" w:rsidRPr="00A530FF">
        <w:rPr>
          <w:b/>
          <w:sz w:val="22"/>
          <w:szCs w:val="22"/>
          <w:lang w:val="hu-HU"/>
        </w:rPr>
        <w:t>belsőleges oldat Sunset Yellow-t (E110) tartalmaz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Sunset Yellow </w:t>
      </w:r>
      <w:r w:rsidR="00244CBA" w:rsidRPr="00A530FF">
        <w:rPr>
          <w:sz w:val="22"/>
          <w:szCs w:val="22"/>
          <w:lang w:val="hu-HU"/>
        </w:rPr>
        <w:t>(</w:t>
      </w:r>
      <w:r w:rsidRPr="00A530FF">
        <w:rPr>
          <w:sz w:val="22"/>
          <w:szCs w:val="22"/>
          <w:lang w:val="hu-HU"/>
        </w:rPr>
        <w:t xml:space="preserve">E110) </w:t>
      </w:r>
      <w:r w:rsidR="00244CBA" w:rsidRPr="00A530FF">
        <w:rPr>
          <w:sz w:val="22"/>
          <w:szCs w:val="22"/>
          <w:lang w:val="hu-HU"/>
        </w:rPr>
        <w:t>egy színezőanyag</w:t>
      </w:r>
      <w:r w:rsidRPr="00A530FF">
        <w:rPr>
          <w:sz w:val="22"/>
          <w:szCs w:val="22"/>
          <w:lang w:val="hu-HU"/>
        </w:rPr>
        <w:t>, amely allergiás reakció</w:t>
      </w:r>
      <w:r w:rsidR="008061AA">
        <w:rPr>
          <w:sz w:val="22"/>
          <w:szCs w:val="22"/>
          <w:lang w:val="hu-HU"/>
        </w:rPr>
        <w:t>ka</w:t>
      </w:r>
      <w:r w:rsidRPr="00A530FF">
        <w:rPr>
          <w:sz w:val="22"/>
          <w:szCs w:val="22"/>
          <w:lang w:val="hu-HU"/>
        </w:rPr>
        <w:t>t okozhat.</w:t>
      </w:r>
    </w:p>
    <w:p w:rsidR="00DA1F84" w:rsidRPr="00A530FF" w:rsidRDefault="00DA1F84">
      <w:pPr>
        <w:tabs>
          <w:tab w:val="left" w:pos="851"/>
        </w:tabs>
        <w:ind w:left="567" w:hanging="567"/>
        <w:rPr>
          <w:i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851"/>
        </w:tabs>
        <w:ind w:left="567" w:hanging="567"/>
        <w:rPr>
          <w:sz w:val="22"/>
          <w:szCs w:val="22"/>
          <w:lang w:val="hu-HU"/>
        </w:rPr>
      </w:pPr>
    </w:p>
    <w:p w:rsidR="00DA1F84" w:rsidRPr="00A530FF" w:rsidRDefault="00DA1F84">
      <w:pPr>
        <w:pStyle w:val="WW-Szvegtrzs212"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3.</w:t>
      </w:r>
      <w:r w:rsidRPr="00A530FF">
        <w:rPr>
          <w:szCs w:val="22"/>
          <w:lang w:val="hu-HU" w:eastAsia="en-US"/>
        </w:rPr>
        <w:tab/>
        <w:t>H</w:t>
      </w:r>
      <w:r w:rsidR="00244CBA" w:rsidRPr="00A530FF">
        <w:rPr>
          <w:szCs w:val="22"/>
          <w:lang w:val="hu-HU" w:eastAsia="en-US"/>
        </w:rPr>
        <w:t xml:space="preserve">ogyan kell szedni a </w:t>
      </w:r>
      <w:r w:rsidRPr="00A530FF">
        <w:rPr>
          <w:szCs w:val="22"/>
          <w:lang w:val="hu-HU" w:eastAsia="en-US"/>
        </w:rPr>
        <w:t>F</w:t>
      </w:r>
      <w:r w:rsidR="00244CBA" w:rsidRPr="00A530FF">
        <w:rPr>
          <w:szCs w:val="22"/>
          <w:lang w:val="hu-HU" w:eastAsia="en-US"/>
        </w:rPr>
        <w:t>erriprox-ot</w:t>
      </w:r>
      <w:r w:rsidR="00C54A76" w:rsidRPr="00A530FF">
        <w:rPr>
          <w:szCs w:val="22"/>
          <w:lang w:val="hu-HU" w:eastAsia="en-US"/>
        </w:rPr>
        <w:t>?</w:t>
      </w: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</w:t>
      </w:r>
      <w:r w:rsidR="00244CBA" w:rsidRPr="00A530FF">
        <w:rPr>
          <w:sz w:val="22"/>
          <w:szCs w:val="22"/>
          <w:lang w:val="hu-HU"/>
        </w:rPr>
        <w:t>gyógyszert</w:t>
      </w:r>
      <w:r w:rsidRPr="00A530FF">
        <w:rPr>
          <w:sz w:val="22"/>
          <w:szCs w:val="22"/>
          <w:lang w:val="hu-HU"/>
        </w:rPr>
        <w:t xml:space="preserve"> mindig az orvos által elmondottaknak megfelelően </w:t>
      </w:r>
      <w:r w:rsidR="00244CBA" w:rsidRPr="00A530FF">
        <w:rPr>
          <w:sz w:val="22"/>
          <w:szCs w:val="22"/>
          <w:lang w:val="hu-HU"/>
        </w:rPr>
        <w:t>alkalmazza</w:t>
      </w:r>
      <w:r w:rsidRPr="00A530FF">
        <w:rPr>
          <w:sz w:val="22"/>
          <w:szCs w:val="22"/>
          <w:lang w:val="hu-HU"/>
        </w:rPr>
        <w:t xml:space="preserve">. Amennyiben nem biztos az adagolást illetően, kérdezze meg </w:t>
      </w:r>
      <w:r w:rsidR="00244CBA" w:rsidRPr="00A530FF">
        <w:rPr>
          <w:sz w:val="22"/>
          <w:szCs w:val="22"/>
          <w:lang w:val="hu-HU"/>
        </w:rPr>
        <w:t>kezelő</w:t>
      </w:r>
      <w:r w:rsidRPr="00A530FF">
        <w:rPr>
          <w:sz w:val="22"/>
          <w:szCs w:val="22"/>
          <w:lang w:val="hu-HU"/>
        </w:rPr>
        <w:t xml:space="preserve">orvosát vagy gyógyszerészét. A Ferriprox adagja testsúlyától függ. Amennyiben a kezelőorvos másképp nem rendeli, a gyógyszer szokásos adagja 25 mg/testtömegkilogramm, napi három alkalommal, a 75 mg/testtömegkilogramm teljes napi adag eléréséig. A teljes napi adag nem haladhatja meg a 100 mg/testtömegkilogramm mennyiséget. Használja a mérőpoharat az orvos által előírt mennyiség kiméréséhez. Az első adagot reggel, a másodikat délben, a harmadikat este vegye be. </w:t>
      </w:r>
      <w:r w:rsidR="00C013A4" w:rsidRPr="00A530FF">
        <w:rPr>
          <w:sz w:val="22"/>
          <w:szCs w:val="22"/>
          <w:lang w:val="hu-HU"/>
        </w:rPr>
        <w:t>A Ferriprox beszedhető étellel vagy étel nélkül;</w:t>
      </w:r>
      <w:r w:rsidRPr="00A530FF">
        <w:rPr>
          <w:sz w:val="22"/>
          <w:szCs w:val="22"/>
          <w:lang w:val="hu-HU"/>
        </w:rPr>
        <w:t xml:space="preserve"> </w:t>
      </w:r>
      <w:r w:rsidR="00C013A4" w:rsidRPr="00A530FF">
        <w:rPr>
          <w:sz w:val="22"/>
          <w:szCs w:val="22"/>
          <w:lang w:val="hu-HU"/>
        </w:rPr>
        <w:t>t</w:t>
      </w:r>
      <w:r w:rsidRPr="00A530FF">
        <w:rPr>
          <w:sz w:val="22"/>
          <w:szCs w:val="22"/>
          <w:lang w:val="hu-HU"/>
        </w:rPr>
        <w:t>alán könnyebben eszébe jut, hogy bevegye a Ferriprox-ot, ha mindig étkezések alkalmával veszi azt be.</w:t>
      </w:r>
    </w:p>
    <w:p w:rsidR="00DA1F84" w:rsidRPr="00A530FF" w:rsidRDefault="00DA1F84">
      <w:pPr>
        <w:pStyle w:val="FootnoteText"/>
        <w:numPr>
          <w:ilvl w:val="12"/>
          <w:numId w:val="0"/>
        </w:numPr>
        <w:rPr>
          <w:sz w:val="22"/>
          <w:szCs w:val="22"/>
          <w:lang w:val="hu-HU"/>
        </w:rPr>
      </w:pPr>
    </w:p>
    <w:p w:rsidR="00DA1F84" w:rsidRPr="00A530FF" w:rsidRDefault="00DA1F84" w:rsidP="006D6815">
      <w:pPr>
        <w:keepNext/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Ha az előírtnál több Ferriprox</w:t>
      </w:r>
      <w:r w:rsidR="002D56C1" w:rsidRPr="00A530FF">
        <w:rPr>
          <w:b/>
          <w:sz w:val="22"/>
          <w:szCs w:val="22"/>
          <w:lang w:val="hu-HU"/>
        </w:rPr>
        <w:t>-</w:t>
      </w:r>
      <w:r w:rsidRPr="00A530FF">
        <w:rPr>
          <w:b/>
          <w:sz w:val="22"/>
          <w:szCs w:val="22"/>
          <w:lang w:val="hu-HU"/>
        </w:rPr>
        <w:t>ot vett be</w:t>
      </w:r>
    </w:p>
    <w:p w:rsidR="00DA1F84" w:rsidRPr="00A530FF" w:rsidRDefault="00DA1F84">
      <w:pPr>
        <w:numPr>
          <w:ilvl w:val="12"/>
          <w:numId w:val="0"/>
        </w:numPr>
        <w:tabs>
          <w:tab w:val="left" w:pos="851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esetén nem számoltak be akut túladagolásról. Ha véletlenül többet vett be a felírt dózisnál forduljon orvosához.</w:t>
      </w:r>
    </w:p>
    <w:p w:rsidR="00DA1F84" w:rsidRPr="00A530FF" w:rsidRDefault="00DA1F84">
      <w:pPr>
        <w:numPr>
          <w:ilvl w:val="12"/>
          <w:numId w:val="0"/>
        </w:numPr>
        <w:rPr>
          <w:b/>
          <w:sz w:val="22"/>
          <w:szCs w:val="22"/>
          <w:lang w:val="hu-HU"/>
        </w:rPr>
      </w:pPr>
    </w:p>
    <w:p w:rsidR="00DA1F84" w:rsidRPr="00A530FF" w:rsidRDefault="00DA1F84" w:rsidP="009E4743">
      <w:pPr>
        <w:keepNext/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Ha elfelejtette bevenni a Ferriprox</w:t>
      </w:r>
      <w:r w:rsidR="002D56C1" w:rsidRPr="00A530FF">
        <w:rPr>
          <w:b/>
          <w:sz w:val="22"/>
          <w:szCs w:val="22"/>
          <w:lang w:val="hu-HU"/>
        </w:rPr>
        <w:t>-</w:t>
      </w:r>
      <w:r w:rsidRPr="00A530FF">
        <w:rPr>
          <w:b/>
          <w:sz w:val="22"/>
          <w:szCs w:val="22"/>
          <w:lang w:val="hu-HU"/>
        </w:rPr>
        <w:t>ot</w:t>
      </w:r>
    </w:p>
    <w:p w:rsidR="00DA1F84" w:rsidRPr="00A530FF" w:rsidRDefault="00DA1F84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akkor a leghatásosabb, ha nem felejti el egyetlen adag bevételét sem. Ha kifelejt egy adagot, vegye be amint ez eszébe jutott, majd a következő adagot vegye be annak rendes idején. Ha több, mint egy adag bevételét hagyta ki, ne vegyen be </w:t>
      </w:r>
      <w:r w:rsidR="008061AA">
        <w:rPr>
          <w:sz w:val="22"/>
          <w:szCs w:val="22"/>
          <w:lang w:val="hu-HU"/>
        </w:rPr>
        <w:t>kétszeres</w:t>
      </w:r>
      <w:r w:rsidR="008061AA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adagot az elfeledett adag</w:t>
      </w:r>
      <w:r w:rsidR="008061AA">
        <w:rPr>
          <w:sz w:val="22"/>
          <w:szCs w:val="22"/>
          <w:lang w:val="hu-HU"/>
        </w:rPr>
        <w:t xml:space="preserve"> pótlására</w:t>
      </w:r>
      <w:r w:rsidRPr="00A530FF">
        <w:rPr>
          <w:sz w:val="22"/>
          <w:szCs w:val="22"/>
          <w:lang w:val="hu-HU"/>
        </w:rPr>
        <w:t>, csak folytassa a gyógyszer szedését a normális időbeosztás szerint. Ne változtasson a napi adagján anélkül, hogy azt orvosával megbeszélné.</w:t>
      </w: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>
      <w:pPr>
        <w:pStyle w:val="WW-Szvegtrzs212"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4.</w:t>
      </w:r>
      <w:r w:rsidRPr="00A530FF">
        <w:rPr>
          <w:szCs w:val="22"/>
          <w:lang w:val="hu-HU" w:eastAsia="en-US"/>
        </w:rPr>
        <w:tab/>
        <w:t>L</w:t>
      </w:r>
      <w:r w:rsidR="00244CBA" w:rsidRPr="00A530FF">
        <w:rPr>
          <w:szCs w:val="22"/>
          <w:lang w:val="hu-HU" w:eastAsia="en-US"/>
        </w:rPr>
        <w:t>ehetséges mellékhatások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Mint minden gyógyszer, így </w:t>
      </w:r>
      <w:r w:rsidR="00244CBA" w:rsidRPr="00A530FF">
        <w:rPr>
          <w:sz w:val="22"/>
          <w:szCs w:val="22"/>
          <w:lang w:val="hu-HU"/>
        </w:rPr>
        <w:t>ez a gyógyszer</w:t>
      </w:r>
      <w:r w:rsidRPr="00A530FF">
        <w:rPr>
          <w:sz w:val="22"/>
          <w:szCs w:val="22"/>
          <w:lang w:val="hu-HU"/>
        </w:rPr>
        <w:t xml:space="preserve"> is okozhat mellékhatásokat, amelyek azonban nem mindenkinél jelentkeznek.</w:t>
      </w:r>
    </w:p>
    <w:p w:rsidR="00DA1F84" w:rsidRPr="00A530FF" w:rsidRDefault="00DA1F84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C013A4" w:rsidRPr="00A530FF" w:rsidRDefault="00C013A4" w:rsidP="00C013A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legsúlyosabb mellékhatása a nagyon alacsony fehérvérsejt</w:t>
      </w:r>
      <w:r w:rsidR="0035431B">
        <w:rPr>
          <w:sz w:val="22"/>
          <w:szCs w:val="22"/>
          <w:lang w:val="hu-HU"/>
        </w:rPr>
        <w:t>szám</w:t>
      </w:r>
      <w:r w:rsidRPr="00A530FF">
        <w:rPr>
          <w:sz w:val="22"/>
          <w:szCs w:val="22"/>
          <w:lang w:val="hu-HU"/>
        </w:rPr>
        <w:t xml:space="preserve"> (neutrofilszám</w:t>
      </w:r>
      <w:r w:rsidR="0035431B">
        <w:rPr>
          <w:sz w:val="22"/>
          <w:szCs w:val="22"/>
          <w:lang w:val="hu-HU"/>
        </w:rPr>
        <w:t>)</w:t>
      </w:r>
      <w:r w:rsidRPr="00A530FF">
        <w:rPr>
          <w:sz w:val="22"/>
          <w:szCs w:val="22"/>
          <w:lang w:val="hu-HU"/>
        </w:rPr>
        <w:t>. Ez az állapot, más néven súlyos neutrop</w:t>
      </w:r>
      <w:r w:rsidR="005D0E6C" w:rsidRPr="00A530FF">
        <w:rPr>
          <w:sz w:val="22"/>
          <w:szCs w:val="22"/>
          <w:lang w:val="hu-HU"/>
        </w:rPr>
        <w:t>é</w:t>
      </w:r>
      <w:r w:rsidRPr="00A530FF">
        <w:rPr>
          <w:sz w:val="22"/>
          <w:szCs w:val="22"/>
          <w:lang w:val="hu-HU"/>
        </w:rPr>
        <w:t xml:space="preserve">nia vagy agranulocitózis, a klinikai vizsgálatok során Ferriprox-ot szedett 100 betegből </w:t>
      </w:r>
      <w:r w:rsidR="00EE60AD" w:rsidRPr="00A530FF">
        <w:rPr>
          <w:sz w:val="22"/>
          <w:szCs w:val="22"/>
          <w:lang w:val="hu-HU"/>
        </w:rPr>
        <w:t>1</w:t>
      </w:r>
      <w:r w:rsidR="00EE60AD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2-nél fordult elő. Az alacsony fehérvérsejtszám súlyos és akár életveszélyes fertőzéssel társulhat. Haladéktalanul jelentse orvosának, ha bármi olyan tünetet észlel, ami fertőzésre utal, például: láz, torokfájás vagy influenzaszerű tünetek.</w:t>
      </w:r>
    </w:p>
    <w:p w:rsidR="00C013A4" w:rsidRPr="00A530FF" w:rsidRDefault="00C013A4" w:rsidP="00C013A4">
      <w:pPr>
        <w:rPr>
          <w:sz w:val="22"/>
          <w:szCs w:val="22"/>
          <w:lang w:val="hu-HU"/>
        </w:rPr>
      </w:pPr>
    </w:p>
    <w:p w:rsidR="00C013A4" w:rsidRPr="00A530FF" w:rsidRDefault="00C013A4" w:rsidP="00C013A4">
      <w:pPr>
        <w:pStyle w:val="BodyText"/>
        <w:rPr>
          <w:szCs w:val="22"/>
          <w:lang w:val="hu-HU"/>
        </w:rPr>
      </w:pPr>
      <w:r w:rsidRPr="00A530FF">
        <w:rPr>
          <w:b/>
          <w:bCs/>
          <w:szCs w:val="22"/>
          <w:lang w:val="hu-HU"/>
        </w:rPr>
        <w:t>Nagyon gyakori mellékhatások</w:t>
      </w:r>
      <w:r w:rsidRPr="00A530FF">
        <w:rPr>
          <w:szCs w:val="22"/>
          <w:lang w:val="hu-HU"/>
        </w:rPr>
        <w:t xml:space="preserve"> (10-ből több mint 1 </w:t>
      </w:r>
      <w:r w:rsidR="001F6B23" w:rsidRPr="00A530FF">
        <w:rPr>
          <w:szCs w:val="22"/>
          <w:lang w:val="hu-HU"/>
        </w:rPr>
        <w:t xml:space="preserve">beteget </w:t>
      </w:r>
      <w:r w:rsidRPr="00A530FF">
        <w:rPr>
          <w:szCs w:val="22"/>
          <w:lang w:val="hu-HU"/>
        </w:rPr>
        <w:t>érint</w:t>
      </w:r>
      <w:r w:rsidR="001F6B23" w:rsidRPr="00A530FF">
        <w:rPr>
          <w:szCs w:val="22"/>
          <w:lang w:val="hu-HU"/>
        </w:rPr>
        <w:t>het</w:t>
      </w:r>
      <w:r w:rsidRPr="00A530FF">
        <w:rPr>
          <w:szCs w:val="22"/>
          <w:lang w:val="hu-HU"/>
        </w:rPr>
        <w:t>):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hasi fájdalom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hányinger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hányás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vizelet vöröses/barn</w:t>
      </w:r>
      <w:r w:rsidR="005D0E6C" w:rsidRPr="00A530FF">
        <w:rPr>
          <w:szCs w:val="22"/>
          <w:lang w:val="hu-HU"/>
        </w:rPr>
        <w:t>ás</w:t>
      </w:r>
      <w:r w:rsidRPr="00A530FF">
        <w:rPr>
          <w:szCs w:val="22"/>
          <w:lang w:val="hu-HU"/>
        </w:rPr>
        <w:t xml:space="preserve"> elszíneződése</w:t>
      </w:r>
    </w:p>
    <w:p w:rsidR="00092570" w:rsidRPr="00A530FF" w:rsidRDefault="00092570" w:rsidP="00092570">
      <w:pPr>
        <w:rPr>
          <w:sz w:val="22"/>
          <w:szCs w:val="22"/>
          <w:lang w:val="hu-HU"/>
        </w:rPr>
      </w:pPr>
    </w:p>
    <w:p w:rsidR="00092570" w:rsidRPr="00A530FF" w:rsidRDefault="00092570" w:rsidP="0009257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 hányingere van, vagy hány, segíthet, ha a Ferriprox-ot étkezés közben veszi be. A vizelet elszíneződése nagyon gyakori, és nem ártalmas.</w:t>
      </w:r>
    </w:p>
    <w:p w:rsidR="00092570" w:rsidRPr="00A530FF" w:rsidRDefault="00092570" w:rsidP="00092570">
      <w:pPr>
        <w:rPr>
          <w:sz w:val="22"/>
          <w:szCs w:val="22"/>
          <w:lang w:val="hu-HU"/>
        </w:rPr>
      </w:pPr>
    </w:p>
    <w:p w:rsidR="00C013A4" w:rsidRPr="00A530FF" w:rsidRDefault="00C013A4" w:rsidP="00C013A4">
      <w:pPr>
        <w:pStyle w:val="BodyText"/>
        <w:rPr>
          <w:szCs w:val="22"/>
          <w:lang w:val="hu-HU"/>
        </w:rPr>
      </w:pPr>
      <w:r w:rsidRPr="00A530FF">
        <w:rPr>
          <w:b/>
          <w:bCs/>
          <w:szCs w:val="22"/>
          <w:lang w:val="hu-HU"/>
        </w:rPr>
        <w:t xml:space="preserve">Gyakori mellékhatások </w:t>
      </w:r>
      <w:r w:rsidRPr="00A530FF">
        <w:rPr>
          <w:szCs w:val="22"/>
          <w:lang w:val="hu-HU"/>
        </w:rPr>
        <w:t>(10-</w:t>
      </w:r>
      <w:r w:rsidR="001F6B23" w:rsidRPr="00A530FF">
        <w:rPr>
          <w:szCs w:val="22"/>
          <w:lang w:val="hu-HU"/>
        </w:rPr>
        <w:t xml:space="preserve">ből legfeljebb </w:t>
      </w:r>
      <w:r w:rsidRPr="00A530FF">
        <w:rPr>
          <w:szCs w:val="22"/>
          <w:lang w:val="hu-HU"/>
        </w:rPr>
        <w:t>1</w:t>
      </w:r>
      <w:r w:rsidR="001F6B23" w:rsidRPr="00A530FF">
        <w:rPr>
          <w:szCs w:val="22"/>
          <w:lang w:val="hu-HU"/>
        </w:rPr>
        <w:t xml:space="preserve"> beteget</w:t>
      </w:r>
      <w:r w:rsidRPr="00A530FF">
        <w:rPr>
          <w:szCs w:val="22"/>
          <w:lang w:val="hu-HU"/>
        </w:rPr>
        <w:t xml:space="preserve"> érint</w:t>
      </w:r>
      <w:r w:rsidR="001F6B23" w:rsidRPr="00A530FF">
        <w:rPr>
          <w:szCs w:val="22"/>
          <w:lang w:val="hu-HU"/>
        </w:rPr>
        <w:t>het</w:t>
      </w:r>
      <w:r w:rsidRPr="00A530FF">
        <w:rPr>
          <w:szCs w:val="22"/>
          <w:lang w:val="hu-HU"/>
        </w:rPr>
        <w:t>):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alacsony fehérvérsejtszám (agranulocitózis és neutropénia)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fejfájás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hasmenés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májenzimek </w:t>
      </w:r>
      <w:r w:rsidR="005D0E6C" w:rsidRPr="00A530FF">
        <w:rPr>
          <w:szCs w:val="22"/>
          <w:lang w:val="hu-HU"/>
        </w:rPr>
        <w:t xml:space="preserve">szintjének </w:t>
      </w:r>
      <w:r w:rsidRPr="00A530FF">
        <w:rPr>
          <w:szCs w:val="22"/>
          <w:lang w:val="hu-HU"/>
        </w:rPr>
        <w:t>emelkedése</w:t>
      </w:r>
    </w:p>
    <w:p w:rsidR="00C013A4" w:rsidRPr="00A530FF" w:rsidRDefault="00C013A4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fáradtság</w:t>
      </w:r>
    </w:p>
    <w:p w:rsidR="00C013A4" w:rsidRPr="00A530FF" w:rsidRDefault="005D0E6C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fokozott </w:t>
      </w:r>
      <w:r w:rsidR="00C013A4" w:rsidRPr="00A530FF">
        <w:rPr>
          <w:szCs w:val="22"/>
          <w:lang w:val="hu-HU"/>
        </w:rPr>
        <w:t>étvágy</w:t>
      </w:r>
    </w:p>
    <w:p w:rsidR="00092570" w:rsidRPr="00A530FF" w:rsidRDefault="00092570" w:rsidP="00092570">
      <w:pPr>
        <w:rPr>
          <w:sz w:val="22"/>
          <w:szCs w:val="22"/>
          <w:lang w:val="hu-HU"/>
        </w:rPr>
      </w:pPr>
    </w:p>
    <w:p w:rsidR="00244CBA" w:rsidRPr="00A530FF" w:rsidRDefault="00244CBA" w:rsidP="00F84EB6">
      <w:pPr>
        <w:tabs>
          <w:tab w:val="left" w:pos="567"/>
        </w:tabs>
        <w:spacing w:line="260" w:lineRule="exact"/>
        <w:rPr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 xml:space="preserve">Nem ismert </w:t>
      </w:r>
      <w:r w:rsidR="0056030D" w:rsidRPr="0056030D">
        <w:rPr>
          <w:b/>
          <w:bCs/>
          <w:sz w:val="22"/>
          <w:szCs w:val="22"/>
          <w:lang w:val="hu-HU"/>
        </w:rPr>
        <w:t xml:space="preserve">gyakoriságú mellékhatás </w:t>
      </w:r>
      <w:r w:rsidRPr="00A530FF">
        <w:rPr>
          <w:bCs/>
          <w:sz w:val="22"/>
          <w:szCs w:val="22"/>
          <w:lang w:val="hu-HU"/>
        </w:rPr>
        <w:t>(a gyakoriság a rendelkezésre álló adatok alapján</w:t>
      </w:r>
      <w:r w:rsidR="00F84EB6" w:rsidRPr="00A530FF">
        <w:rPr>
          <w:bCs/>
          <w:sz w:val="22"/>
          <w:szCs w:val="22"/>
          <w:lang w:val="hu-HU"/>
        </w:rPr>
        <w:t xml:space="preserve"> nem állapítható meg</w:t>
      </w:r>
      <w:r w:rsidRPr="00A530FF">
        <w:rPr>
          <w:bCs/>
          <w:sz w:val="22"/>
          <w:szCs w:val="22"/>
          <w:lang w:val="hu-HU"/>
        </w:rPr>
        <w:t>):</w:t>
      </w:r>
    </w:p>
    <w:p w:rsidR="00244CBA" w:rsidRPr="00A530FF" w:rsidRDefault="00244CBA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allergiás reakciók, beleértve a bőrkiütést vagy csalánkiütést</w:t>
      </w:r>
    </w:p>
    <w:p w:rsidR="00244CBA" w:rsidRPr="00A530FF" w:rsidRDefault="00244CBA" w:rsidP="00092570">
      <w:pPr>
        <w:rPr>
          <w:sz w:val="22"/>
          <w:szCs w:val="22"/>
          <w:lang w:val="hu-HU"/>
        </w:rPr>
      </w:pPr>
    </w:p>
    <w:p w:rsidR="000A0A3A" w:rsidRPr="00A530FF" w:rsidRDefault="00092570" w:rsidP="00092570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ízületi fájdalommal és az ízületek dagadásával járó esetek között az egy vagy több ízületben jelentkező enyhe fájdalomtól a súlyos mozgásképtelenségig minden előfordult. A legtöbb esetben a fájdalom elmúlt</w:t>
      </w:r>
      <w:r w:rsidR="0035431B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miközben a betegek folytatták a Ferriprox szedését</w:t>
      </w:r>
      <w:r w:rsidR="005D02E7" w:rsidRPr="00A530FF">
        <w:rPr>
          <w:sz w:val="22"/>
          <w:szCs w:val="22"/>
          <w:lang w:val="hu-HU"/>
        </w:rPr>
        <w:t>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807437" w:rsidRPr="00A530FF" w:rsidRDefault="00807437" w:rsidP="00807437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</w:t>
      </w:r>
      <w:r w:rsidRPr="00A530FF">
        <w:rPr>
          <w:sz w:val="22"/>
          <w:szCs w:val="22"/>
          <w:lang w:val="hu-HU"/>
        </w:rPr>
        <w:t>eurológiai rendellenességekről (például remegés, járászavarok, kettős látás, önkéntelen izomösszehúzódások, mozgáskoordinációs zavarok) számolnak be olyan gyermekeknél, akiknek több éven át szándékosan a javasolt maximális 100 mg/testtömegkilogramm/nap dózis kétszeresét meghaladó dózisokat írtak fel</w:t>
      </w:r>
      <w:r w:rsidRPr="00807437">
        <w:rPr>
          <w:sz w:val="22"/>
          <w:szCs w:val="22"/>
          <w:lang w:val="hu-HU"/>
        </w:rPr>
        <w:t xml:space="preserve">, és olyan gyermekeknél is, akiket </w:t>
      </w:r>
      <w:r w:rsidR="00CC5774">
        <w:rPr>
          <w:sz w:val="22"/>
          <w:szCs w:val="22"/>
          <w:lang w:val="hu-HU"/>
        </w:rPr>
        <w:t>a szokásos</w:t>
      </w:r>
      <w:r w:rsidR="00CC5774" w:rsidRPr="00807437">
        <w:rPr>
          <w:sz w:val="22"/>
          <w:szCs w:val="22"/>
          <w:lang w:val="hu-HU"/>
        </w:rPr>
        <w:t xml:space="preserve"> </w:t>
      </w:r>
      <w:r w:rsidRPr="00807437">
        <w:rPr>
          <w:sz w:val="22"/>
          <w:szCs w:val="22"/>
          <w:lang w:val="hu-HU"/>
        </w:rPr>
        <w:t>dózisú deferipronnal kezeltek</w:t>
      </w:r>
      <w:r w:rsidRPr="00A530FF">
        <w:rPr>
          <w:sz w:val="22"/>
          <w:szCs w:val="22"/>
          <w:lang w:val="hu-HU"/>
        </w:rPr>
        <w:t xml:space="preserve">. A Ferriprox szedésének megszakítását követően a </w:t>
      </w:r>
      <w:r w:rsidRPr="00807437">
        <w:rPr>
          <w:sz w:val="22"/>
          <w:szCs w:val="22"/>
          <w:lang w:val="hu-HU"/>
        </w:rPr>
        <w:t>gyermekeknél</w:t>
      </w:r>
      <w:r>
        <w:rPr>
          <w:sz w:val="22"/>
          <w:szCs w:val="22"/>
          <w:lang w:val="hu-HU"/>
        </w:rPr>
        <w:t xml:space="preserve"> a</w:t>
      </w:r>
      <w:r w:rsidRPr="00807437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tünetek megszűntek.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A923A6" w:rsidRPr="00A530FF" w:rsidRDefault="00A923A6" w:rsidP="00A923A6">
      <w:pPr>
        <w:ind w:right="-29"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Mellékhatások bejelentése</w:t>
      </w:r>
    </w:p>
    <w:p w:rsidR="00A923A6" w:rsidRPr="00A530FF" w:rsidRDefault="00A923A6" w:rsidP="00A923A6">
      <w:pPr>
        <w:ind w:right="-2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Ha Önnél bármilyen mellékhatás jelentkezik, tájékoztassa kezelőorvosát vagy gyógyszerészét. Ez a betegtájékoztatóban fel nem sorolt bármilyen lehetséges mellékhatásra is vonatkozik. A mellékhatásokat közvetlenül a hatóság részére is bejelentheti az </w:t>
      </w:r>
      <w:hyperlink r:id="rId14" w:history="1">
        <w:r w:rsidR="004211E1" w:rsidRPr="004211E1">
          <w:rPr>
            <w:rStyle w:val="Hyperlink"/>
            <w:sz w:val="22"/>
            <w:highlight w:val="lightGray"/>
            <w:lang w:val="hu-HU"/>
          </w:rPr>
          <w:t>V. függelékben</w:t>
        </w:r>
      </w:hyperlink>
      <w:r w:rsidRPr="00A530FF">
        <w:rPr>
          <w:sz w:val="22"/>
          <w:szCs w:val="22"/>
          <w:highlight w:val="lightGray"/>
          <w:lang w:val="hu-HU"/>
        </w:rPr>
        <w:t xml:space="preserve"> található elérhetőségeken keresztül</w:t>
      </w:r>
      <w:r w:rsidRPr="00A530FF">
        <w:rPr>
          <w:sz w:val="22"/>
          <w:szCs w:val="22"/>
          <w:lang w:val="hu-HU"/>
        </w:rPr>
        <w:t>. A mellékhatások bejelentésével Ön is hozzájárulhat ahhoz, hogy minél több információ álljon rendelkezésre a gyógyszer biztonságos alkalmazásával kapcsolatban.</w:t>
      </w:r>
    </w:p>
    <w:p w:rsidR="00DA1F84" w:rsidRPr="00A530FF" w:rsidRDefault="00DA1F84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DA1F84" w:rsidRPr="00A530FF" w:rsidRDefault="00DA1F84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DA1F84" w:rsidRPr="00A530FF" w:rsidRDefault="00DA1F84" w:rsidP="0045353C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5.</w:t>
      </w:r>
      <w:r w:rsidRPr="00A530FF">
        <w:rPr>
          <w:szCs w:val="22"/>
          <w:lang w:val="hu-HU" w:eastAsia="en-US"/>
        </w:rPr>
        <w:tab/>
        <w:t>H</w:t>
      </w:r>
      <w:r w:rsidR="001F6B23" w:rsidRPr="00A530FF">
        <w:rPr>
          <w:szCs w:val="22"/>
          <w:lang w:val="hu-HU" w:eastAsia="en-US"/>
        </w:rPr>
        <w:t>ogyan kell a Ferriprox-ot tárolni</w:t>
      </w:r>
      <w:r w:rsidRPr="00A530FF">
        <w:rPr>
          <w:szCs w:val="22"/>
          <w:lang w:val="hu-HU" w:eastAsia="en-US"/>
        </w:rPr>
        <w:t>?</w:t>
      </w:r>
    </w:p>
    <w:p w:rsidR="00DA1F84" w:rsidRPr="00A530FF" w:rsidRDefault="00DA1F84" w:rsidP="0045353C">
      <w:pPr>
        <w:keepNext/>
        <w:rPr>
          <w:b/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 gyermekektől elzárva tartandó!</w:t>
      </w:r>
    </w:p>
    <w:p w:rsidR="00153AA4" w:rsidRPr="00A530FF" w:rsidRDefault="00153AA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címkén és dobozon feltüntetett lejárati idő (</w:t>
      </w:r>
      <w:r w:rsidR="001E1F63">
        <w:rPr>
          <w:sz w:val="22"/>
          <w:szCs w:val="22"/>
          <w:lang w:val="hu-HU"/>
        </w:rPr>
        <w:t>EXP</w:t>
      </w:r>
      <w:r w:rsidRPr="00A530FF">
        <w:rPr>
          <w:sz w:val="22"/>
          <w:szCs w:val="22"/>
          <w:lang w:val="hu-HU"/>
        </w:rPr>
        <w:t xml:space="preserve">) után ne szedje a </w:t>
      </w:r>
      <w:r w:rsidR="001F6B23" w:rsidRPr="00A530FF">
        <w:rPr>
          <w:sz w:val="22"/>
          <w:szCs w:val="22"/>
          <w:lang w:val="hu-HU"/>
        </w:rPr>
        <w:t>gyógyszert</w:t>
      </w:r>
      <w:r w:rsidRPr="00A530FF">
        <w:rPr>
          <w:sz w:val="22"/>
          <w:szCs w:val="22"/>
          <w:lang w:val="hu-HU"/>
        </w:rPr>
        <w:t>.</w:t>
      </w:r>
    </w:p>
    <w:p w:rsidR="00153AA4" w:rsidRPr="00A530FF" w:rsidRDefault="00153AA4">
      <w:pPr>
        <w:rPr>
          <w:sz w:val="22"/>
          <w:szCs w:val="22"/>
          <w:lang w:val="hu-HU"/>
        </w:rPr>
      </w:pPr>
    </w:p>
    <w:p w:rsidR="00DA1F84" w:rsidRPr="00A530FF" w:rsidRDefault="00C013A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Felbontás után 35 napon belül felhasználandó. </w:t>
      </w:r>
      <w:r w:rsidR="00DA1F84" w:rsidRPr="00A530FF">
        <w:rPr>
          <w:sz w:val="22"/>
          <w:szCs w:val="22"/>
          <w:lang w:val="hu-HU"/>
        </w:rPr>
        <w:t>Legfeljebb 30°C-on tárolandó.</w:t>
      </w:r>
      <w:r w:rsidR="007B2E9E">
        <w:rPr>
          <w:sz w:val="22"/>
          <w:szCs w:val="22"/>
          <w:lang w:val="hu-HU"/>
        </w:rPr>
        <w:t xml:space="preserve"> </w:t>
      </w:r>
      <w:r w:rsidR="00DA1F84" w:rsidRPr="00A530FF">
        <w:rPr>
          <w:sz w:val="22"/>
          <w:szCs w:val="22"/>
          <w:lang w:val="hu-HU"/>
        </w:rPr>
        <w:t xml:space="preserve">A fénytől </w:t>
      </w:r>
      <w:r w:rsidR="00903B5E" w:rsidRPr="00A530FF">
        <w:rPr>
          <w:sz w:val="22"/>
          <w:szCs w:val="22"/>
          <w:lang w:val="hu-HU"/>
        </w:rPr>
        <w:t xml:space="preserve">való védelem érdekében az eredeti csomagolásban </w:t>
      </w:r>
      <w:r w:rsidR="00DA1F84" w:rsidRPr="00A530FF">
        <w:rPr>
          <w:sz w:val="22"/>
          <w:szCs w:val="22"/>
          <w:lang w:val="hu-HU"/>
        </w:rPr>
        <w:t>tárolandó</w:t>
      </w:r>
      <w:r w:rsidR="00903B5E" w:rsidRPr="00A530FF">
        <w:rPr>
          <w:sz w:val="22"/>
          <w:szCs w:val="22"/>
          <w:lang w:val="hu-HU"/>
        </w:rPr>
        <w:t>.</w:t>
      </w:r>
    </w:p>
    <w:p w:rsidR="007B2E9E" w:rsidRDefault="007B2E9E" w:rsidP="007B2E9E">
      <w:pPr>
        <w:rPr>
          <w:sz w:val="22"/>
          <w:szCs w:val="22"/>
          <w:lang w:val="hu-HU"/>
        </w:rPr>
      </w:pPr>
    </w:p>
    <w:p w:rsidR="007B2E9E" w:rsidRDefault="007B2E9E" w:rsidP="007B2E9E">
      <w:pPr>
        <w:rPr>
          <w:sz w:val="22"/>
          <w:szCs w:val="22"/>
          <w:lang w:val="hu-HU"/>
        </w:rPr>
      </w:pPr>
      <w:r w:rsidRPr="007B2E9E">
        <w:rPr>
          <w:sz w:val="22"/>
          <w:szCs w:val="22"/>
          <w:lang w:val="hu-HU"/>
        </w:rPr>
        <w:t>Semmilyen gyóg</w:t>
      </w:r>
      <w:r>
        <w:rPr>
          <w:sz w:val="22"/>
          <w:szCs w:val="22"/>
          <w:lang w:val="hu-HU"/>
        </w:rPr>
        <w:t xml:space="preserve">yszert ne dobjon a szennyvízbe </w:t>
      </w:r>
      <w:r w:rsidRPr="007B2E9E">
        <w:rPr>
          <w:sz w:val="22"/>
          <w:szCs w:val="22"/>
          <w:lang w:val="hu-HU"/>
        </w:rPr>
        <w:t>vagy a háztartási hulladékba. Kérdezze meg gyógyszerészét, hogy mit tegyen a már nem használt gyógyszereivel. Ezek az intézkedések elősegítik a környezet védelmét.</w:t>
      </w:r>
    </w:p>
    <w:p w:rsidR="00DA1F84" w:rsidRPr="00A530FF" w:rsidRDefault="00DA1F84">
      <w:pPr>
        <w:spacing w:line="260" w:lineRule="atLeast"/>
        <w:ind w:left="567" w:right="-2" w:hanging="567"/>
        <w:rPr>
          <w:b/>
          <w:sz w:val="22"/>
          <w:szCs w:val="22"/>
          <w:lang w:val="hu-HU"/>
        </w:rPr>
      </w:pPr>
    </w:p>
    <w:p w:rsidR="00DA1F84" w:rsidRPr="00A530FF" w:rsidRDefault="00DA1F84">
      <w:pPr>
        <w:spacing w:line="260" w:lineRule="atLeast"/>
        <w:ind w:left="567" w:right="-2" w:hanging="567"/>
        <w:rPr>
          <w:b/>
          <w:sz w:val="22"/>
          <w:szCs w:val="22"/>
          <w:lang w:val="hu-HU"/>
        </w:rPr>
      </w:pPr>
    </w:p>
    <w:p w:rsidR="00DA1F84" w:rsidRPr="00A530FF" w:rsidRDefault="00DA1F84" w:rsidP="00BE2D92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6.</w:t>
      </w:r>
      <w:r w:rsidRPr="00A530FF">
        <w:rPr>
          <w:szCs w:val="22"/>
          <w:lang w:val="hu-HU" w:eastAsia="en-US"/>
        </w:rPr>
        <w:tab/>
      </w:r>
      <w:r w:rsidR="001F6B23" w:rsidRPr="00A530FF">
        <w:rPr>
          <w:szCs w:val="22"/>
          <w:lang w:val="hu-HU" w:eastAsia="en-US"/>
        </w:rPr>
        <w:t>A csomagolás tartalma és egyéb információk</w:t>
      </w:r>
    </w:p>
    <w:p w:rsidR="00DA1F84" w:rsidRPr="00A530FF" w:rsidRDefault="00DA1F84" w:rsidP="00BE2D92">
      <w:pPr>
        <w:keepNext/>
        <w:rPr>
          <w:sz w:val="22"/>
          <w:szCs w:val="22"/>
          <w:lang w:val="hu-HU"/>
        </w:rPr>
      </w:pPr>
    </w:p>
    <w:p w:rsidR="00DA1F84" w:rsidRPr="00A530FF" w:rsidRDefault="00DA1F84" w:rsidP="00BE2D92">
      <w:pPr>
        <w:keepNext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Mit tartalmaz a Ferriprox</w:t>
      </w:r>
      <w:r w:rsidR="00C45EBD">
        <w:rPr>
          <w:b/>
          <w:bCs/>
          <w:sz w:val="22"/>
          <w:szCs w:val="22"/>
          <w:lang w:val="hu-HU"/>
        </w:rPr>
        <w:t>?</w:t>
      </w: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készítmény hatóanyaga deferipron. A belsőleges oldat 100 mg deferipront tartalmaz milliliterenként.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Egyéb összetevők: tisztított víz, hidroxietilcellulóz, glicerin</w:t>
      </w:r>
      <w:r w:rsidR="007D3DCE">
        <w:rPr>
          <w:sz w:val="22"/>
          <w:szCs w:val="22"/>
          <w:lang w:val="hu-HU"/>
        </w:rPr>
        <w:t xml:space="preserve"> (E422)</w:t>
      </w:r>
      <w:r w:rsidRPr="00A530FF">
        <w:rPr>
          <w:sz w:val="22"/>
          <w:szCs w:val="22"/>
          <w:lang w:val="hu-HU"/>
        </w:rPr>
        <w:t xml:space="preserve">, tömény </w:t>
      </w:r>
      <w:r w:rsidRPr="00640089">
        <w:rPr>
          <w:sz w:val="22"/>
          <w:szCs w:val="22"/>
          <w:lang w:val="hu-HU"/>
        </w:rPr>
        <w:t>sósav</w:t>
      </w:r>
      <w:r w:rsidR="00B6527F" w:rsidRPr="00640089">
        <w:rPr>
          <w:sz w:val="22"/>
          <w:szCs w:val="22"/>
          <w:lang w:val="hu-HU"/>
        </w:rPr>
        <w:t xml:space="preserve"> (pH beállításához)</w:t>
      </w:r>
      <w:r w:rsidRPr="00640089">
        <w:rPr>
          <w:sz w:val="22"/>
          <w:szCs w:val="22"/>
          <w:lang w:val="hu-HU"/>
        </w:rPr>
        <w:t xml:space="preserve">, mesterséges cseresznyearoma, borsmentaolaj, vöröses-narancssárga színezőanyag (Sunset Yellow </w:t>
      </w:r>
      <w:r w:rsidR="0035431B">
        <w:rPr>
          <w:sz w:val="22"/>
          <w:szCs w:val="22"/>
          <w:lang w:val="hu-HU"/>
        </w:rPr>
        <w:t>–</w:t>
      </w:r>
      <w:r w:rsidRPr="00A530FF">
        <w:rPr>
          <w:sz w:val="22"/>
          <w:szCs w:val="22"/>
          <w:lang w:val="hu-HU"/>
        </w:rPr>
        <w:t xml:space="preserve"> E110); szukralóz (E955).</w:t>
      </w:r>
    </w:p>
    <w:p w:rsidR="00DA1F84" w:rsidRPr="00A530FF" w:rsidRDefault="00DA1F84">
      <w:pPr>
        <w:rPr>
          <w:sz w:val="22"/>
          <w:szCs w:val="22"/>
          <w:lang w:val="hu-HU"/>
        </w:rPr>
      </w:pPr>
    </w:p>
    <w:p w:rsidR="00DA1F84" w:rsidRPr="00A530FF" w:rsidRDefault="00DA1F84">
      <w:pPr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Milyen a Ferriprox külleme és mit tartalmaz a csomagolás</w:t>
      </w:r>
    </w:p>
    <w:p w:rsidR="00DA1F84" w:rsidRPr="00A530FF" w:rsidRDefault="00DA1F84">
      <w:pPr>
        <w:rPr>
          <w:iCs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belsőleges oldat átlátszó vöröses-narancssárga színű folyadék. Kiszerelése: 250 ml-es vagy 500 ml-es palackokban.</w:t>
      </w:r>
    </w:p>
    <w:p w:rsidR="00DA1F84" w:rsidRPr="00A530FF" w:rsidRDefault="00DA1F84">
      <w:pPr>
        <w:rPr>
          <w:iCs/>
          <w:sz w:val="22"/>
          <w:szCs w:val="22"/>
          <w:lang w:val="hu-HU"/>
        </w:rPr>
      </w:pPr>
    </w:p>
    <w:p w:rsidR="00DA1F84" w:rsidRPr="00A530FF" w:rsidRDefault="00DA1F84">
      <w:pPr>
        <w:tabs>
          <w:tab w:val="left" w:pos="4320"/>
        </w:tabs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A forgalomba hozatali engedély jogosultja és a gyártó</w:t>
      </w:r>
    </w:p>
    <w:p w:rsidR="00C26888" w:rsidRDefault="00C26888" w:rsidP="00C2688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</w:t>
      </w:r>
      <w:r>
        <w:rPr>
          <w:sz w:val="22"/>
          <w:szCs w:val="22"/>
          <w:lang w:val="hu-HU"/>
        </w:rPr>
        <w:t>a hozatali engedély jogosultja: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Via Palermo 26/A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43122 Parma</w:t>
      </w:r>
    </w:p>
    <w:p w:rsidR="00C26888" w:rsidRPr="00A530F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Olaszország</w:t>
      </w:r>
    </w:p>
    <w:p w:rsidR="00C26888" w:rsidRPr="00A530FF" w:rsidRDefault="00C26888" w:rsidP="00C26888">
      <w:pPr>
        <w:ind w:left="720"/>
        <w:rPr>
          <w:sz w:val="22"/>
          <w:szCs w:val="22"/>
          <w:lang w:val="hu-HU"/>
        </w:rPr>
      </w:pPr>
    </w:p>
    <w:p w:rsidR="00C26888" w:rsidRDefault="00C26888" w:rsidP="00C26888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Gyártó:</w:t>
      </w:r>
      <w:r w:rsidRPr="00A530FF">
        <w:rPr>
          <w:b/>
          <w:sz w:val="22"/>
          <w:szCs w:val="22"/>
          <w:lang w:val="hu-HU"/>
        </w:rPr>
        <w:tab/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hu-HU"/>
        </w:rPr>
      </w:pPr>
      <w:r w:rsidRPr="00C26888">
        <w:rPr>
          <w:lang w:val="hu-HU"/>
        </w:rPr>
        <w:t>Eurofins PROXY Laboratories B.V.</w:t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hu-HU"/>
        </w:rPr>
      </w:pPr>
      <w:r w:rsidRPr="00C26888">
        <w:rPr>
          <w:lang w:val="hu-HU"/>
        </w:rPr>
        <w:t>Archimedesweg 25</w:t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hu-HU"/>
        </w:rPr>
      </w:pPr>
      <w:r w:rsidRPr="00C26888">
        <w:rPr>
          <w:lang w:val="hu-HU"/>
        </w:rPr>
        <w:t>2333 CM Leiden</w:t>
      </w:r>
    </w:p>
    <w:p w:rsidR="00C26888" w:rsidRPr="00A530FF" w:rsidRDefault="00C26888" w:rsidP="00C26888">
      <w:pPr>
        <w:tabs>
          <w:tab w:val="left" w:pos="567"/>
        </w:tabs>
        <w:ind w:left="720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Hollandia</w:t>
      </w:r>
    </w:p>
    <w:p w:rsidR="00C26888" w:rsidRPr="00A530FF" w:rsidRDefault="00C26888" w:rsidP="00C26888">
      <w:pPr>
        <w:rPr>
          <w:sz w:val="22"/>
          <w:szCs w:val="22"/>
          <w:lang w:val="hu-HU"/>
        </w:rPr>
      </w:pPr>
    </w:p>
    <w:p w:rsidR="00DA1F84" w:rsidRDefault="00DA1F84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készítményhez kapcsolódó további kérdéseivel forduljon a forgalomba</w:t>
      </w:r>
      <w:r w:rsidR="0046164D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hozatali engedély jogosultjának helyi képviseletéhez:</w:t>
      </w:r>
    </w:p>
    <w:p w:rsidR="00E14D58" w:rsidRPr="00586776" w:rsidRDefault="00E14D58" w:rsidP="00E14D58">
      <w:pPr>
        <w:keepNext/>
        <w:numPr>
          <w:ilvl w:val="12"/>
          <w:numId w:val="0"/>
        </w:numPr>
        <w:ind w:right="-2"/>
        <w:rPr>
          <w:sz w:val="22"/>
          <w:szCs w:val="24"/>
          <w:lang w:val="bg-BG"/>
        </w:rPr>
      </w:pPr>
    </w:p>
    <w:tbl>
      <w:tblPr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854"/>
        <w:gridCol w:w="4858"/>
        <w:gridCol w:w="8"/>
      </w:tblGrid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België/Belgique/Belgien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Chiesi sa/nv </w:t>
            </w:r>
          </w:p>
          <w:p w:rsidR="00586776" w:rsidRDefault="00586776">
            <w:pPr>
              <w:ind w:right="34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Tél/Tel: + 32 (0)2 788 42 00</w:t>
            </w:r>
          </w:p>
          <w:p w:rsidR="00586776" w:rsidRDefault="00586776">
            <w:pPr>
              <w:ind w:right="34"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Lietuva</w:t>
            </w:r>
          </w:p>
          <w:p w:rsidR="00586776" w:rsidRDefault="00586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Pharmaceuticals GmbH </w:t>
            </w:r>
          </w:p>
          <w:p w:rsidR="00586776" w:rsidRDefault="00586776">
            <w:pPr>
              <w:suppressAutoHyphens/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</w:rPr>
              <w:t xml:space="preserve">+ 43 1 4073919 </w:t>
            </w:r>
          </w:p>
          <w:p w:rsidR="00586776" w:rsidRPr="00586776" w:rsidRDefault="00586776">
            <w:pPr>
              <w:suppressAutoHyphens/>
              <w:rPr>
                <w:sz w:val="22"/>
                <w:szCs w:val="22"/>
                <w:lang w:val="en-GB"/>
              </w:rPr>
            </w:pP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it-CH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България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IT"/>
              </w:rPr>
              <w:t xml:space="preserve">Chiesi Bulgaria EOOD </w:t>
            </w:r>
          </w:p>
          <w:p w:rsidR="00586776" w:rsidRDefault="00586776">
            <w:pPr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en-GB"/>
              </w:rPr>
              <w:t>Тел</w:t>
            </w:r>
            <w:r>
              <w:rPr>
                <w:sz w:val="22"/>
                <w:szCs w:val="22"/>
                <w:lang w:val="it-CH"/>
              </w:rPr>
              <w:t xml:space="preserve">.: +359 </w:t>
            </w:r>
            <w:r>
              <w:rPr>
                <w:sz w:val="22"/>
                <w:szCs w:val="22"/>
                <w:lang w:val="it-IT"/>
              </w:rPr>
              <w:t xml:space="preserve">29201205 </w:t>
            </w:r>
          </w:p>
          <w:p w:rsidR="00586776" w:rsidRDefault="00586776">
            <w:pPr>
              <w:tabs>
                <w:tab w:val="left" w:pos="-720"/>
              </w:tabs>
              <w:suppressAutoHyphens/>
              <w:jc w:val="both"/>
              <w:rPr>
                <w:b/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Luxembourg/Luxemburg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sa/nv</w:t>
            </w:r>
          </w:p>
          <w:p w:rsidR="00586776" w:rsidRPr="00586776" w:rsidRDefault="00586776">
            <w:pPr>
              <w:suppressAutoHyphens/>
              <w:rPr>
                <w:sz w:val="22"/>
                <w:szCs w:val="22"/>
                <w:lang w:val="it-CH"/>
              </w:rPr>
            </w:pPr>
            <w:r w:rsidRPr="00586776">
              <w:rPr>
                <w:sz w:val="22"/>
                <w:szCs w:val="22"/>
                <w:lang w:val="it-CH"/>
              </w:rPr>
              <w:t xml:space="preserve">Tél/Tel: + 32 (0)2 788 42 00 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pt-BR"/>
              </w:rPr>
            </w:pPr>
            <w:r w:rsidRPr="00586776">
              <w:rPr>
                <w:b/>
                <w:sz w:val="22"/>
                <w:szCs w:val="22"/>
                <w:lang w:val="pt-BR"/>
              </w:rPr>
              <w:t>Česká republika</w:t>
            </w:r>
          </w:p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pt-BR"/>
              </w:rPr>
            </w:pPr>
            <w:r w:rsidRPr="00586776">
              <w:rPr>
                <w:sz w:val="22"/>
                <w:szCs w:val="22"/>
                <w:lang w:val="pt-BR"/>
              </w:rPr>
              <w:t>Aurovitas, spol. s r.o.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Tel: +00420 234 705 700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spacing w:line="260" w:lineRule="atLeast"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Magyarország</w:t>
            </w:r>
          </w:p>
          <w:p w:rsidR="00586776" w:rsidRDefault="00586776">
            <w:pPr>
              <w:spacing w:line="260" w:lineRule="atLeast"/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Hungary Kft.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Tel.: + 36-1-429 1060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Danmark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Pharma AB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Tlf: + 46 8 753 35 20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Malta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Tel: + 39 0521 </w:t>
            </w:r>
            <w:r>
              <w:rPr>
                <w:sz w:val="22"/>
                <w:szCs w:val="22"/>
              </w:rPr>
              <w:t>2791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Deutschland</w:t>
            </w:r>
          </w:p>
          <w:p w:rsidR="00586776" w:rsidRDefault="0058677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Chiesi GmbH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Tel: + 49 40 89724-0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de-DE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Nederland</w:t>
            </w:r>
          </w:p>
          <w:p w:rsidR="00586776" w:rsidRDefault="00586776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Chiesi Pharmaceuticals B.V.</w:t>
            </w:r>
          </w:p>
          <w:p w:rsidR="00586776" w:rsidRDefault="00586776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Tel: + 31 88 501 64 00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b/>
                <w:bCs/>
                <w:sz w:val="22"/>
                <w:szCs w:val="22"/>
              </w:rPr>
            </w:pPr>
            <w:r w:rsidRPr="00586776">
              <w:rPr>
                <w:b/>
                <w:bCs/>
                <w:sz w:val="22"/>
                <w:szCs w:val="22"/>
              </w:rPr>
              <w:t>Eesti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</w:rPr>
              <w:t>Chiesi Pharmaceuticals GmbH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</w:rPr>
              <w:t>Tel: + 43 1 4073919</w:t>
            </w:r>
          </w:p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keepNext/>
              <w:ind w:left="709" w:hanging="709"/>
              <w:outlineLvl w:val="1"/>
              <w:rPr>
                <w:rFonts w:ascii="Times New Roman Bold" w:hAnsi="Times New Roman Bold"/>
                <w:b/>
                <w:bCs/>
                <w:caps/>
                <w:snapToGrid w:val="0"/>
                <w:sz w:val="22"/>
                <w:szCs w:val="22"/>
                <w:lang w:val="it-IT"/>
              </w:rPr>
            </w:pPr>
            <w:r>
              <w:rPr>
                <w:rFonts w:ascii="Times New Roman Bold" w:hAnsi="Times New Roman Bold"/>
                <w:b/>
                <w:bCs/>
                <w:snapToGrid w:val="0"/>
                <w:sz w:val="22"/>
                <w:szCs w:val="22"/>
                <w:lang w:val="it-IT"/>
              </w:rPr>
              <w:t>Norge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Tlf: + 46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Ελλάδα</w:t>
            </w:r>
          </w:p>
          <w:p w:rsidR="00586776" w:rsidRDefault="00586776">
            <w:pPr>
              <w:rPr>
                <w:snapToGrid w:val="0"/>
                <w:sz w:val="22"/>
                <w:szCs w:val="22"/>
                <w:lang w:val="en-GB"/>
              </w:rPr>
            </w:pPr>
            <w:r>
              <w:rPr>
                <w:snapToGrid w:val="0"/>
                <w:sz w:val="22"/>
                <w:szCs w:val="22"/>
                <w:lang w:val="en-GB"/>
              </w:rPr>
              <w:t>DEMO ABEE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Τηλ: + 30 210 8161802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Österreich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s-ES"/>
              </w:rPr>
            </w:pPr>
            <w:r w:rsidRPr="00586776">
              <w:rPr>
                <w:b/>
                <w:sz w:val="22"/>
                <w:szCs w:val="22"/>
                <w:lang w:val="es-ES"/>
              </w:rPr>
              <w:t>España</w:t>
            </w:r>
          </w:p>
          <w:p w:rsidR="00586776" w:rsidRPr="00586776" w:rsidRDefault="00586776">
            <w:pPr>
              <w:rPr>
                <w:sz w:val="22"/>
                <w:szCs w:val="22"/>
                <w:lang w:val="es-ES"/>
              </w:rPr>
            </w:pPr>
            <w:r w:rsidRPr="00586776">
              <w:rPr>
                <w:sz w:val="22"/>
                <w:szCs w:val="22"/>
                <w:lang w:val="es-ES"/>
              </w:rPr>
              <w:t>Chiesi España, S.A.U.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+ 34 934948000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Polska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Poland Sp. z.o.o.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it-CH"/>
              </w:rPr>
              <w:t>Tel.: + 48 22 620 1421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France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Chiesi S.A.S. 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Tél: + 33 1 47688899 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Portugal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</w:tc>
      </w:tr>
      <w:tr w:rsidR="00930597" w:rsidTr="00586776">
        <w:trPr>
          <w:cantSplit/>
        </w:trPr>
        <w:tc>
          <w:tcPr>
            <w:tcW w:w="4855" w:type="dxa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 w:val="22"/>
                <w:szCs w:val="22"/>
                <w:lang w:val="hr-HR"/>
              </w:rPr>
            </w:pPr>
            <w:r>
              <w:rPr>
                <w:b/>
                <w:noProof/>
                <w:sz w:val="22"/>
                <w:szCs w:val="22"/>
                <w:lang w:val="hr-HR"/>
              </w:rPr>
              <w:t>Hrvatska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Chiesi Pharmaceuticals GmbH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Tel: + 43 1 4073919</w:t>
            </w:r>
          </w:p>
        </w:tc>
        <w:tc>
          <w:tcPr>
            <w:tcW w:w="4868" w:type="dxa"/>
            <w:gridSpan w:val="2"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România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Romania S.R.L.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+ 40 212023642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</w:tr>
      <w:tr w:rsidR="00930597" w:rsidTr="00586776">
        <w:trPr>
          <w:gridAfter w:val="1"/>
          <w:wAfter w:w="8" w:type="dxa"/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Ireland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0" w:type="dxa"/>
            <w:hideMark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Slovenija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Slovenija d.o.o.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+ 386-1-43 00 901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Ísland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Sími: +46 8 753 35 20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Slovenská republika</w:t>
            </w:r>
          </w:p>
          <w:p w:rsidR="00586776" w:rsidRDefault="00586776">
            <w:pPr>
              <w:spacing w:line="260" w:lineRule="atLeast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Chiesi Slovakia s.r.o.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+ 421 259300060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Italia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Italia S.p.A.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Suomi/Finland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Puh/Tel: +46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Κύπρος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Star Medicines Importers Co. Ltd.</w:t>
            </w:r>
          </w:p>
          <w:p w:rsidR="00586776" w:rsidRDefault="00586776">
            <w:pPr>
              <w:rPr>
                <w:sz w:val="22"/>
                <w:szCs w:val="22"/>
                <w:lang w:val="en-GB" w:eastAsia="en-CA"/>
              </w:rPr>
            </w:pPr>
            <w:r>
              <w:rPr>
                <w:sz w:val="22"/>
                <w:szCs w:val="22"/>
                <w:lang w:val="en-GB"/>
              </w:rPr>
              <w:t xml:space="preserve">Τηλ: + </w:t>
            </w:r>
            <w:r>
              <w:rPr>
                <w:sz w:val="22"/>
                <w:szCs w:val="22"/>
                <w:lang w:val="en-GB" w:eastAsia="en-CA"/>
              </w:rPr>
              <w:t>357 25 371056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Sverige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  <w:hideMark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Latvija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United Kingdom</w:t>
            </w:r>
          </w:p>
          <w:p w:rsidR="00586776" w:rsidRDefault="00586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Ltd 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Tel: + 44 (0)161 488 5555 </w:t>
            </w:r>
          </w:p>
        </w:tc>
      </w:tr>
    </w:tbl>
    <w:p w:rsidR="00E14D58" w:rsidRDefault="00E14D58" w:rsidP="00E14D58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586776" w:rsidRDefault="00586776" w:rsidP="00E14D58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DA1F84" w:rsidRPr="00A530FF" w:rsidRDefault="00DA1F84" w:rsidP="0027359A">
      <w:p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betegtájékoztató </w:t>
      </w:r>
      <w:r w:rsidR="001F6B23" w:rsidRPr="00A530FF">
        <w:rPr>
          <w:b/>
          <w:sz w:val="22"/>
          <w:szCs w:val="22"/>
          <w:lang w:val="hu-HU"/>
        </w:rPr>
        <w:t xml:space="preserve">legutóbbi felülvizsgálatának </w:t>
      </w:r>
      <w:r w:rsidRPr="00A530FF">
        <w:rPr>
          <w:b/>
          <w:sz w:val="22"/>
          <w:szCs w:val="22"/>
          <w:lang w:val="hu-HU"/>
        </w:rPr>
        <w:t>dátuma</w:t>
      </w:r>
      <w:r w:rsidR="001F6B23" w:rsidRPr="00A530FF">
        <w:rPr>
          <w:b/>
          <w:sz w:val="22"/>
          <w:szCs w:val="22"/>
          <w:lang w:val="hu-HU"/>
        </w:rPr>
        <w:t>:</w:t>
      </w:r>
    </w:p>
    <w:p w:rsidR="0046164D" w:rsidRPr="00A530FF" w:rsidRDefault="0046164D" w:rsidP="0027359A">
      <w:pPr>
        <w:rPr>
          <w:b/>
          <w:sz w:val="22"/>
          <w:szCs w:val="22"/>
          <w:lang w:val="hu-HU"/>
        </w:rPr>
      </w:pPr>
    </w:p>
    <w:p w:rsidR="0046164D" w:rsidRPr="00A530FF" w:rsidRDefault="0046164D" w:rsidP="0027359A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gyógyszerről részletes információ az Európai Gyógyszerügynökség internetes honl</w:t>
      </w:r>
      <w:r w:rsidR="00AD3396" w:rsidRPr="00A530FF">
        <w:rPr>
          <w:sz w:val="22"/>
          <w:szCs w:val="22"/>
          <w:lang w:val="hu-HU"/>
        </w:rPr>
        <w:t>apján (http://www.ema.europa.eu</w:t>
      </w:r>
      <w:r w:rsidRPr="00A530FF">
        <w:rPr>
          <w:sz w:val="22"/>
          <w:szCs w:val="22"/>
          <w:lang w:val="hu-HU"/>
        </w:rPr>
        <w:t>) találhatók.</w:t>
      </w:r>
    </w:p>
    <w:p w:rsidR="001B4308" w:rsidRPr="00A530FF" w:rsidRDefault="001B4308" w:rsidP="00C0396E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br w:type="page"/>
        <w:t>B</w:t>
      </w:r>
      <w:r w:rsidR="003D5CD9" w:rsidRPr="00A530FF">
        <w:rPr>
          <w:b/>
          <w:sz w:val="22"/>
          <w:szCs w:val="22"/>
          <w:lang w:val="hu-HU"/>
        </w:rPr>
        <w:t>etegtájékoztató</w:t>
      </w:r>
      <w:r w:rsidRPr="00A530FF">
        <w:rPr>
          <w:b/>
          <w:sz w:val="22"/>
          <w:szCs w:val="22"/>
          <w:lang w:val="hu-HU"/>
        </w:rPr>
        <w:t>: I</w:t>
      </w:r>
      <w:r w:rsidR="003D5CD9" w:rsidRPr="00A530FF">
        <w:rPr>
          <w:b/>
          <w:sz w:val="22"/>
          <w:szCs w:val="22"/>
          <w:lang w:val="hu-HU"/>
        </w:rPr>
        <w:t>nformációk a felhasználó számára</w:t>
      </w:r>
    </w:p>
    <w:p w:rsidR="001B4308" w:rsidRPr="00A530FF" w:rsidRDefault="001B4308" w:rsidP="001B4308">
      <w:pPr>
        <w:rPr>
          <w:b/>
          <w:sz w:val="22"/>
          <w:szCs w:val="22"/>
          <w:lang w:val="hu-HU"/>
        </w:rPr>
      </w:pPr>
    </w:p>
    <w:p w:rsidR="001B4308" w:rsidRPr="00A530FF" w:rsidRDefault="001B4308" w:rsidP="001B4308">
      <w:pPr>
        <w:jc w:val="center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Ferriprox 1000 mg filmtabletta</w:t>
      </w:r>
    </w:p>
    <w:p w:rsidR="001B4308" w:rsidRPr="00A530FF" w:rsidRDefault="003E44E4" w:rsidP="001B4308">
      <w:pPr>
        <w:jc w:val="center"/>
        <w:rPr>
          <w:bCs/>
          <w:sz w:val="22"/>
          <w:szCs w:val="22"/>
          <w:lang w:val="hu-HU"/>
        </w:rPr>
      </w:pPr>
      <w:r>
        <w:rPr>
          <w:bCs/>
          <w:sz w:val="22"/>
          <w:szCs w:val="22"/>
          <w:lang w:val="hu-HU"/>
        </w:rPr>
        <w:t>d</w:t>
      </w:r>
      <w:r w:rsidR="001B4308" w:rsidRPr="00A530FF">
        <w:rPr>
          <w:bCs/>
          <w:sz w:val="22"/>
          <w:szCs w:val="22"/>
          <w:lang w:val="hu-HU"/>
        </w:rPr>
        <w:t>eferipron</w:t>
      </w:r>
    </w:p>
    <w:p w:rsidR="001B4308" w:rsidRPr="00A530FF" w:rsidRDefault="001B4308" w:rsidP="001B4308">
      <w:pPr>
        <w:rPr>
          <w:b/>
          <w:sz w:val="22"/>
          <w:szCs w:val="22"/>
          <w:lang w:val="hu-HU"/>
        </w:rPr>
      </w:pPr>
    </w:p>
    <w:p w:rsidR="001B4308" w:rsidRPr="00A530FF" w:rsidRDefault="001B4308" w:rsidP="001B4308">
      <w:p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Mielőtt </w:t>
      </w:r>
      <w:r w:rsidR="00DF2BB5" w:rsidRPr="00A530FF">
        <w:rPr>
          <w:b/>
          <w:sz w:val="22"/>
          <w:szCs w:val="22"/>
          <w:lang w:val="hu-HU"/>
        </w:rPr>
        <w:t xml:space="preserve">elkezdi </w:t>
      </w:r>
      <w:r w:rsidRPr="00A530FF">
        <w:rPr>
          <w:b/>
          <w:sz w:val="22"/>
          <w:szCs w:val="22"/>
          <w:lang w:val="hu-HU"/>
        </w:rPr>
        <w:t>szedni ezt a gyógyszert, olvassa el figyelmesen az alábbi betegtájékoztatót</w:t>
      </w:r>
      <w:r w:rsidR="003D5CD9" w:rsidRPr="00A530FF">
        <w:rPr>
          <w:b/>
          <w:sz w:val="22"/>
          <w:szCs w:val="22"/>
          <w:lang w:val="hu-HU"/>
        </w:rPr>
        <w:t>, me</w:t>
      </w:r>
      <w:r w:rsidR="006731AC" w:rsidRPr="00A530FF">
        <w:rPr>
          <w:b/>
          <w:sz w:val="22"/>
          <w:szCs w:val="22"/>
          <w:lang w:val="hu-HU"/>
        </w:rPr>
        <w:t>rt</w:t>
      </w:r>
      <w:r w:rsidR="003D5CD9" w:rsidRPr="00A530FF">
        <w:rPr>
          <w:b/>
          <w:sz w:val="22"/>
          <w:szCs w:val="22"/>
          <w:lang w:val="hu-HU"/>
        </w:rPr>
        <w:t xml:space="preserve"> az Ön számára fontos információkat tartalmaz</w:t>
      </w:r>
      <w:r w:rsidRPr="00A530FF">
        <w:rPr>
          <w:b/>
          <w:sz w:val="22"/>
          <w:szCs w:val="22"/>
          <w:lang w:val="hu-HU"/>
        </w:rPr>
        <w:t>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Tartsa meg a betegtájékoztatót, mert a benne szereplő információkra a későbbiekben is szüksége lehet.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További kérdéseivel forduljon </w:t>
      </w:r>
      <w:r w:rsidR="003D5CD9" w:rsidRPr="00A530FF">
        <w:rPr>
          <w:szCs w:val="22"/>
          <w:lang w:val="hu-HU"/>
        </w:rPr>
        <w:t>kezelő</w:t>
      </w:r>
      <w:r w:rsidRPr="00A530FF">
        <w:rPr>
          <w:szCs w:val="22"/>
          <w:lang w:val="hu-HU"/>
        </w:rPr>
        <w:t>orvosához vagy gyógyszerészéhez.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Ezt a gyógyszert az orvos </w:t>
      </w:r>
      <w:r w:rsidR="0088591C" w:rsidRPr="00A530FF">
        <w:rPr>
          <w:szCs w:val="22"/>
          <w:lang w:val="hu-HU"/>
        </w:rPr>
        <w:t xml:space="preserve">kizárólag </w:t>
      </w:r>
      <w:r w:rsidRPr="00A530FF">
        <w:rPr>
          <w:szCs w:val="22"/>
          <w:lang w:val="hu-HU"/>
        </w:rPr>
        <w:t xml:space="preserve">Önnek írta fel. Ne adja át a készítményt másnak, mert számára ártalmas lehet még abban az esetben is, ha </w:t>
      </w:r>
      <w:r w:rsidR="00DF2BB5" w:rsidRPr="00A530FF">
        <w:rPr>
          <w:noProof/>
          <w:szCs w:val="24"/>
          <w:lang w:val="hu-HU"/>
        </w:rPr>
        <w:t>a betegsége</w:t>
      </w:r>
      <w:r w:rsidR="00DF2BB5" w:rsidRPr="00A530FF">
        <w:rPr>
          <w:szCs w:val="22"/>
          <w:lang w:val="hu-HU"/>
        </w:rPr>
        <w:t xml:space="preserve"> </w:t>
      </w:r>
      <w:r w:rsidRPr="00A530FF">
        <w:rPr>
          <w:szCs w:val="22"/>
          <w:lang w:val="hu-HU"/>
        </w:rPr>
        <w:t>tünetei az Önéhez hasonlóak.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Ha </w:t>
      </w:r>
      <w:r w:rsidR="0088591C" w:rsidRPr="00A530FF">
        <w:rPr>
          <w:szCs w:val="22"/>
          <w:lang w:val="hu-HU"/>
        </w:rPr>
        <w:t>Önnél bármilyen</w:t>
      </w:r>
      <w:r w:rsidRPr="00A530FF">
        <w:rPr>
          <w:szCs w:val="22"/>
          <w:lang w:val="hu-HU"/>
        </w:rPr>
        <w:t xml:space="preserve"> mellékhatás</w:t>
      </w:r>
      <w:r w:rsidR="0088591C" w:rsidRPr="00A530FF">
        <w:rPr>
          <w:szCs w:val="22"/>
          <w:lang w:val="hu-HU"/>
        </w:rPr>
        <w:t xml:space="preserve"> jelentkezik</w:t>
      </w:r>
      <w:r w:rsidRPr="00A530FF">
        <w:rPr>
          <w:szCs w:val="22"/>
          <w:lang w:val="hu-HU"/>
        </w:rPr>
        <w:t xml:space="preserve">, </w:t>
      </w:r>
      <w:r w:rsidR="0088591C" w:rsidRPr="00A530FF">
        <w:rPr>
          <w:szCs w:val="22"/>
          <w:lang w:val="hu-HU"/>
        </w:rPr>
        <w:t>tájékoztassa erről</w:t>
      </w:r>
      <w:r w:rsidRPr="00A530FF">
        <w:rPr>
          <w:szCs w:val="22"/>
          <w:lang w:val="hu-HU"/>
        </w:rPr>
        <w:t xml:space="preserve"> </w:t>
      </w:r>
      <w:r w:rsidR="0088591C" w:rsidRPr="00A530FF">
        <w:rPr>
          <w:szCs w:val="22"/>
          <w:lang w:val="hu-HU"/>
        </w:rPr>
        <w:t>kezelő</w:t>
      </w:r>
      <w:r w:rsidRPr="00A530FF">
        <w:rPr>
          <w:szCs w:val="22"/>
          <w:lang w:val="hu-HU"/>
        </w:rPr>
        <w:t>orvosát vagy gyógyszerészét.</w:t>
      </w:r>
      <w:r w:rsidR="0088591C" w:rsidRPr="00A530FF">
        <w:rPr>
          <w:szCs w:val="22"/>
          <w:lang w:val="hu-HU"/>
        </w:rPr>
        <w:t xml:space="preserve"> Ez a betegtájékoztatóban fel nem sorolt bármilyen lehetséges mellékhatásra is vonatkozik.</w:t>
      </w:r>
      <w:r w:rsidR="004327DC" w:rsidRPr="00A530FF">
        <w:rPr>
          <w:lang w:val="hu-HU"/>
        </w:rPr>
        <w:t xml:space="preserve"> Lásd 4. pont.</w:t>
      </w:r>
    </w:p>
    <w:p w:rsidR="001B4308" w:rsidRPr="00A530FF" w:rsidRDefault="001B4308" w:rsidP="00294956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betegtájékoztatóhoz mellékelve található egy emlékeztető kártya a betegek/gondozók számára. Kérjük, tépje le, töltse ki, olvassa el figyelmesen, és tartsa magánál.</w:t>
      </w:r>
      <w:r w:rsidR="002F3841" w:rsidRPr="002F3841">
        <w:rPr>
          <w:szCs w:val="22"/>
          <w:lang w:val="hu"/>
        </w:rPr>
        <w:t xml:space="preserve"> </w:t>
      </w:r>
      <w:r w:rsidR="002F3841" w:rsidRPr="00A076D1">
        <w:rPr>
          <w:szCs w:val="22"/>
          <w:lang w:val="hu"/>
        </w:rPr>
        <w:t>Adja át a kártyát az orvosának, ha bármilyen fertőzésre utaló jelet, például lázat, torokfájást vagy influenzaszerű tüneteket</w:t>
      </w:r>
      <w:r w:rsidR="00294956" w:rsidRPr="00294956">
        <w:rPr>
          <w:szCs w:val="22"/>
          <w:lang w:val="hu"/>
        </w:rPr>
        <w:t xml:space="preserve"> </w:t>
      </w:r>
      <w:r w:rsidR="00294956" w:rsidRPr="00A076D1">
        <w:rPr>
          <w:szCs w:val="22"/>
          <w:lang w:val="hu"/>
        </w:rPr>
        <w:t>észlel</w:t>
      </w:r>
      <w:r w:rsidR="002F3841" w:rsidRPr="00A076D1">
        <w:rPr>
          <w:szCs w:val="22"/>
          <w:lang w:val="hu"/>
        </w:rPr>
        <w:t>.</w:t>
      </w:r>
    </w:p>
    <w:p w:rsidR="001B4308" w:rsidRPr="00A530FF" w:rsidRDefault="001B4308" w:rsidP="00F75EF0">
      <w:pPr>
        <w:ind w:right="-2"/>
        <w:rPr>
          <w:b/>
          <w:sz w:val="22"/>
          <w:szCs w:val="22"/>
          <w:u w:val="single"/>
          <w:lang w:val="hu-HU"/>
        </w:rPr>
      </w:pPr>
    </w:p>
    <w:p w:rsidR="001B4308" w:rsidRPr="00A530FF" w:rsidRDefault="001B4308" w:rsidP="00F75EF0">
      <w:pPr>
        <w:ind w:right="-2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A betegtájékoztató tartalma:</w:t>
      </w:r>
    </w:p>
    <w:p w:rsidR="001B4308" w:rsidRPr="00A530FF" w:rsidRDefault="001B4308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1.</w:t>
      </w:r>
      <w:r w:rsidRPr="00A530FF">
        <w:rPr>
          <w:sz w:val="22"/>
          <w:szCs w:val="22"/>
          <w:lang w:val="hu-HU"/>
        </w:rPr>
        <w:tab/>
        <w:t>Milyen típusú gyógyszer a Ferriprox és milyen betegségek esetén alkalmazható?</w:t>
      </w:r>
    </w:p>
    <w:p w:rsidR="001B4308" w:rsidRPr="00A530FF" w:rsidRDefault="001B4308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2.</w:t>
      </w:r>
      <w:r w:rsidRPr="00A530FF">
        <w:rPr>
          <w:sz w:val="22"/>
          <w:szCs w:val="22"/>
          <w:lang w:val="hu-HU"/>
        </w:rPr>
        <w:tab/>
        <w:t>Tudnivalók a Ferriprox szedése előtt</w:t>
      </w:r>
    </w:p>
    <w:p w:rsidR="001B4308" w:rsidRPr="00A530FF" w:rsidRDefault="001B4308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3.</w:t>
      </w:r>
      <w:r w:rsidRPr="00A530FF">
        <w:rPr>
          <w:sz w:val="22"/>
          <w:szCs w:val="22"/>
          <w:lang w:val="hu-HU"/>
        </w:rPr>
        <w:tab/>
        <w:t>Hogyan kell szedni a Ferriprox-ot</w:t>
      </w:r>
      <w:r w:rsidR="00C54A76" w:rsidRPr="00A530FF">
        <w:rPr>
          <w:sz w:val="22"/>
          <w:szCs w:val="22"/>
          <w:lang w:val="hu-HU"/>
        </w:rPr>
        <w:t>?</w:t>
      </w:r>
    </w:p>
    <w:p w:rsidR="001B4308" w:rsidRPr="00A530FF" w:rsidRDefault="001B4308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4.</w:t>
      </w:r>
      <w:r w:rsidRPr="00A530FF">
        <w:rPr>
          <w:sz w:val="22"/>
          <w:szCs w:val="22"/>
          <w:lang w:val="hu-HU"/>
        </w:rPr>
        <w:tab/>
        <w:t>Lehetséges mellékhatások</w:t>
      </w:r>
    </w:p>
    <w:p w:rsidR="001B4308" w:rsidRPr="00A530FF" w:rsidRDefault="001B4308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5.</w:t>
      </w:r>
      <w:r w:rsidRPr="00A530FF">
        <w:rPr>
          <w:sz w:val="22"/>
          <w:szCs w:val="22"/>
          <w:lang w:val="hu-HU"/>
        </w:rPr>
        <w:tab/>
        <w:t>Hogyan kell a Ferriprox-ot tárolni?</w:t>
      </w:r>
    </w:p>
    <w:p w:rsidR="001B4308" w:rsidRPr="00A530FF" w:rsidRDefault="001B4308" w:rsidP="00F75EF0">
      <w:pPr>
        <w:ind w:left="567" w:right="-29" w:hanging="567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6.</w:t>
      </w:r>
      <w:r w:rsidRPr="00A530FF">
        <w:rPr>
          <w:sz w:val="22"/>
          <w:szCs w:val="22"/>
          <w:lang w:val="hu-HU"/>
        </w:rPr>
        <w:tab/>
      </w:r>
      <w:r w:rsidR="0088591C" w:rsidRPr="00A530FF">
        <w:rPr>
          <w:sz w:val="22"/>
          <w:szCs w:val="22"/>
          <w:lang w:val="hu-HU"/>
        </w:rPr>
        <w:t>A csomag</w:t>
      </w:r>
      <w:r w:rsidR="009E0F23">
        <w:rPr>
          <w:sz w:val="22"/>
          <w:szCs w:val="22"/>
          <w:lang w:val="hu-HU"/>
        </w:rPr>
        <w:t xml:space="preserve">olás tartalma és egyéb </w:t>
      </w:r>
      <w:r w:rsidRPr="00A530FF">
        <w:rPr>
          <w:sz w:val="22"/>
          <w:szCs w:val="22"/>
          <w:lang w:val="hu-HU"/>
        </w:rPr>
        <w:t>információk</w:t>
      </w:r>
    </w:p>
    <w:p w:rsidR="001B4308" w:rsidRPr="00A530FF" w:rsidRDefault="001B4308" w:rsidP="00294956">
      <w:pPr>
        <w:rPr>
          <w:sz w:val="22"/>
          <w:szCs w:val="22"/>
          <w:lang w:val="hu-HU"/>
        </w:rPr>
      </w:pPr>
    </w:p>
    <w:p w:rsidR="001B4308" w:rsidRPr="00A530FF" w:rsidRDefault="001B4308" w:rsidP="00B51029">
      <w:pPr>
        <w:rPr>
          <w:sz w:val="22"/>
          <w:szCs w:val="22"/>
          <w:lang w:val="hu-HU"/>
        </w:rPr>
      </w:pPr>
    </w:p>
    <w:p w:rsidR="001B4308" w:rsidRPr="00A530FF" w:rsidRDefault="001B4308" w:rsidP="00F75EF0">
      <w:pPr>
        <w:pStyle w:val="WW-Szvegtrzs212"/>
        <w:tabs>
          <w:tab w:val="left" w:pos="567"/>
        </w:tabs>
        <w:suppressAutoHyphens w:val="0"/>
        <w:spacing w:line="240" w:lineRule="auto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1.</w:t>
      </w:r>
      <w:r w:rsidRPr="00A530FF">
        <w:rPr>
          <w:szCs w:val="22"/>
          <w:lang w:val="hu-HU" w:eastAsia="en-US"/>
        </w:rPr>
        <w:tab/>
        <w:t>M</w:t>
      </w:r>
      <w:r w:rsidR="0088591C" w:rsidRPr="00A530FF">
        <w:rPr>
          <w:szCs w:val="22"/>
          <w:lang w:val="hu-HU" w:eastAsia="en-US"/>
        </w:rPr>
        <w:t>ilyen típusú gyógyszer a Ferriprox és milyen betegségek esetén alkalmazható</w:t>
      </w:r>
      <w:r w:rsidRPr="00A530FF">
        <w:rPr>
          <w:szCs w:val="22"/>
          <w:lang w:val="hu-HU" w:eastAsia="en-US"/>
        </w:rPr>
        <w:t>?</w:t>
      </w:r>
    </w:p>
    <w:p w:rsidR="001B4308" w:rsidRPr="00A530FF" w:rsidRDefault="001B4308" w:rsidP="001B4308">
      <w:pPr>
        <w:numPr>
          <w:ilvl w:val="12"/>
          <w:numId w:val="0"/>
        </w:numPr>
        <w:rPr>
          <w:b/>
          <w:sz w:val="22"/>
          <w:szCs w:val="22"/>
          <w:lang w:val="hu-HU"/>
        </w:rPr>
      </w:pPr>
    </w:p>
    <w:p w:rsidR="00B6527F" w:rsidRPr="00A530FF" w:rsidRDefault="00B6527F" w:rsidP="00B6527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</w:t>
      </w:r>
      <w:r w:rsidRPr="00065795">
        <w:rPr>
          <w:sz w:val="22"/>
          <w:szCs w:val="22"/>
          <w:lang w:val="hu-HU"/>
        </w:rPr>
        <w:t>deferipron hatóanyagot tartalmaz</w:t>
      </w:r>
      <w:r w:rsidRPr="00A530FF">
        <w:rPr>
          <w:sz w:val="22"/>
          <w:szCs w:val="22"/>
          <w:lang w:val="hu-HU"/>
        </w:rPr>
        <w:t xml:space="preserve">. A Ferriprox </w:t>
      </w:r>
      <w:r w:rsidR="00287F37">
        <w:rPr>
          <w:sz w:val="22"/>
          <w:szCs w:val="22"/>
          <w:lang w:val="hu-HU"/>
        </w:rPr>
        <w:t xml:space="preserve">egy </w:t>
      </w:r>
      <w:r w:rsidRPr="00B6527F">
        <w:rPr>
          <w:sz w:val="22"/>
          <w:szCs w:val="22"/>
          <w:lang w:val="hu-HU"/>
        </w:rPr>
        <w:t xml:space="preserve">vaskelátor </w:t>
      </w:r>
      <w:r w:rsidR="00287F37">
        <w:rPr>
          <w:sz w:val="22"/>
          <w:szCs w:val="22"/>
          <w:lang w:val="hu-HU"/>
        </w:rPr>
        <w:t xml:space="preserve">– </w:t>
      </w:r>
      <w:r w:rsidRPr="00A530FF">
        <w:rPr>
          <w:sz w:val="22"/>
          <w:szCs w:val="22"/>
          <w:lang w:val="hu-HU"/>
        </w:rPr>
        <w:t xml:space="preserve">olyan gyógyszer, amely eltávolítja a </w:t>
      </w:r>
      <w:r w:rsidRPr="00B6527F">
        <w:rPr>
          <w:sz w:val="22"/>
          <w:szCs w:val="22"/>
          <w:lang w:val="hu-HU"/>
        </w:rPr>
        <w:t xml:space="preserve">felesleges </w:t>
      </w:r>
      <w:r w:rsidRPr="00A530FF">
        <w:rPr>
          <w:sz w:val="22"/>
          <w:szCs w:val="22"/>
          <w:lang w:val="hu-HU"/>
        </w:rPr>
        <w:t>vasat a szervezetből.</w:t>
      </w:r>
    </w:p>
    <w:p w:rsidR="003E2D11" w:rsidRPr="00A530FF" w:rsidRDefault="003E2D11" w:rsidP="006321DA">
      <w:pPr>
        <w:rPr>
          <w:sz w:val="22"/>
          <w:szCs w:val="22"/>
          <w:lang w:val="hu-HU"/>
        </w:rPr>
      </w:pPr>
    </w:p>
    <w:p w:rsidR="005D4765" w:rsidRPr="00A530FF" w:rsidRDefault="005D4765" w:rsidP="005D4765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az úgynevezett </w:t>
      </w:r>
      <w:r w:rsidR="00294956" w:rsidRPr="00294956">
        <w:rPr>
          <w:sz w:val="22"/>
          <w:szCs w:val="22"/>
          <w:lang w:val="hu-HU"/>
        </w:rPr>
        <w:t xml:space="preserve">talasszémia </w:t>
      </w:r>
      <w:r w:rsidRPr="00A530FF">
        <w:rPr>
          <w:sz w:val="22"/>
          <w:szCs w:val="22"/>
          <w:lang w:val="hu-HU"/>
        </w:rPr>
        <w:t xml:space="preserve">majorban szenvedő betegeknél alkalmazott gyakori vérátömlesztéssel okozott vastúlterhelés kezelésére szolgál, </w:t>
      </w:r>
      <w:r>
        <w:rPr>
          <w:sz w:val="22"/>
          <w:szCs w:val="22"/>
          <w:lang w:val="hu-HU"/>
        </w:rPr>
        <w:t xml:space="preserve">ha a jelenlegi </w:t>
      </w:r>
      <w:r w:rsidRPr="00750901">
        <w:rPr>
          <w:sz w:val="22"/>
          <w:szCs w:val="22"/>
          <w:lang w:val="hu-HU"/>
        </w:rPr>
        <w:t xml:space="preserve">kelátterápia </w:t>
      </w:r>
      <w:r w:rsidRPr="00A530FF">
        <w:rPr>
          <w:sz w:val="22"/>
          <w:szCs w:val="22"/>
          <w:lang w:val="hu-HU"/>
        </w:rPr>
        <w:t>ellenjavallt vagy nem megfelelő.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pStyle w:val="WW-Szvegtrzs212"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2.</w:t>
      </w:r>
      <w:r w:rsidRPr="00A530FF">
        <w:rPr>
          <w:szCs w:val="22"/>
          <w:lang w:val="hu-HU" w:eastAsia="en-US"/>
        </w:rPr>
        <w:tab/>
        <w:t>T</w:t>
      </w:r>
      <w:r w:rsidR="0088591C" w:rsidRPr="00A530FF">
        <w:rPr>
          <w:szCs w:val="22"/>
          <w:lang w:val="hu-HU" w:eastAsia="en-US"/>
        </w:rPr>
        <w:t xml:space="preserve">udnivalók a </w:t>
      </w:r>
      <w:r w:rsidRPr="00A530FF">
        <w:rPr>
          <w:szCs w:val="22"/>
          <w:lang w:val="hu-HU" w:eastAsia="en-US"/>
        </w:rPr>
        <w:t>F</w:t>
      </w:r>
      <w:r w:rsidR="0088591C" w:rsidRPr="00A530FF">
        <w:rPr>
          <w:szCs w:val="22"/>
          <w:lang w:val="hu-HU" w:eastAsia="en-US"/>
        </w:rPr>
        <w:t>erriprox szedése előtt</w:t>
      </w:r>
    </w:p>
    <w:p w:rsidR="001B4308" w:rsidRPr="00A530FF" w:rsidRDefault="001B4308" w:rsidP="001B4308">
      <w:pPr>
        <w:ind w:left="567" w:hanging="567"/>
        <w:rPr>
          <w:b/>
          <w:sz w:val="22"/>
          <w:szCs w:val="22"/>
          <w:lang w:val="hu-HU"/>
        </w:rPr>
      </w:pPr>
    </w:p>
    <w:p w:rsidR="001B4308" w:rsidRPr="00A530FF" w:rsidRDefault="001B4308" w:rsidP="001B4308">
      <w:pPr>
        <w:ind w:left="567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Ne szedje a Ferriprox-ot: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ha allergiás a deferipronra vagy a </w:t>
      </w:r>
      <w:r w:rsidR="00C54A76" w:rsidRPr="00A530FF">
        <w:rPr>
          <w:szCs w:val="22"/>
          <w:lang w:val="hu-HU"/>
        </w:rPr>
        <w:t>gyógyszer (6. pontban felsorolt)</w:t>
      </w:r>
      <w:r w:rsidRPr="00A530FF">
        <w:rPr>
          <w:szCs w:val="22"/>
          <w:lang w:val="hu-HU"/>
        </w:rPr>
        <w:t xml:space="preserve"> egyéb összetevőjére.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kórtörténetében szerepel időről-időre megjelenő neutropénia (alacsony fehérvérsejt</w:t>
      </w:r>
      <w:r w:rsidR="00294956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[neutrofilszám</w:t>
      </w:r>
      <w:r w:rsidR="00294956">
        <w:rPr>
          <w:szCs w:val="22"/>
          <w:lang w:val="hu-HU"/>
        </w:rPr>
        <w:t>]</w:t>
      </w:r>
      <w:r w:rsidRPr="00A530FF">
        <w:rPr>
          <w:szCs w:val="22"/>
          <w:lang w:val="hu-HU"/>
        </w:rPr>
        <w:t>).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kórtörténetében szerepel agranulocitózis (nagyon alacsony fehérvérsejt</w:t>
      </w:r>
      <w:r w:rsidR="00294956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[neutrofilszám</w:t>
      </w:r>
      <w:r w:rsidR="00294956">
        <w:rPr>
          <w:szCs w:val="22"/>
          <w:lang w:val="hu-HU"/>
        </w:rPr>
        <w:t>]</w:t>
      </w:r>
      <w:r w:rsidRPr="00A530FF">
        <w:rPr>
          <w:szCs w:val="22"/>
          <w:lang w:val="hu-HU"/>
        </w:rPr>
        <w:t>).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jelenleg olyan gyógyszereket szed, melyekről tudott, hogy neutropéniát vagy agranulocitózist okoznak (lásd a „</w:t>
      </w:r>
      <w:r w:rsidR="00C54A76" w:rsidRPr="00A530FF">
        <w:rPr>
          <w:szCs w:val="22"/>
          <w:lang w:val="hu-HU"/>
        </w:rPr>
        <w:t>E</w:t>
      </w:r>
      <w:r w:rsidRPr="00A530FF">
        <w:rPr>
          <w:szCs w:val="22"/>
          <w:lang w:val="hu-HU"/>
        </w:rPr>
        <w:t>gyéb gyógyszerek</w:t>
      </w:r>
      <w:r w:rsidR="00C54A76" w:rsidRPr="00A530FF">
        <w:rPr>
          <w:szCs w:val="22"/>
          <w:lang w:val="hu-HU"/>
        </w:rPr>
        <w:t xml:space="preserve"> és a Ferriprox</w:t>
      </w:r>
      <w:r w:rsidRPr="00A530FF">
        <w:rPr>
          <w:szCs w:val="22"/>
          <w:lang w:val="hu-HU"/>
        </w:rPr>
        <w:t>” című bekezdést).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amennyiben terhes vagy szoptat.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F</w:t>
      </w:r>
      <w:r w:rsidR="00C54A76" w:rsidRPr="00A530FF">
        <w:rPr>
          <w:b/>
          <w:sz w:val="22"/>
          <w:szCs w:val="22"/>
          <w:lang w:val="hu-HU"/>
        </w:rPr>
        <w:t>igyelmeztetések és óvintézkedések</w:t>
      </w:r>
    </w:p>
    <w:p w:rsidR="001B4308" w:rsidRPr="00A530FF" w:rsidRDefault="001B4308" w:rsidP="002E1D67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legsúlyosabb mellékhatás, ami a Ferriprox szedése alatt bekövetkezhet, az a nagyon alacsony fehérvérsejt</w:t>
      </w:r>
      <w:r w:rsidR="00294956">
        <w:rPr>
          <w:szCs w:val="22"/>
          <w:lang w:val="hu-HU"/>
        </w:rPr>
        <w:t>szám</w:t>
      </w:r>
      <w:r w:rsidRPr="00A530FF">
        <w:rPr>
          <w:szCs w:val="22"/>
          <w:lang w:val="hu-HU"/>
        </w:rPr>
        <w:t xml:space="preserve"> (neutrofilszám</w:t>
      </w:r>
      <w:r w:rsidR="00294956">
        <w:rPr>
          <w:szCs w:val="22"/>
          <w:lang w:val="hu-HU"/>
        </w:rPr>
        <w:t>)</w:t>
      </w:r>
      <w:r w:rsidRPr="00A530FF">
        <w:rPr>
          <w:szCs w:val="22"/>
          <w:lang w:val="hu-HU"/>
        </w:rPr>
        <w:t xml:space="preserve">. Ez a súlyos neutropéniaként vagy agranulocitózisként ismert állapot nagyjából 100-ból </w:t>
      </w:r>
      <w:r w:rsidR="00EE60AD" w:rsidRPr="00A530FF">
        <w:rPr>
          <w:szCs w:val="22"/>
          <w:lang w:val="hu-HU"/>
        </w:rPr>
        <w:t>egy-két</w:t>
      </w:r>
      <w:r w:rsidRPr="00A530FF">
        <w:rPr>
          <w:szCs w:val="22"/>
          <w:lang w:val="hu-HU"/>
        </w:rPr>
        <w:t>, Ferriprox-ot szedő embernél fordult elő a klinikai vizsgálatok során. Mivel a fehérvérsejtek a fertőzések leküzdésében segítenek, az alacsony neutrofilszám súlyos és esetlegesen életet veszélyeztető fertőzés kockázatát jelentheti. A neutropénia ellenőrzése érdekében orvosa a Ferriprox szedése alatt rendszeres – akár hetente történő – vérvizsgálatra fogja kérni Önt (fehérvérsejtszáma ellenőrzése érdekében). Az Ön érdekében nagyon fontos, hogy az összes ilyen vizsgálaton megjelenjen. Kérjük, olvassa el az ehhez a betegtájékoztatóhoz mellékelt, a betegnek</w:t>
      </w:r>
      <w:r w:rsidR="00294956">
        <w:rPr>
          <w:szCs w:val="22"/>
          <w:lang w:val="hu-HU"/>
        </w:rPr>
        <w:t>,</w:t>
      </w:r>
      <w:r w:rsidRPr="00A530FF">
        <w:rPr>
          <w:szCs w:val="22"/>
          <w:lang w:val="hu-HU"/>
        </w:rPr>
        <w:t xml:space="preserve"> illetve gondozójának szóló emlékeztető kártyát. </w:t>
      </w:r>
      <w:r w:rsidR="002E6F7B" w:rsidRPr="00A076D1">
        <w:rPr>
          <w:szCs w:val="22"/>
          <w:lang w:val="hu"/>
        </w:rPr>
        <w:t>Ha bármilyen fertőzésre utaló jelet észlel, például lázat, torokfájást vagy influenzaszerű tüneteket, azonnal forduljon orvoshoz. A fehérvérsejtszámát 24 órán belül ellenőrizni kell az esetleges agranulocytosis diagnosztizálása érdekében</w:t>
      </w:r>
      <w:r w:rsidRPr="00A530FF">
        <w:rPr>
          <w:szCs w:val="22"/>
          <w:lang w:val="hu-HU"/>
        </w:rPr>
        <w:t>.</w:t>
      </w:r>
    </w:p>
    <w:p w:rsidR="002F3841" w:rsidRPr="00A530FF" w:rsidRDefault="002F3841" w:rsidP="002F3841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567" w:hanging="567"/>
        <w:jc w:val="left"/>
        <w:rPr>
          <w:szCs w:val="22"/>
          <w:lang w:val="hu-HU"/>
        </w:rPr>
      </w:pPr>
      <w:r>
        <w:rPr>
          <w:szCs w:val="22"/>
          <w:lang w:val="hu-HU"/>
        </w:rPr>
        <w:t>a</w:t>
      </w:r>
      <w:r w:rsidRPr="00A530FF">
        <w:rPr>
          <w:szCs w:val="22"/>
          <w:lang w:val="hu-HU"/>
        </w:rPr>
        <w:t xml:space="preserve">mennyiben Ön HIV-pozitív, illetve ha </w:t>
      </w:r>
      <w:r w:rsidRPr="00A076D1">
        <w:rPr>
          <w:szCs w:val="22"/>
          <w:lang w:val="hu"/>
        </w:rPr>
        <w:t xml:space="preserve">máj- vagy veseműködése </w:t>
      </w:r>
      <w:r w:rsidRPr="00B6527F">
        <w:rPr>
          <w:szCs w:val="22"/>
          <w:lang w:val="hu-HU"/>
        </w:rPr>
        <w:t>súlyosan</w:t>
      </w:r>
      <w:r w:rsidRPr="00A530FF">
        <w:rPr>
          <w:szCs w:val="22"/>
          <w:lang w:val="hu-HU"/>
        </w:rPr>
        <w:t xml:space="preserve"> károsodott, orvosa további vizsgálatokat javasolhat.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56030D" w:rsidRPr="00A530FF" w:rsidRDefault="0056030D" w:rsidP="0056030D">
      <w:pPr>
        <w:tabs>
          <w:tab w:val="left" w:pos="0"/>
        </w:tabs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Kezelőo</w:t>
      </w:r>
      <w:r w:rsidRPr="00A530FF">
        <w:rPr>
          <w:sz w:val="22"/>
          <w:szCs w:val="22"/>
          <w:lang w:val="hu-HU"/>
        </w:rPr>
        <w:t xml:space="preserve">rvosa </w:t>
      </w:r>
      <w:r>
        <w:rPr>
          <w:sz w:val="22"/>
          <w:szCs w:val="22"/>
          <w:lang w:val="hu-HU"/>
        </w:rPr>
        <w:t xml:space="preserve">olyan </w:t>
      </w:r>
      <w:r w:rsidRPr="00A530FF">
        <w:rPr>
          <w:sz w:val="22"/>
          <w:szCs w:val="22"/>
          <w:lang w:val="hu-HU"/>
        </w:rPr>
        <w:t xml:space="preserve">vizsgálatokra </w:t>
      </w:r>
      <w:r>
        <w:rPr>
          <w:sz w:val="22"/>
          <w:szCs w:val="22"/>
          <w:lang w:val="hu-HU"/>
        </w:rPr>
        <w:t>fogja</w:t>
      </w:r>
      <w:r w:rsidRPr="00A530FF">
        <w:rPr>
          <w:sz w:val="22"/>
          <w:szCs w:val="22"/>
          <w:lang w:val="hu-HU"/>
        </w:rPr>
        <w:t xml:space="preserve"> behívni</w:t>
      </w:r>
      <w:r>
        <w:rPr>
          <w:sz w:val="22"/>
          <w:szCs w:val="22"/>
          <w:lang w:val="hu-HU"/>
        </w:rPr>
        <w:t xml:space="preserve">, amellyel </w:t>
      </w:r>
      <w:r w:rsidRPr="00A530FF">
        <w:rPr>
          <w:sz w:val="22"/>
          <w:szCs w:val="22"/>
          <w:lang w:val="hu-HU"/>
        </w:rPr>
        <w:t>ellenőrz</w:t>
      </w:r>
      <w:r>
        <w:rPr>
          <w:sz w:val="22"/>
          <w:szCs w:val="22"/>
          <w:lang w:val="hu-HU"/>
        </w:rPr>
        <w:t>i</w:t>
      </w:r>
      <w:r w:rsidRPr="00A530FF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 xml:space="preserve">az Ön </w:t>
      </w:r>
      <w:r w:rsidRPr="00A530FF">
        <w:rPr>
          <w:sz w:val="22"/>
          <w:szCs w:val="22"/>
          <w:lang w:val="hu-HU"/>
        </w:rPr>
        <w:t>vasháztartását</w:t>
      </w:r>
      <w:r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továbbá e</w:t>
      </w:r>
      <w:r w:rsidRPr="0040748C">
        <w:rPr>
          <w:sz w:val="22"/>
          <w:szCs w:val="22"/>
          <w:lang w:val="hu-HU"/>
        </w:rPr>
        <w:t>lőfordulhat, hogy beutalja májbiopsziára</w:t>
      </w:r>
      <w:r>
        <w:rPr>
          <w:sz w:val="22"/>
          <w:szCs w:val="22"/>
          <w:lang w:val="hu-HU"/>
        </w:rPr>
        <w:t xml:space="preserve"> is</w:t>
      </w:r>
      <w:r w:rsidRPr="00A530FF">
        <w:rPr>
          <w:sz w:val="22"/>
          <w:szCs w:val="22"/>
          <w:lang w:val="hu-HU"/>
        </w:rPr>
        <w:t>.</w:t>
      </w:r>
    </w:p>
    <w:p w:rsidR="001B4308" w:rsidRPr="00A530FF" w:rsidRDefault="001B4308" w:rsidP="001B4308">
      <w:pPr>
        <w:pStyle w:val="EndnoteText"/>
        <w:tabs>
          <w:tab w:val="clear" w:pos="567"/>
          <w:tab w:val="left" w:pos="0"/>
        </w:tabs>
        <w:rPr>
          <w:strike/>
          <w:szCs w:val="22"/>
          <w:lang w:val="hu-HU"/>
        </w:rPr>
      </w:pPr>
    </w:p>
    <w:p w:rsidR="001B4308" w:rsidRPr="00A530FF" w:rsidRDefault="00C54A76" w:rsidP="001B4308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E</w:t>
      </w:r>
      <w:r w:rsidR="001B4308" w:rsidRPr="00A530FF">
        <w:rPr>
          <w:b/>
          <w:sz w:val="22"/>
          <w:szCs w:val="22"/>
          <w:lang w:val="hu-HU"/>
        </w:rPr>
        <w:t>gyéb gyógyszerek</w:t>
      </w:r>
      <w:r w:rsidRPr="00A530FF">
        <w:rPr>
          <w:b/>
          <w:sz w:val="22"/>
          <w:szCs w:val="22"/>
          <w:lang w:val="hu-HU"/>
        </w:rPr>
        <w:t xml:space="preserve"> és a Ferriprox</w:t>
      </w:r>
    </w:p>
    <w:p w:rsidR="005C41A6" w:rsidRDefault="00601577" w:rsidP="001B4308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 szedjen ismerten neutropéniát (</w:t>
      </w:r>
      <w:r w:rsidR="00294956" w:rsidRPr="00A530FF">
        <w:rPr>
          <w:sz w:val="22"/>
          <w:szCs w:val="22"/>
          <w:lang w:val="hu-HU"/>
        </w:rPr>
        <w:t xml:space="preserve">bizonyos fehérvérsejtek </w:t>
      </w:r>
      <w:r w:rsidRPr="00A530FF">
        <w:rPr>
          <w:sz w:val="22"/>
          <w:szCs w:val="22"/>
          <w:lang w:val="hu-HU"/>
        </w:rPr>
        <w:t>alacsony szám</w:t>
      </w:r>
      <w:r w:rsidR="00294956">
        <w:rPr>
          <w:sz w:val="22"/>
          <w:szCs w:val="22"/>
          <w:lang w:val="hu-HU"/>
        </w:rPr>
        <w:t>a</w:t>
      </w:r>
      <w:r w:rsidRPr="00A530FF">
        <w:rPr>
          <w:sz w:val="22"/>
          <w:szCs w:val="22"/>
          <w:lang w:val="hu-HU"/>
        </w:rPr>
        <w:t xml:space="preserve">) vagy agranulocitózist (bizonyos fehérvérsejtek teljes hiánya a vérben) </w:t>
      </w:r>
      <w:r w:rsidR="001B4308" w:rsidRPr="00A530FF">
        <w:rPr>
          <w:sz w:val="22"/>
          <w:szCs w:val="22"/>
          <w:lang w:val="hu-HU"/>
        </w:rPr>
        <w:t>okozó gyógyszereket (lásd a „Ne szedje a Ferriprox</w:t>
      </w:r>
      <w:r w:rsidR="00294956">
        <w:rPr>
          <w:sz w:val="22"/>
          <w:szCs w:val="22"/>
          <w:lang w:val="hu-HU"/>
        </w:rPr>
        <w:noBreakHyphen/>
      </w:r>
      <w:r w:rsidR="001B4308" w:rsidRPr="00A530FF">
        <w:rPr>
          <w:sz w:val="22"/>
          <w:szCs w:val="22"/>
          <w:lang w:val="hu-HU"/>
        </w:rPr>
        <w:t>ot” című bekezdést). Feltétlenül tájékoztassa kezelőorvosát vagy gyógyszerészét a jelenleg vagy nemrégiben szedett</w:t>
      </w:r>
      <w:r w:rsidR="00C54A76" w:rsidRPr="00A530FF">
        <w:rPr>
          <w:sz w:val="22"/>
          <w:szCs w:val="22"/>
          <w:lang w:val="hu-HU"/>
        </w:rPr>
        <w:t>, valamint szedni tervezett</w:t>
      </w:r>
      <w:r w:rsidR="001B4308" w:rsidRPr="00A530FF">
        <w:rPr>
          <w:sz w:val="22"/>
          <w:szCs w:val="22"/>
          <w:lang w:val="hu-HU"/>
        </w:rPr>
        <w:t xml:space="preserve"> egyéb gyógyszereiről, beleértve a vény nélkül kapható készítményeket is.</w:t>
      </w:r>
    </w:p>
    <w:p w:rsidR="001B4308" w:rsidRPr="00A530FF" w:rsidRDefault="001B4308" w:rsidP="001B4308">
      <w:pPr>
        <w:pStyle w:val="BodyText"/>
        <w:jc w:val="left"/>
        <w:rPr>
          <w:szCs w:val="22"/>
          <w:lang w:val="hu-HU"/>
        </w:rPr>
      </w:pPr>
    </w:p>
    <w:p w:rsidR="005C41A6" w:rsidRDefault="001B4308" w:rsidP="001B4308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 xml:space="preserve">A Ferriprox </w:t>
      </w:r>
      <w:r w:rsidR="0040748C" w:rsidRPr="0040748C">
        <w:rPr>
          <w:szCs w:val="22"/>
          <w:lang w:val="hu-HU"/>
        </w:rPr>
        <w:t xml:space="preserve">szedésével egyidejűleg </w:t>
      </w:r>
      <w:r w:rsidRPr="00A530FF">
        <w:rPr>
          <w:szCs w:val="22"/>
          <w:lang w:val="hu-HU"/>
        </w:rPr>
        <w:t>ne szedjen alumíniumalapú savlekötőket.</w:t>
      </w:r>
    </w:p>
    <w:p w:rsidR="001B4308" w:rsidRPr="00A530FF" w:rsidRDefault="001B4308" w:rsidP="001B4308">
      <w:pPr>
        <w:pStyle w:val="BodyText"/>
        <w:jc w:val="left"/>
        <w:rPr>
          <w:szCs w:val="22"/>
          <w:lang w:val="hu-HU"/>
        </w:rPr>
      </w:pPr>
    </w:p>
    <w:p w:rsidR="005C41A6" w:rsidRDefault="001B4308" w:rsidP="001B4308">
      <w:pPr>
        <w:pStyle w:val="BodyText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Kérjük, konzultáljon orvosával vagy gyógyszerészével, mielőtt C-vitamint szedne együtt a Ferriprox-szal.</w:t>
      </w:r>
    </w:p>
    <w:p w:rsidR="001B4308" w:rsidRPr="00A530FF" w:rsidRDefault="001B4308" w:rsidP="001B4308">
      <w:pPr>
        <w:pStyle w:val="BodyText3"/>
        <w:rPr>
          <w:color w:val="auto"/>
          <w:szCs w:val="22"/>
          <w:lang w:val="hu-HU"/>
        </w:rPr>
      </w:pPr>
    </w:p>
    <w:p w:rsidR="001B4308" w:rsidRPr="00A530FF" w:rsidRDefault="001B4308" w:rsidP="001B4308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Terhesség és szoptatás</w:t>
      </w:r>
    </w:p>
    <w:p w:rsidR="001B4308" w:rsidRPr="00A530FF" w:rsidRDefault="001B4308" w:rsidP="001B4308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 szedje ezt a gyógyszert, ha várandós vagy ha terhességet tervez. Ez a gyógyszer súlyosan károsíthatja gyermeke egészségét. A Ferriprox szedése alatt hatékony fogamzásgátlással kell élnie. Kérje orvosa tanácsát az Ön számára legmegfelelőbb módszerről. Ha a Ferriprox szedése közben teherbe esik, azonnal hagyja abba a gyógyszer szedését és közölje orvosával, hogy teherbe esett.</w:t>
      </w:r>
    </w:p>
    <w:p w:rsidR="001B4308" w:rsidRPr="00A530FF" w:rsidRDefault="001B4308" w:rsidP="001B4308">
      <w:pPr>
        <w:tabs>
          <w:tab w:val="left" w:pos="0"/>
        </w:tabs>
        <w:rPr>
          <w:sz w:val="22"/>
          <w:szCs w:val="22"/>
          <w:lang w:val="hu-HU"/>
        </w:rPr>
      </w:pPr>
    </w:p>
    <w:p w:rsidR="001B4308" w:rsidRPr="00A530FF" w:rsidRDefault="001B4308" w:rsidP="001B4308">
      <w:pPr>
        <w:tabs>
          <w:tab w:val="left" w:pos="0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Szoptatós anyák ne szedjék a Ferriprox-ot. Kérjük, olvassa el a betegtájékoztatóhoz mellékelt betegek/gondozók számára szóló emlékeztető kártya utasításait.</w:t>
      </w:r>
    </w:p>
    <w:p w:rsidR="001B4308" w:rsidRPr="00A530FF" w:rsidRDefault="001B4308" w:rsidP="001B4308">
      <w:pPr>
        <w:tabs>
          <w:tab w:val="left" w:pos="0"/>
        </w:tabs>
        <w:rPr>
          <w:sz w:val="22"/>
          <w:szCs w:val="22"/>
          <w:lang w:val="hu-HU"/>
        </w:rPr>
      </w:pPr>
    </w:p>
    <w:p w:rsidR="001B4308" w:rsidRPr="00A530FF" w:rsidRDefault="001B4308" w:rsidP="001B4308">
      <w:pPr>
        <w:tabs>
          <w:tab w:val="left" w:pos="0"/>
        </w:tabs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készítmény hatásai a gépjárművezetéshez és </w:t>
      </w:r>
      <w:r w:rsidR="00396B44" w:rsidRPr="00A530FF">
        <w:rPr>
          <w:b/>
          <w:sz w:val="22"/>
          <w:szCs w:val="22"/>
          <w:lang w:val="hu-HU"/>
        </w:rPr>
        <w:t xml:space="preserve">a </w:t>
      </w:r>
      <w:r w:rsidRPr="00A530FF">
        <w:rPr>
          <w:b/>
          <w:sz w:val="22"/>
          <w:szCs w:val="22"/>
          <w:lang w:val="hu-HU"/>
        </w:rPr>
        <w:t>gépek kezeléséhez szükséges képességekre</w:t>
      </w:r>
    </w:p>
    <w:p w:rsidR="001B4308" w:rsidRPr="00A530FF" w:rsidRDefault="009D485C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Nem értelmezhető.</w:t>
      </w:r>
    </w:p>
    <w:p w:rsidR="001B4308" w:rsidRPr="00A530FF" w:rsidRDefault="001B4308" w:rsidP="001B4308">
      <w:pPr>
        <w:tabs>
          <w:tab w:val="left" w:pos="851"/>
        </w:tabs>
        <w:rPr>
          <w:i/>
          <w:sz w:val="22"/>
          <w:szCs w:val="22"/>
          <w:lang w:val="hu-HU"/>
        </w:rPr>
      </w:pPr>
    </w:p>
    <w:p w:rsidR="001B4308" w:rsidRPr="00A530FF" w:rsidRDefault="001B4308" w:rsidP="001B4308">
      <w:pPr>
        <w:tabs>
          <w:tab w:val="left" w:pos="851"/>
        </w:tabs>
        <w:ind w:left="567" w:hanging="567"/>
        <w:rPr>
          <w:sz w:val="22"/>
          <w:szCs w:val="22"/>
          <w:lang w:val="hu-HU"/>
        </w:rPr>
      </w:pPr>
    </w:p>
    <w:p w:rsidR="001B4308" w:rsidRPr="00A530FF" w:rsidRDefault="001B4308" w:rsidP="00D55C2A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3.</w:t>
      </w:r>
      <w:r w:rsidRPr="00A530FF">
        <w:rPr>
          <w:szCs w:val="22"/>
          <w:lang w:val="hu-HU" w:eastAsia="en-US"/>
        </w:rPr>
        <w:tab/>
        <w:t>H</w:t>
      </w:r>
      <w:r w:rsidR="00C54A76" w:rsidRPr="00A530FF">
        <w:rPr>
          <w:szCs w:val="22"/>
          <w:lang w:val="hu-HU" w:eastAsia="en-US"/>
        </w:rPr>
        <w:t>ogyan kell szedni a Ferriprox</w:t>
      </w:r>
      <w:r w:rsidRPr="00A530FF">
        <w:rPr>
          <w:szCs w:val="22"/>
          <w:lang w:val="hu-HU" w:eastAsia="en-US"/>
        </w:rPr>
        <w:t>-</w:t>
      </w:r>
      <w:r w:rsidR="00C54A76" w:rsidRPr="00A530FF">
        <w:rPr>
          <w:szCs w:val="22"/>
          <w:lang w:val="hu-HU" w:eastAsia="en-US"/>
        </w:rPr>
        <w:t>ot?</w:t>
      </w:r>
    </w:p>
    <w:p w:rsidR="001B4308" w:rsidRPr="00A530FF" w:rsidRDefault="001B4308" w:rsidP="00D55C2A">
      <w:pPr>
        <w:pStyle w:val="EndnoteText"/>
        <w:keepNext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1B4308" w:rsidRPr="00A530FF" w:rsidRDefault="001B4308" w:rsidP="005C41A6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</w:t>
      </w:r>
      <w:r w:rsidR="00C54A76" w:rsidRPr="00A530FF">
        <w:rPr>
          <w:sz w:val="22"/>
          <w:szCs w:val="22"/>
          <w:lang w:val="hu-HU"/>
        </w:rPr>
        <w:t xml:space="preserve">gyógyszert </w:t>
      </w:r>
      <w:r w:rsidRPr="00A530FF">
        <w:rPr>
          <w:sz w:val="22"/>
          <w:szCs w:val="22"/>
          <w:lang w:val="hu-HU"/>
        </w:rPr>
        <w:t xml:space="preserve">mindig az orvos által elmondottaknak megfelelően szedje. Amennyiben nem biztos az adagolást illetően, kérdezze meg </w:t>
      </w:r>
      <w:r w:rsidR="00C54A76" w:rsidRPr="00A530FF">
        <w:rPr>
          <w:sz w:val="22"/>
          <w:szCs w:val="22"/>
          <w:lang w:val="hu-HU"/>
        </w:rPr>
        <w:t>kezelő</w:t>
      </w:r>
      <w:r w:rsidRPr="00A530FF">
        <w:rPr>
          <w:sz w:val="22"/>
          <w:szCs w:val="22"/>
          <w:lang w:val="hu-HU"/>
        </w:rPr>
        <w:t>orvosát vagy gyógyszerészét. A Ferriprox adagja testsúlyától függ. Amennyiben a kezelőorvos másképp nem rendeli, a gyógyszer szokásos adagja 25 mg/testtömegkilogramm, napi három alkalommal, a 75 mg/testtömegkilogramm teljes napi adag eléréséig. A teljes napi adag nem haladhatja meg a 100 mg/testtömegkilogramm mennyiséget. Az első adagot reggel, a másodikat délben, a harmadikat este vegye be. A Ferriprox beszedhető étellel vagy étel nélkül; talán könnyebben eszébe jut, hogy bevegye a Ferriprox-ot, ha mindig étkezések alkalmával veszi azt be.</w:t>
      </w:r>
    </w:p>
    <w:p w:rsidR="001B4308" w:rsidRPr="00A530FF" w:rsidRDefault="001B4308" w:rsidP="001B4308">
      <w:pPr>
        <w:pStyle w:val="FootnoteText"/>
        <w:numPr>
          <w:ilvl w:val="12"/>
          <w:numId w:val="0"/>
        </w:numPr>
        <w:rPr>
          <w:sz w:val="22"/>
          <w:szCs w:val="22"/>
          <w:lang w:val="hu-HU"/>
        </w:rPr>
      </w:pPr>
    </w:p>
    <w:p w:rsidR="001B4308" w:rsidRPr="00A530FF" w:rsidRDefault="001B4308" w:rsidP="00D55C2A">
      <w:pPr>
        <w:keepNext/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Ha az előírtnál több Ferriprox-ot vett be</w:t>
      </w:r>
    </w:p>
    <w:p w:rsidR="001B4308" w:rsidRPr="00A530FF" w:rsidRDefault="001B4308" w:rsidP="001B4308">
      <w:pPr>
        <w:numPr>
          <w:ilvl w:val="12"/>
          <w:numId w:val="0"/>
        </w:numPr>
        <w:tabs>
          <w:tab w:val="left" w:pos="851"/>
        </w:tabs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esetén nem számoltak be akut túladagolásról. Ha véletlenül többet vett be a felírt dózisnál forduljon orvosához.</w:t>
      </w:r>
    </w:p>
    <w:p w:rsidR="001B4308" w:rsidRPr="00A530FF" w:rsidRDefault="001B4308" w:rsidP="001B4308">
      <w:pPr>
        <w:numPr>
          <w:ilvl w:val="12"/>
          <w:numId w:val="0"/>
        </w:numPr>
        <w:rPr>
          <w:b/>
          <w:sz w:val="22"/>
          <w:szCs w:val="22"/>
          <w:lang w:val="hu-HU"/>
        </w:rPr>
      </w:pPr>
    </w:p>
    <w:p w:rsidR="001B4308" w:rsidRPr="00A530FF" w:rsidRDefault="001B4308" w:rsidP="00A5089D">
      <w:pPr>
        <w:keepNext/>
        <w:numPr>
          <w:ilvl w:val="12"/>
          <w:numId w:val="0"/>
        </w:numPr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Ha elfelejtette bevenni a Ferriprox-ot</w:t>
      </w:r>
    </w:p>
    <w:p w:rsidR="001B4308" w:rsidRPr="00A530FF" w:rsidRDefault="001B4308" w:rsidP="001B4308">
      <w:pPr>
        <w:numPr>
          <w:ilvl w:val="12"/>
          <w:numId w:val="0"/>
        </w:num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A Ferriprox akkor a leghatásosabb, ha nem felejti el egyetlen adag bevételét sem. Ha kifelejt egy adagot, vegye be amint ez eszébe jutott, majd a következő adagot vegye be annak rendes idején. Ha több, mint egy adag bevételét hagyta ki, ne vegyen be </w:t>
      </w:r>
      <w:r w:rsidR="00294956">
        <w:rPr>
          <w:sz w:val="22"/>
          <w:szCs w:val="22"/>
          <w:lang w:val="hu-HU"/>
        </w:rPr>
        <w:t>kétszeres</w:t>
      </w:r>
      <w:r w:rsidR="00294956" w:rsidRPr="00A530FF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adagot az elfeledett adag</w:t>
      </w:r>
      <w:r w:rsidR="00294956">
        <w:rPr>
          <w:sz w:val="22"/>
          <w:szCs w:val="22"/>
          <w:lang w:val="hu-HU"/>
        </w:rPr>
        <w:t xml:space="preserve"> pótlására</w:t>
      </w:r>
      <w:r w:rsidRPr="00A530FF">
        <w:rPr>
          <w:sz w:val="22"/>
          <w:szCs w:val="22"/>
          <w:lang w:val="hu-HU"/>
        </w:rPr>
        <w:t>, csak folytassa a gyógyszer szedését a normális időbeosztás szerint. Ne változtasson a napi adagján anélkül, hogy azt orvosával megbeszélné.</w:t>
      </w:r>
    </w:p>
    <w:p w:rsidR="001B4308" w:rsidRPr="00A530FF" w:rsidRDefault="001B4308" w:rsidP="001B4308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1B4308" w:rsidRPr="00A530FF" w:rsidRDefault="001B4308" w:rsidP="001B4308">
      <w:pPr>
        <w:numPr>
          <w:ilvl w:val="12"/>
          <w:numId w:val="0"/>
        </w:numPr>
        <w:rPr>
          <w:sz w:val="22"/>
          <w:szCs w:val="22"/>
          <w:lang w:val="hu-HU"/>
        </w:rPr>
      </w:pPr>
    </w:p>
    <w:p w:rsidR="001B4308" w:rsidRPr="00A530FF" w:rsidRDefault="001B4308" w:rsidP="001B4308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4.</w:t>
      </w:r>
      <w:r w:rsidRPr="00A530FF">
        <w:rPr>
          <w:szCs w:val="22"/>
          <w:lang w:val="hu-HU" w:eastAsia="en-US"/>
        </w:rPr>
        <w:tab/>
        <w:t>L</w:t>
      </w:r>
      <w:r w:rsidR="00C54A76" w:rsidRPr="00A530FF">
        <w:rPr>
          <w:szCs w:val="22"/>
          <w:lang w:val="hu-HU" w:eastAsia="en-US"/>
        </w:rPr>
        <w:t>ehetséges mellékhatások</w:t>
      </w:r>
    </w:p>
    <w:p w:rsidR="001B4308" w:rsidRPr="00A530FF" w:rsidRDefault="001B4308" w:rsidP="001B4308">
      <w:pPr>
        <w:keepNext/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Mint minden gyógyszer, így</w:t>
      </w:r>
      <w:r w:rsidR="00C54A76" w:rsidRPr="00A530FF">
        <w:rPr>
          <w:sz w:val="22"/>
          <w:szCs w:val="22"/>
          <w:lang w:val="hu-HU"/>
        </w:rPr>
        <w:t xml:space="preserve"> ez</w:t>
      </w:r>
      <w:r w:rsidRPr="00A530FF">
        <w:rPr>
          <w:sz w:val="22"/>
          <w:szCs w:val="22"/>
          <w:lang w:val="hu-HU"/>
        </w:rPr>
        <w:t xml:space="preserve"> a </w:t>
      </w:r>
      <w:r w:rsidR="00C54A76" w:rsidRPr="00A530FF">
        <w:rPr>
          <w:sz w:val="22"/>
          <w:szCs w:val="22"/>
          <w:lang w:val="hu-HU"/>
        </w:rPr>
        <w:t xml:space="preserve">gyógyszer </w:t>
      </w:r>
      <w:r w:rsidRPr="00A530FF">
        <w:rPr>
          <w:sz w:val="22"/>
          <w:szCs w:val="22"/>
          <w:lang w:val="hu-HU"/>
        </w:rPr>
        <w:t>is okozhat mellékhatásokat, amelyek azonban nem mindenkinél jelentkeznek.</w:t>
      </w:r>
    </w:p>
    <w:p w:rsidR="001B4308" w:rsidRPr="00A530FF" w:rsidRDefault="001B4308" w:rsidP="001B4308">
      <w:pPr>
        <w:pStyle w:val="EndnoteText"/>
        <w:tabs>
          <w:tab w:val="clear" w:pos="567"/>
        </w:tabs>
        <w:rPr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legsúlyosabb mellékhatása a nagyon alacsony fehérvérsejt</w:t>
      </w:r>
      <w:r w:rsidR="00294956">
        <w:rPr>
          <w:sz w:val="22"/>
          <w:szCs w:val="22"/>
          <w:lang w:val="hu-HU"/>
        </w:rPr>
        <w:t>szám</w:t>
      </w:r>
      <w:r w:rsidRPr="00A530FF">
        <w:rPr>
          <w:sz w:val="22"/>
          <w:szCs w:val="22"/>
          <w:lang w:val="hu-HU"/>
        </w:rPr>
        <w:t xml:space="preserve"> (neutrofilszám</w:t>
      </w:r>
      <w:r w:rsidR="00294956">
        <w:rPr>
          <w:sz w:val="22"/>
          <w:szCs w:val="22"/>
          <w:lang w:val="hu-HU"/>
        </w:rPr>
        <w:t>)</w:t>
      </w:r>
      <w:r w:rsidRPr="00A530FF">
        <w:rPr>
          <w:sz w:val="22"/>
          <w:szCs w:val="22"/>
          <w:lang w:val="hu-HU"/>
        </w:rPr>
        <w:t xml:space="preserve">. Ez az állapot, más néven súlyos neutropénia vagy agranulocitózis, a klinikai vizsgálatok során Ferriprox-ot szedett 100 betegből alig </w:t>
      </w:r>
      <w:r w:rsidR="00EE60AD" w:rsidRPr="00A530FF">
        <w:rPr>
          <w:sz w:val="22"/>
          <w:szCs w:val="22"/>
          <w:lang w:val="hu-HU"/>
        </w:rPr>
        <w:t>1</w:t>
      </w:r>
      <w:r w:rsidR="00EE60AD" w:rsidRPr="00A530FF">
        <w:rPr>
          <w:sz w:val="22"/>
          <w:szCs w:val="22"/>
          <w:lang w:val="hu-HU"/>
        </w:rPr>
        <w:noBreakHyphen/>
      </w:r>
      <w:r w:rsidRPr="00A530FF">
        <w:rPr>
          <w:sz w:val="22"/>
          <w:szCs w:val="22"/>
          <w:lang w:val="hu-HU"/>
        </w:rPr>
        <w:t>2-nél fordult elő. Az alacsony fehérvérsejtszám súlyos és akár életveszélyes fertőzéssel társulhat. Haladéktalanul jelentse orvosának, ha bármi olyan tünetet észlel, ami fertőzésre utal, például: láz, torokfájás vagy influenzaszerű tünetek.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D55C2A">
      <w:pPr>
        <w:pStyle w:val="BodyText"/>
        <w:keepNext/>
        <w:rPr>
          <w:szCs w:val="22"/>
          <w:lang w:val="hu-HU"/>
        </w:rPr>
      </w:pPr>
      <w:r w:rsidRPr="00A530FF">
        <w:rPr>
          <w:b/>
          <w:bCs/>
          <w:szCs w:val="22"/>
          <w:lang w:val="hu-HU"/>
        </w:rPr>
        <w:t>Nagyon gyakori mellékhatások</w:t>
      </w:r>
      <w:r w:rsidRPr="00A530FF">
        <w:rPr>
          <w:szCs w:val="22"/>
          <w:lang w:val="hu-HU"/>
        </w:rPr>
        <w:t xml:space="preserve"> (10-ből több mint 1 </w:t>
      </w:r>
      <w:r w:rsidR="00C54A76" w:rsidRPr="00A530FF">
        <w:rPr>
          <w:szCs w:val="22"/>
          <w:lang w:val="hu-HU"/>
        </w:rPr>
        <w:t xml:space="preserve">beteget </w:t>
      </w:r>
      <w:r w:rsidRPr="00A530FF">
        <w:rPr>
          <w:szCs w:val="22"/>
          <w:lang w:val="hu-HU"/>
        </w:rPr>
        <w:t>érint</w:t>
      </w:r>
      <w:r w:rsidR="00C54A76" w:rsidRPr="00A530FF">
        <w:rPr>
          <w:szCs w:val="22"/>
          <w:lang w:val="hu-HU"/>
        </w:rPr>
        <w:t>het</w:t>
      </w:r>
      <w:r w:rsidRPr="00A530FF">
        <w:rPr>
          <w:szCs w:val="22"/>
          <w:lang w:val="hu-HU"/>
        </w:rPr>
        <w:t>):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hasi fájdalom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hányinger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hányás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 vizelet vöröses/barnás elszíneződése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Ha hányingere van, vagy hány, segíthet, ha a Ferriprox-ot étkezés közben veszi be. A vizelet elszíneződése nagyon gyakori, és nem ártalmas.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D55C2A">
      <w:pPr>
        <w:pStyle w:val="BodyText"/>
        <w:keepNext/>
        <w:rPr>
          <w:szCs w:val="22"/>
          <w:lang w:val="hu-HU"/>
        </w:rPr>
      </w:pPr>
      <w:r w:rsidRPr="00A530FF">
        <w:rPr>
          <w:b/>
          <w:bCs/>
          <w:szCs w:val="22"/>
          <w:lang w:val="hu-HU"/>
        </w:rPr>
        <w:t>Gyakori mellékhatások</w:t>
      </w:r>
      <w:r w:rsidRPr="00A530FF">
        <w:rPr>
          <w:szCs w:val="22"/>
          <w:lang w:val="hu-HU"/>
        </w:rPr>
        <w:t xml:space="preserve"> (10-</w:t>
      </w:r>
      <w:r w:rsidR="003A1AFB" w:rsidRPr="00A530FF">
        <w:rPr>
          <w:szCs w:val="22"/>
          <w:lang w:val="hu-HU"/>
        </w:rPr>
        <w:t xml:space="preserve">ből legfeljebb </w:t>
      </w:r>
      <w:r w:rsidRPr="00A530FF">
        <w:rPr>
          <w:szCs w:val="22"/>
          <w:lang w:val="hu-HU"/>
        </w:rPr>
        <w:t>1</w:t>
      </w:r>
      <w:r w:rsidR="003A1AFB" w:rsidRPr="00A530FF">
        <w:rPr>
          <w:szCs w:val="22"/>
          <w:lang w:val="hu-HU"/>
        </w:rPr>
        <w:t xml:space="preserve"> beteget</w:t>
      </w:r>
      <w:r w:rsidRPr="00A530FF">
        <w:rPr>
          <w:szCs w:val="22"/>
          <w:lang w:val="hu-HU"/>
        </w:rPr>
        <w:t xml:space="preserve"> érint</w:t>
      </w:r>
      <w:r w:rsidR="003A1AFB" w:rsidRPr="00A530FF">
        <w:rPr>
          <w:szCs w:val="22"/>
          <w:lang w:val="hu-HU"/>
        </w:rPr>
        <w:t>het</w:t>
      </w:r>
      <w:r w:rsidRPr="00A530FF">
        <w:rPr>
          <w:szCs w:val="22"/>
          <w:lang w:val="hu-HU"/>
        </w:rPr>
        <w:t>):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alacsony fehérvérsejtszám (agranulocitózis és neutropénia)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fejfájás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hasmenés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májenzimek szintjének emelkedése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fáradtság</w:t>
      </w:r>
    </w:p>
    <w:p w:rsidR="001B4308" w:rsidRPr="00A530FF" w:rsidRDefault="001B4308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fokozott étvágy</w:t>
      </w:r>
    </w:p>
    <w:p w:rsidR="001B4308" w:rsidRPr="00A530FF" w:rsidRDefault="001B4308" w:rsidP="00A5089D">
      <w:pPr>
        <w:rPr>
          <w:sz w:val="22"/>
          <w:szCs w:val="22"/>
          <w:lang w:val="hu-HU"/>
        </w:rPr>
      </w:pPr>
    </w:p>
    <w:p w:rsidR="003A1AFB" w:rsidRPr="00A530FF" w:rsidRDefault="003A1AFB" w:rsidP="00D55C2A">
      <w:pPr>
        <w:keepNext/>
        <w:tabs>
          <w:tab w:val="left" w:pos="567"/>
        </w:tabs>
        <w:spacing w:line="260" w:lineRule="exact"/>
        <w:rPr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 xml:space="preserve">Nem ismert </w:t>
      </w:r>
      <w:r w:rsidR="0056030D" w:rsidRPr="0056030D">
        <w:rPr>
          <w:b/>
          <w:bCs/>
          <w:sz w:val="22"/>
          <w:szCs w:val="22"/>
          <w:lang w:val="hu-HU"/>
        </w:rPr>
        <w:t xml:space="preserve">gyakoriságú mellékhatás </w:t>
      </w:r>
      <w:r w:rsidRPr="00A530FF">
        <w:rPr>
          <w:bCs/>
          <w:sz w:val="22"/>
          <w:szCs w:val="22"/>
          <w:lang w:val="hu-HU"/>
        </w:rPr>
        <w:t>(a gyakoriság a rendelkezésre álló adatok alapján</w:t>
      </w:r>
      <w:r w:rsidR="00A5089D" w:rsidRPr="00A530FF">
        <w:rPr>
          <w:bCs/>
          <w:sz w:val="22"/>
          <w:szCs w:val="22"/>
          <w:lang w:val="hu-HU"/>
        </w:rPr>
        <w:t xml:space="preserve"> nem állapítható meg</w:t>
      </w:r>
      <w:r w:rsidRPr="00A530FF">
        <w:rPr>
          <w:bCs/>
          <w:sz w:val="22"/>
          <w:szCs w:val="22"/>
          <w:lang w:val="hu-HU"/>
        </w:rPr>
        <w:t>):</w:t>
      </w:r>
    </w:p>
    <w:p w:rsidR="003A1AFB" w:rsidRPr="00A530FF" w:rsidRDefault="003A1AFB" w:rsidP="00AB36BA">
      <w:pPr>
        <w:pStyle w:val="BodyText"/>
        <w:numPr>
          <w:ilvl w:val="0"/>
          <w:numId w:val="16"/>
        </w:numPr>
        <w:tabs>
          <w:tab w:val="clear" w:pos="567"/>
        </w:tabs>
        <w:spacing w:line="240" w:lineRule="auto"/>
        <w:ind w:left="360"/>
        <w:jc w:val="left"/>
        <w:rPr>
          <w:szCs w:val="22"/>
          <w:lang w:val="hu-HU"/>
        </w:rPr>
      </w:pPr>
      <w:r w:rsidRPr="00A530FF">
        <w:rPr>
          <w:szCs w:val="22"/>
          <w:lang w:val="hu-HU"/>
        </w:rPr>
        <w:t>allergiás reakciók, beleértve a bőrkiütést vagy csalánkiütést</w:t>
      </w:r>
    </w:p>
    <w:p w:rsidR="003A1AFB" w:rsidRPr="00A530FF" w:rsidRDefault="003A1AFB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Az ízületi fájdalommal és az ízületek dagadásával járó esetek között az egy vagy több ízületben jelentkező enyhe fájdalomtól a súlyos mozgásképtelenségig minden előfordult. A legtöbb esetben a fájdalom elmúlt</w:t>
      </w:r>
      <w:r w:rsidR="00294956">
        <w:rPr>
          <w:sz w:val="22"/>
          <w:szCs w:val="22"/>
          <w:lang w:val="hu-HU"/>
        </w:rPr>
        <w:t>,</w:t>
      </w:r>
      <w:r w:rsidRPr="00A530FF">
        <w:rPr>
          <w:sz w:val="22"/>
          <w:szCs w:val="22"/>
          <w:lang w:val="hu-HU"/>
        </w:rPr>
        <w:t xml:space="preserve"> miközben a betegek folytatták a Ferriprox szedését.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807437" w:rsidRPr="00A530FF" w:rsidRDefault="00807437" w:rsidP="00807437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</w:t>
      </w:r>
      <w:r w:rsidRPr="00A530FF">
        <w:rPr>
          <w:sz w:val="22"/>
          <w:szCs w:val="22"/>
          <w:lang w:val="hu-HU"/>
        </w:rPr>
        <w:t>eurológiai rendellenességekről (például remegés, járászavarok, kettős látás, önkéntelen izomösszehúzódások, mozgáskoordinációs zavarok) számolnak be olyan gyermekeknél, akiknek több éven át szándékosan a javasolt maximális 100 mg/testtömegkilogramm/nap dózis kétszeresét meghaladó dózisokat írtak fel</w:t>
      </w:r>
      <w:r w:rsidRPr="00807437">
        <w:rPr>
          <w:sz w:val="22"/>
          <w:szCs w:val="22"/>
          <w:lang w:val="hu-HU"/>
        </w:rPr>
        <w:t xml:space="preserve">, és olyan gyermekeknél is, akiket </w:t>
      </w:r>
      <w:r w:rsidR="00CC5774">
        <w:rPr>
          <w:sz w:val="22"/>
          <w:szCs w:val="22"/>
          <w:lang w:val="hu-HU"/>
        </w:rPr>
        <w:t>a szokásos</w:t>
      </w:r>
      <w:r w:rsidR="00CC5774" w:rsidRPr="00807437">
        <w:rPr>
          <w:sz w:val="22"/>
          <w:szCs w:val="22"/>
          <w:lang w:val="hu-HU"/>
        </w:rPr>
        <w:t xml:space="preserve"> </w:t>
      </w:r>
      <w:r w:rsidRPr="00807437">
        <w:rPr>
          <w:sz w:val="22"/>
          <w:szCs w:val="22"/>
          <w:lang w:val="hu-HU"/>
        </w:rPr>
        <w:t>dózisú deferipronnal kezeltek</w:t>
      </w:r>
      <w:r w:rsidRPr="00A530FF">
        <w:rPr>
          <w:sz w:val="22"/>
          <w:szCs w:val="22"/>
          <w:lang w:val="hu-HU"/>
        </w:rPr>
        <w:t xml:space="preserve">. A Ferriprox szedésének megszakítását követően a </w:t>
      </w:r>
      <w:r w:rsidRPr="00807437">
        <w:rPr>
          <w:sz w:val="22"/>
          <w:szCs w:val="22"/>
          <w:lang w:val="hu-HU"/>
        </w:rPr>
        <w:t>gyermekeknél</w:t>
      </w:r>
      <w:r>
        <w:rPr>
          <w:sz w:val="22"/>
          <w:szCs w:val="22"/>
          <w:lang w:val="hu-HU"/>
        </w:rPr>
        <w:t xml:space="preserve"> a</w:t>
      </w:r>
      <w:r w:rsidRPr="00807437">
        <w:rPr>
          <w:sz w:val="22"/>
          <w:szCs w:val="22"/>
          <w:lang w:val="hu-HU"/>
        </w:rPr>
        <w:t xml:space="preserve"> </w:t>
      </w:r>
      <w:r w:rsidRPr="00A530FF">
        <w:rPr>
          <w:sz w:val="22"/>
          <w:szCs w:val="22"/>
          <w:lang w:val="hu-HU"/>
        </w:rPr>
        <w:t>tünetek megszűntek.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A923A6" w:rsidRPr="00A530FF" w:rsidRDefault="00A923A6" w:rsidP="00A923A6">
      <w:pPr>
        <w:ind w:right="-29"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Mellékhatások bejelentése</w:t>
      </w:r>
    </w:p>
    <w:p w:rsidR="00A923A6" w:rsidRPr="00A530FF" w:rsidRDefault="00A923A6" w:rsidP="00A923A6">
      <w:pPr>
        <w:ind w:right="-2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 xml:space="preserve">Ha Önnél bármilyen mellékhatás jelentkezik, tájékoztassa kezelőorvosát vagy gyógyszerészét. Ez a betegtájékoztatóban fel nem sorolt bármilyen lehetséges mellékhatásra is vonatkozik. A mellékhatásokat közvetlenül a hatóság részére is bejelentheti az </w:t>
      </w:r>
      <w:hyperlink r:id="rId15" w:history="1">
        <w:r w:rsidR="004211E1" w:rsidRPr="004211E1">
          <w:rPr>
            <w:rStyle w:val="Hyperlink"/>
            <w:sz w:val="22"/>
            <w:highlight w:val="lightGray"/>
            <w:lang w:val="hu-HU"/>
          </w:rPr>
          <w:t>V. függelékben</w:t>
        </w:r>
      </w:hyperlink>
      <w:r w:rsidR="004211E1" w:rsidRPr="004211E1">
        <w:rPr>
          <w:sz w:val="24"/>
          <w:szCs w:val="22"/>
          <w:highlight w:val="lightGray"/>
          <w:lang w:val="hu-HU"/>
        </w:rPr>
        <w:t xml:space="preserve"> </w:t>
      </w:r>
      <w:r w:rsidRPr="00A530FF">
        <w:rPr>
          <w:sz w:val="22"/>
          <w:szCs w:val="22"/>
          <w:highlight w:val="lightGray"/>
          <w:lang w:val="hu-HU"/>
        </w:rPr>
        <w:t>található elérhetőségeken keresztül</w:t>
      </w:r>
      <w:r w:rsidRPr="00A530FF">
        <w:rPr>
          <w:sz w:val="22"/>
          <w:szCs w:val="22"/>
          <w:lang w:val="hu-HU"/>
        </w:rPr>
        <w:t>. A mellékhatások bejelentésével Ön is hozzájárulhat ahhoz, hogy minél több információ álljon rendelkezésre a gyógyszer biztonságos alkalmazásával kapcsolatban.</w:t>
      </w:r>
    </w:p>
    <w:p w:rsidR="001B4308" w:rsidRPr="00A530FF" w:rsidRDefault="001B4308" w:rsidP="001B4308">
      <w:pPr>
        <w:pStyle w:val="BodyText3"/>
        <w:numPr>
          <w:ilvl w:val="12"/>
          <w:numId w:val="0"/>
        </w:numPr>
        <w:rPr>
          <w:color w:val="auto"/>
          <w:szCs w:val="22"/>
          <w:lang w:val="hu-HU"/>
        </w:rPr>
      </w:pPr>
    </w:p>
    <w:p w:rsidR="001B4308" w:rsidRPr="00A530FF" w:rsidRDefault="001B4308" w:rsidP="001B4308">
      <w:pPr>
        <w:pStyle w:val="EndnoteText"/>
        <w:numPr>
          <w:ilvl w:val="12"/>
          <w:numId w:val="0"/>
        </w:numPr>
        <w:tabs>
          <w:tab w:val="clear" w:pos="567"/>
        </w:tabs>
        <w:rPr>
          <w:szCs w:val="22"/>
          <w:lang w:val="hu-HU"/>
        </w:rPr>
      </w:pPr>
    </w:p>
    <w:p w:rsidR="001B4308" w:rsidRPr="00A530FF" w:rsidRDefault="001B4308" w:rsidP="0045353C">
      <w:pPr>
        <w:pStyle w:val="WW-Szvegtrzs212"/>
        <w:keepNext/>
        <w:tabs>
          <w:tab w:val="left" w:pos="567"/>
        </w:tabs>
        <w:suppressAutoHyphens w:val="0"/>
        <w:spacing w:line="260" w:lineRule="exact"/>
        <w:ind w:left="0" w:firstLine="0"/>
        <w:rPr>
          <w:szCs w:val="22"/>
          <w:lang w:val="hu-HU" w:eastAsia="en-US"/>
        </w:rPr>
      </w:pPr>
      <w:r w:rsidRPr="00A530FF">
        <w:rPr>
          <w:szCs w:val="22"/>
          <w:lang w:val="hu-HU" w:eastAsia="en-US"/>
        </w:rPr>
        <w:t>5.</w:t>
      </w:r>
      <w:r w:rsidRPr="00A530FF">
        <w:rPr>
          <w:szCs w:val="22"/>
          <w:lang w:val="hu-HU" w:eastAsia="en-US"/>
        </w:rPr>
        <w:tab/>
        <w:t>H</w:t>
      </w:r>
      <w:r w:rsidR="003A1AFB" w:rsidRPr="00A530FF">
        <w:rPr>
          <w:szCs w:val="22"/>
          <w:lang w:val="hu-HU" w:eastAsia="en-US"/>
        </w:rPr>
        <w:t>ogyan kell a Ferriprox</w:t>
      </w:r>
      <w:r w:rsidRPr="00A530FF">
        <w:rPr>
          <w:szCs w:val="22"/>
          <w:lang w:val="hu-HU" w:eastAsia="en-US"/>
        </w:rPr>
        <w:t>-</w:t>
      </w:r>
      <w:r w:rsidR="003A1AFB" w:rsidRPr="00A530FF">
        <w:rPr>
          <w:szCs w:val="22"/>
          <w:lang w:val="hu-HU" w:eastAsia="en-US"/>
        </w:rPr>
        <w:t>ot tárolni</w:t>
      </w:r>
      <w:r w:rsidRPr="00A530FF">
        <w:rPr>
          <w:szCs w:val="22"/>
          <w:lang w:val="hu-HU" w:eastAsia="en-US"/>
        </w:rPr>
        <w:t>?</w:t>
      </w:r>
    </w:p>
    <w:p w:rsidR="001B4308" w:rsidRPr="00A530FF" w:rsidRDefault="001B4308" w:rsidP="0045353C">
      <w:pPr>
        <w:keepNext/>
        <w:rPr>
          <w:b/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 gyermekektől elzárva tartandó!</w:t>
      </w:r>
    </w:p>
    <w:p w:rsidR="00153AA4" w:rsidRPr="00A530FF" w:rsidRDefault="00153AA4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címkén és dobozon feltüntetett lejárati idő (</w:t>
      </w:r>
      <w:r w:rsidR="001E1F63">
        <w:rPr>
          <w:sz w:val="22"/>
          <w:szCs w:val="22"/>
          <w:lang w:val="hu-HU"/>
        </w:rPr>
        <w:t>EXP</w:t>
      </w:r>
      <w:r w:rsidRPr="00A530FF">
        <w:rPr>
          <w:sz w:val="22"/>
          <w:szCs w:val="22"/>
          <w:lang w:val="hu-HU"/>
        </w:rPr>
        <w:t xml:space="preserve">) után ne szedje a </w:t>
      </w:r>
      <w:r w:rsidR="003A1AFB" w:rsidRPr="00A530FF">
        <w:rPr>
          <w:sz w:val="22"/>
          <w:szCs w:val="22"/>
          <w:lang w:val="hu-HU"/>
        </w:rPr>
        <w:t>gyógyszert</w:t>
      </w:r>
      <w:r w:rsidRPr="00A530FF">
        <w:rPr>
          <w:sz w:val="22"/>
          <w:szCs w:val="22"/>
          <w:lang w:val="hu-HU"/>
        </w:rPr>
        <w:t>.</w:t>
      </w:r>
    </w:p>
    <w:p w:rsidR="00153AA4" w:rsidRPr="00A530FF" w:rsidRDefault="00153AA4" w:rsidP="001B4308">
      <w:pPr>
        <w:rPr>
          <w:sz w:val="22"/>
          <w:szCs w:val="22"/>
          <w:lang w:val="hu-HU"/>
        </w:rPr>
      </w:pPr>
    </w:p>
    <w:p w:rsidR="001B4308" w:rsidRPr="00A530FF" w:rsidRDefault="001B4308" w:rsidP="00306996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Legfeljebb 30°C-on tárolandó.</w:t>
      </w:r>
      <w:r w:rsidR="0068087F" w:rsidRPr="00A530FF">
        <w:rPr>
          <w:sz w:val="22"/>
          <w:szCs w:val="22"/>
          <w:lang w:val="hu-HU"/>
        </w:rPr>
        <w:t xml:space="preserve"> </w:t>
      </w:r>
      <w:r w:rsidR="00601577" w:rsidRPr="00A530FF">
        <w:rPr>
          <w:noProof/>
          <w:sz w:val="22"/>
          <w:szCs w:val="22"/>
          <w:lang w:val="hu-HU"/>
        </w:rPr>
        <w:t>A nedvességtől való védelem érdekében a tartályt tarsa jól lezárva</w:t>
      </w:r>
      <w:r w:rsidR="0068087F" w:rsidRPr="00A530FF">
        <w:rPr>
          <w:sz w:val="22"/>
          <w:szCs w:val="22"/>
          <w:lang w:val="hu-HU"/>
        </w:rPr>
        <w:t xml:space="preserve">. </w:t>
      </w:r>
      <w:r w:rsidRPr="00A530FF">
        <w:rPr>
          <w:sz w:val="22"/>
          <w:szCs w:val="22"/>
          <w:lang w:val="hu-HU"/>
        </w:rPr>
        <w:t>Felbontás után 50</w:t>
      </w:r>
      <w:r w:rsidR="002E1D67" w:rsidRPr="00A530F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napon belül felhasználandó.</w:t>
      </w:r>
    </w:p>
    <w:p w:rsidR="00153AA4" w:rsidRPr="00A530FF" w:rsidRDefault="00153AA4" w:rsidP="0068087F">
      <w:pPr>
        <w:spacing w:line="260" w:lineRule="atLeast"/>
        <w:ind w:right="-2"/>
        <w:rPr>
          <w:sz w:val="22"/>
          <w:szCs w:val="22"/>
          <w:lang w:val="hu-HU"/>
        </w:rPr>
      </w:pPr>
    </w:p>
    <w:p w:rsidR="007B2E9E" w:rsidRDefault="007B2E9E" w:rsidP="007B2E9E">
      <w:pPr>
        <w:rPr>
          <w:sz w:val="22"/>
          <w:szCs w:val="22"/>
          <w:lang w:val="hu-HU"/>
        </w:rPr>
      </w:pPr>
      <w:r w:rsidRPr="007B2E9E">
        <w:rPr>
          <w:sz w:val="22"/>
          <w:szCs w:val="22"/>
          <w:lang w:val="hu-HU"/>
        </w:rPr>
        <w:t>Semmilyen gyóg</w:t>
      </w:r>
      <w:r>
        <w:rPr>
          <w:sz w:val="22"/>
          <w:szCs w:val="22"/>
          <w:lang w:val="hu-HU"/>
        </w:rPr>
        <w:t xml:space="preserve">yszert ne dobjon a szennyvízbe </w:t>
      </w:r>
      <w:r w:rsidRPr="007B2E9E">
        <w:rPr>
          <w:sz w:val="22"/>
          <w:szCs w:val="22"/>
          <w:lang w:val="hu-HU"/>
        </w:rPr>
        <w:t>vagy a háztartási hulladékba. Kérdezze meg gyógyszerészét, hogy mit tegyen a már nem használt gyógyszereivel. Ezek az intézkedések elősegítik a környezet védelmét.</w:t>
      </w:r>
    </w:p>
    <w:p w:rsidR="001B4308" w:rsidRPr="00A530FF" w:rsidRDefault="001B4308" w:rsidP="001B4308">
      <w:pPr>
        <w:spacing w:line="260" w:lineRule="atLeast"/>
        <w:ind w:left="567" w:right="-2" w:hanging="567"/>
        <w:rPr>
          <w:b/>
          <w:sz w:val="22"/>
          <w:szCs w:val="22"/>
          <w:lang w:val="hu-HU"/>
        </w:rPr>
      </w:pPr>
    </w:p>
    <w:p w:rsidR="001B4308" w:rsidRPr="00A530FF" w:rsidRDefault="001B4308" w:rsidP="001B4308">
      <w:pPr>
        <w:spacing w:line="260" w:lineRule="atLeast"/>
        <w:ind w:left="567" w:right="-2" w:hanging="567"/>
        <w:rPr>
          <w:b/>
          <w:sz w:val="22"/>
          <w:szCs w:val="22"/>
          <w:lang w:val="hu-HU"/>
        </w:rPr>
      </w:pPr>
    </w:p>
    <w:p w:rsidR="001B4308" w:rsidRPr="00A530FF" w:rsidRDefault="001B4308" w:rsidP="003E2D11">
      <w:pPr>
        <w:keepNext/>
        <w:spacing w:line="260" w:lineRule="atLeast"/>
        <w:ind w:left="567" w:right="-2" w:hanging="567"/>
        <w:rPr>
          <w:b/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>6.</w:t>
      </w:r>
      <w:r w:rsidRPr="00A530FF">
        <w:rPr>
          <w:b/>
          <w:sz w:val="22"/>
          <w:szCs w:val="22"/>
          <w:lang w:val="hu-HU"/>
        </w:rPr>
        <w:tab/>
      </w:r>
      <w:r w:rsidR="003A1AFB" w:rsidRPr="00A530FF">
        <w:rPr>
          <w:b/>
          <w:sz w:val="22"/>
          <w:szCs w:val="22"/>
          <w:lang w:val="hu-HU"/>
        </w:rPr>
        <w:t>A csomagolás tartalma és egyéb információk</w:t>
      </w:r>
    </w:p>
    <w:p w:rsidR="001B4308" w:rsidRPr="00A530FF" w:rsidRDefault="001B4308" w:rsidP="003E2D11">
      <w:pPr>
        <w:keepNext/>
        <w:rPr>
          <w:sz w:val="22"/>
          <w:szCs w:val="22"/>
          <w:lang w:val="hu-HU"/>
        </w:rPr>
      </w:pPr>
    </w:p>
    <w:p w:rsidR="001B4308" w:rsidRPr="00A530FF" w:rsidRDefault="001B4308" w:rsidP="003E2D11">
      <w:pPr>
        <w:keepNext/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Mit tartalmaz a Ferriprox</w:t>
      </w:r>
      <w:r w:rsidR="00C45EBD">
        <w:rPr>
          <w:b/>
          <w:bCs/>
          <w:sz w:val="22"/>
          <w:szCs w:val="22"/>
          <w:lang w:val="hu-HU"/>
        </w:rPr>
        <w:t>?</w:t>
      </w:r>
    </w:p>
    <w:p w:rsidR="0070411E" w:rsidRPr="00A530FF" w:rsidRDefault="001B4308" w:rsidP="00B646A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készítmény hatóanyaga deferipron.</w:t>
      </w:r>
      <w:r w:rsidR="007D3DCE">
        <w:rPr>
          <w:sz w:val="22"/>
          <w:szCs w:val="22"/>
          <w:lang w:val="hu-HU"/>
        </w:rPr>
        <w:t xml:space="preserve"> </w:t>
      </w:r>
      <w:r w:rsidR="0070411E" w:rsidRPr="00A530FF">
        <w:rPr>
          <w:sz w:val="22"/>
          <w:szCs w:val="22"/>
          <w:lang w:val="hu-HU"/>
        </w:rPr>
        <w:t>Minden 1000</w:t>
      </w:r>
      <w:r w:rsidR="00B646AF">
        <w:rPr>
          <w:sz w:val="22"/>
          <w:szCs w:val="22"/>
          <w:lang w:val="hu-HU"/>
        </w:rPr>
        <w:t> </w:t>
      </w:r>
      <w:r w:rsidR="0070411E" w:rsidRPr="00A530FF">
        <w:rPr>
          <w:sz w:val="22"/>
          <w:szCs w:val="22"/>
          <w:lang w:val="hu-HU"/>
        </w:rPr>
        <w:t>mg-os tabletta 1000</w:t>
      </w:r>
      <w:r w:rsidR="00B646AF">
        <w:rPr>
          <w:sz w:val="22"/>
          <w:szCs w:val="22"/>
          <w:lang w:val="hu-HU"/>
        </w:rPr>
        <w:t> </w:t>
      </w:r>
      <w:r w:rsidR="0070411E" w:rsidRPr="00A530FF">
        <w:rPr>
          <w:sz w:val="22"/>
          <w:szCs w:val="22"/>
          <w:lang w:val="hu-HU"/>
        </w:rPr>
        <w:t xml:space="preserve">mg </w:t>
      </w:r>
      <w:r w:rsidR="00BF3BB2" w:rsidRPr="00A530FF">
        <w:rPr>
          <w:sz w:val="22"/>
          <w:szCs w:val="22"/>
          <w:lang w:val="hu-HU"/>
        </w:rPr>
        <w:t>deferipron</w:t>
      </w:r>
      <w:r w:rsidR="0070411E" w:rsidRPr="00A530FF">
        <w:rPr>
          <w:sz w:val="22"/>
          <w:szCs w:val="22"/>
          <w:lang w:val="hu-HU"/>
        </w:rPr>
        <w:t>t tartalmaz.</w:t>
      </w:r>
    </w:p>
    <w:p w:rsidR="00153AA4" w:rsidRPr="00A530FF" w:rsidRDefault="00153AA4" w:rsidP="001B4308">
      <w:pPr>
        <w:rPr>
          <w:sz w:val="22"/>
          <w:szCs w:val="22"/>
          <w:lang w:val="hu-HU"/>
        </w:rPr>
      </w:pPr>
    </w:p>
    <w:p w:rsidR="001B4308" w:rsidRPr="00A530FF" w:rsidRDefault="003A1AFB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Egyéb összetevők:</w:t>
      </w:r>
      <w:r w:rsidR="00E85B8C">
        <w:rPr>
          <w:sz w:val="22"/>
          <w:szCs w:val="22"/>
          <w:lang w:val="hu-HU"/>
        </w:rPr>
        <w:t xml:space="preserve"> </w:t>
      </w:r>
      <w:r w:rsidR="001B4308" w:rsidRPr="00012126">
        <w:rPr>
          <w:i/>
          <w:iCs/>
          <w:sz w:val="22"/>
          <w:szCs w:val="22"/>
          <w:lang w:val="hu-HU"/>
        </w:rPr>
        <w:t>Tablettamag:</w:t>
      </w:r>
      <w:r w:rsidR="001B4308" w:rsidRPr="00A530FF">
        <w:rPr>
          <w:sz w:val="22"/>
          <w:szCs w:val="22"/>
          <w:lang w:val="hu-HU"/>
        </w:rPr>
        <w:t xml:space="preserve"> </w:t>
      </w:r>
      <w:r w:rsidR="00601577" w:rsidRPr="00A530FF">
        <w:rPr>
          <w:sz w:val="22"/>
          <w:szCs w:val="22"/>
          <w:lang w:val="hu-HU"/>
        </w:rPr>
        <w:t>m</w:t>
      </w:r>
      <w:r w:rsidR="0070411E" w:rsidRPr="00A530FF">
        <w:rPr>
          <w:sz w:val="22"/>
          <w:szCs w:val="22"/>
          <w:lang w:val="hu-HU"/>
        </w:rPr>
        <w:t xml:space="preserve">etilcellulóz, </w:t>
      </w:r>
      <w:r w:rsidR="00601577" w:rsidRPr="00A530FF">
        <w:rPr>
          <w:sz w:val="22"/>
          <w:szCs w:val="22"/>
          <w:lang w:val="hu-HU"/>
        </w:rPr>
        <w:t>kroszpovidon</w:t>
      </w:r>
      <w:r w:rsidR="009D485C" w:rsidRPr="00A530FF">
        <w:rPr>
          <w:sz w:val="22"/>
          <w:szCs w:val="22"/>
          <w:lang w:val="hu-HU"/>
        </w:rPr>
        <w:t xml:space="preserve">, </w:t>
      </w:r>
      <w:r w:rsidR="00601577" w:rsidRPr="00A530FF">
        <w:rPr>
          <w:sz w:val="22"/>
          <w:szCs w:val="22"/>
          <w:lang w:val="hu-HU"/>
        </w:rPr>
        <w:t>m</w:t>
      </w:r>
      <w:r w:rsidR="001B4308" w:rsidRPr="00A530FF">
        <w:rPr>
          <w:sz w:val="22"/>
          <w:szCs w:val="22"/>
          <w:lang w:val="hu-HU"/>
        </w:rPr>
        <w:t>agnézium-sztearát.</w:t>
      </w:r>
      <w:r w:rsidR="00E85B8C">
        <w:rPr>
          <w:sz w:val="22"/>
          <w:szCs w:val="22"/>
          <w:lang w:val="hu-HU"/>
        </w:rPr>
        <w:t xml:space="preserve"> </w:t>
      </w:r>
      <w:r w:rsidR="001B4308" w:rsidRPr="00012126">
        <w:rPr>
          <w:i/>
          <w:iCs/>
          <w:sz w:val="22"/>
          <w:szCs w:val="22"/>
          <w:lang w:val="hu-HU"/>
        </w:rPr>
        <w:t xml:space="preserve">Bevonat: </w:t>
      </w:r>
      <w:r w:rsidR="00601577" w:rsidRPr="00A530FF">
        <w:rPr>
          <w:sz w:val="22"/>
          <w:szCs w:val="22"/>
          <w:lang w:val="hu-HU"/>
        </w:rPr>
        <w:t>h</w:t>
      </w:r>
      <w:r w:rsidR="009D485C" w:rsidRPr="00A530FF">
        <w:rPr>
          <w:sz w:val="22"/>
          <w:szCs w:val="22"/>
          <w:lang w:val="hu-HU"/>
        </w:rPr>
        <w:t>ipromellóz,</w:t>
      </w:r>
      <w:r w:rsidR="0070411E" w:rsidRPr="00A530FF">
        <w:rPr>
          <w:sz w:val="22"/>
          <w:szCs w:val="22"/>
          <w:lang w:val="hu-HU"/>
        </w:rPr>
        <w:t xml:space="preserve"> </w:t>
      </w:r>
      <w:r w:rsidR="00601577" w:rsidRPr="00A530FF">
        <w:rPr>
          <w:sz w:val="22"/>
          <w:szCs w:val="22"/>
          <w:lang w:val="hu-HU"/>
        </w:rPr>
        <w:t>h</w:t>
      </w:r>
      <w:r w:rsidR="0070411E" w:rsidRPr="00A530FF">
        <w:rPr>
          <w:sz w:val="22"/>
          <w:szCs w:val="22"/>
          <w:lang w:val="hu-HU"/>
        </w:rPr>
        <w:t>idroxipropilcellulóz</w:t>
      </w:r>
      <w:r w:rsidR="009D485C" w:rsidRPr="00A530FF">
        <w:rPr>
          <w:sz w:val="22"/>
          <w:szCs w:val="22"/>
          <w:lang w:val="hu-HU"/>
        </w:rPr>
        <w:t xml:space="preserve">, </w:t>
      </w:r>
      <w:r w:rsidR="00601577" w:rsidRPr="00A530FF">
        <w:rPr>
          <w:sz w:val="22"/>
          <w:szCs w:val="22"/>
          <w:lang w:val="hu-HU"/>
        </w:rPr>
        <w:t>m</w:t>
      </w:r>
      <w:r w:rsidR="001B4308" w:rsidRPr="00A530FF">
        <w:rPr>
          <w:sz w:val="22"/>
          <w:szCs w:val="22"/>
          <w:lang w:val="hu-HU"/>
        </w:rPr>
        <w:t xml:space="preserve">akrogol, </w:t>
      </w:r>
      <w:r w:rsidR="00601577" w:rsidRPr="00A530FF">
        <w:rPr>
          <w:sz w:val="22"/>
          <w:szCs w:val="22"/>
          <w:lang w:val="hu-HU"/>
        </w:rPr>
        <w:t>t</w:t>
      </w:r>
      <w:r w:rsidR="001B4308" w:rsidRPr="00A530FF">
        <w:rPr>
          <w:sz w:val="22"/>
          <w:szCs w:val="22"/>
          <w:lang w:val="hu-HU"/>
        </w:rPr>
        <w:t>itán-dioxid.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 xml:space="preserve">Milyen a </w:t>
      </w:r>
      <w:r w:rsidR="0045353C" w:rsidRPr="00A530FF">
        <w:rPr>
          <w:b/>
          <w:bCs/>
          <w:sz w:val="22"/>
          <w:szCs w:val="22"/>
          <w:lang w:val="hu-HU"/>
        </w:rPr>
        <w:t xml:space="preserve">Ferriprox </w:t>
      </w:r>
      <w:r w:rsidRPr="00A530FF">
        <w:rPr>
          <w:b/>
          <w:bCs/>
          <w:sz w:val="22"/>
          <w:szCs w:val="22"/>
          <w:lang w:val="hu-HU"/>
        </w:rPr>
        <w:t>külleme és mit tartalmaz a csomagolás</w:t>
      </w:r>
    </w:p>
    <w:p w:rsidR="001B4308" w:rsidRPr="00A530FF" w:rsidRDefault="00DB3DC3" w:rsidP="00B646AF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Ferriprox 1000</w:t>
      </w:r>
      <w:r w:rsidR="00B646AF">
        <w:rPr>
          <w:sz w:val="22"/>
          <w:szCs w:val="22"/>
          <w:lang w:val="hu-HU"/>
        </w:rPr>
        <w:t> </w:t>
      </w:r>
      <w:r w:rsidRPr="00A530FF">
        <w:rPr>
          <w:sz w:val="22"/>
          <w:szCs w:val="22"/>
          <w:lang w:val="hu-HU"/>
        </w:rPr>
        <w:t>mg-os tablett</w:t>
      </w:r>
      <w:r w:rsidR="0082387A" w:rsidRPr="00A530FF">
        <w:rPr>
          <w:sz w:val="22"/>
          <w:szCs w:val="22"/>
          <w:lang w:val="hu-HU"/>
        </w:rPr>
        <w:t>ák</w:t>
      </w:r>
      <w:r w:rsidRPr="00A530FF">
        <w:rPr>
          <w:sz w:val="22"/>
          <w:szCs w:val="22"/>
          <w:lang w:val="hu-HU"/>
        </w:rPr>
        <w:t xml:space="preserve"> </w:t>
      </w:r>
      <w:r w:rsidR="009D485C" w:rsidRPr="00A530FF">
        <w:rPr>
          <w:sz w:val="22"/>
          <w:szCs w:val="22"/>
          <w:lang w:val="hu-HU"/>
        </w:rPr>
        <w:t>fehér</w:t>
      </w:r>
      <w:r w:rsidR="00A55BA1">
        <w:rPr>
          <w:sz w:val="22"/>
          <w:szCs w:val="22"/>
          <w:lang w:val="hu-HU"/>
        </w:rPr>
        <w:t xml:space="preserve"> vagy </w:t>
      </w:r>
      <w:r w:rsidR="00294956">
        <w:rPr>
          <w:sz w:val="22"/>
          <w:szCs w:val="22"/>
          <w:lang w:val="hu-HU"/>
        </w:rPr>
        <w:t xml:space="preserve">csaknem </w:t>
      </w:r>
      <w:r w:rsidR="009D485C" w:rsidRPr="00A530FF">
        <w:rPr>
          <w:sz w:val="22"/>
          <w:szCs w:val="22"/>
          <w:lang w:val="hu-HU"/>
        </w:rPr>
        <w:t xml:space="preserve">fehér, hosszúkás alakú filmtabletták, az egyik oldalukon </w:t>
      </w:r>
      <w:r w:rsidR="004D6223" w:rsidRPr="00A530FF">
        <w:rPr>
          <w:sz w:val="22"/>
          <w:szCs w:val="22"/>
          <w:lang w:val="hu-HU"/>
        </w:rPr>
        <w:t>„</w:t>
      </w:r>
      <w:r w:rsidR="009D485C" w:rsidRPr="00A530FF">
        <w:rPr>
          <w:sz w:val="22"/>
          <w:szCs w:val="22"/>
          <w:lang w:val="hu-HU"/>
        </w:rPr>
        <w:t xml:space="preserve">APO” és </w:t>
      </w:r>
      <w:r w:rsidR="004D6223" w:rsidRPr="00A530FF">
        <w:rPr>
          <w:sz w:val="22"/>
          <w:szCs w:val="22"/>
          <w:lang w:val="hu-HU"/>
        </w:rPr>
        <w:t>„</w:t>
      </w:r>
      <w:r w:rsidR="009D485C" w:rsidRPr="00A530FF">
        <w:rPr>
          <w:sz w:val="22"/>
          <w:szCs w:val="22"/>
          <w:lang w:val="hu-HU"/>
        </w:rPr>
        <w:t>1000” felirattal ellátva, a másik oldaluk</w:t>
      </w:r>
      <w:r w:rsidR="00294956">
        <w:rPr>
          <w:sz w:val="22"/>
          <w:szCs w:val="22"/>
          <w:lang w:val="hu-HU"/>
        </w:rPr>
        <w:t>on</w:t>
      </w:r>
      <w:r w:rsidR="009D485C" w:rsidRPr="00A530FF">
        <w:rPr>
          <w:sz w:val="22"/>
          <w:szCs w:val="22"/>
          <w:lang w:val="hu-HU"/>
        </w:rPr>
        <w:t xml:space="preserve"> jelzés nélkül. </w:t>
      </w:r>
      <w:r w:rsidR="001B4308" w:rsidRPr="00A530FF">
        <w:rPr>
          <w:sz w:val="22"/>
          <w:szCs w:val="22"/>
          <w:lang w:val="hu-HU"/>
        </w:rPr>
        <w:t xml:space="preserve">A tabletták </w:t>
      </w:r>
      <w:r w:rsidR="00A55BA1">
        <w:rPr>
          <w:sz w:val="22"/>
          <w:szCs w:val="22"/>
          <w:lang w:val="hu-HU"/>
        </w:rPr>
        <w:t>bemetszéssel</w:t>
      </w:r>
      <w:r w:rsidR="00A55BA1" w:rsidRPr="00A530FF">
        <w:rPr>
          <w:sz w:val="22"/>
          <w:szCs w:val="22"/>
          <w:lang w:val="hu-HU"/>
        </w:rPr>
        <w:t xml:space="preserve"> </w:t>
      </w:r>
      <w:r w:rsidR="001B4308" w:rsidRPr="00A530FF">
        <w:rPr>
          <w:sz w:val="22"/>
          <w:szCs w:val="22"/>
          <w:lang w:val="hu-HU"/>
        </w:rPr>
        <w:t>vannak ellátva, amely</w:t>
      </w:r>
      <w:r w:rsidR="00A55BA1">
        <w:rPr>
          <w:sz w:val="22"/>
          <w:szCs w:val="22"/>
          <w:lang w:val="hu-HU"/>
        </w:rPr>
        <w:t xml:space="preserve"> mentén</w:t>
      </w:r>
      <w:r w:rsidR="001B4308" w:rsidRPr="00A530FF">
        <w:rPr>
          <w:sz w:val="22"/>
          <w:szCs w:val="22"/>
          <w:lang w:val="hu-HU"/>
        </w:rPr>
        <w:t xml:space="preserve"> félbetörhetőek.</w:t>
      </w:r>
      <w:r w:rsidRPr="00A530FF">
        <w:rPr>
          <w:sz w:val="22"/>
          <w:szCs w:val="22"/>
          <w:lang w:val="hu-HU"/>
        </w:rPr>
        <w:t xml:space="preserve"> A Ferriprox 50</w:t>
      </w:r>
      <w:r w:rsidR="00B646AF">
        <w:rPr>
          <w:sz w:val="22"/>
          <w:szCs w:val="22"/>
          <w:lang w:val="hu-HU"/>
        </w:rPr>
        <w:t> </w:t>
      </w:r>
      <w:r w:rsidR="00A55BA1">
        <w:rPr>
          <w:sz w:val="22"/>
          <w:szCs w:val="22"/>
          <w:lang w:val="hu-HU"/>
        </w:rPr>
        <w:t xml:space="preserve">db </w:t>
      </w:r>
      <w:r w:rsidRPr="00A530FF">
        <w:rPr>
          <w:sz w:val="22"/>
          <w:szCs w:val="22"/>
          <w:lang w:val="hu-HU"/>
        </w:rPr>
        <w:t xml:space="preserve">tablettát tartalmazó </w:t>
      </w:r>
      <w:r w:rsidR="00290EB2" w:rsidRPr="00A530FF">
        <w:rPr>
          <w:sz w:val="22"/>
          <w:szCs w:val="22"/>
          <w:lang w:val="hu-HU"/>
        </w:rPr>
        <w:t>tartályban</w:t>
      </w:r>
      <w:r w:rsidRPr="00A530FF">
        <w:rPr>
          <w:sz w:val="22"/>
          <w:szCs w:val="22"/>
          <w:lang w:val="hu-HU"/>
        </w:rPr>
        <w:t xml:space="preserve"> </w:t>
      </w:r>
      <w:r w:rsidR="00290EB2" w:rsidRPr="00A530FF">
        <w:rPr>
          <w:sz w:val="22"/>
          <w:szCs w:val="22"/>
          <w:lang w:val="hu-HU"/>
        </w:rPr>
        <w:t>kerül forgalomba</w:t>
      </w:r>
      <w:r w:rsidR="00D51680">
        <w:rPr>
          <w:sz w:val="22"/>
          <w:szCs w:val="22"/>
          <w:lang w:val="hu-HU"/>
        </w:rPr>
        <w:t>.</w:t>
      </w:r>
    </w:p>
    <w:p w:rsidR="001B4308" w:rsidRPr="00A530FF" w:rsidRDefault="001B4308" w:rsidP="001B4308">
      <w:pPr>
        <w:rPr>
          <w:iCs/>
          <w:sz w:val="22"/>
          <w:szCs w:val="22"/>
          <w:lang w:val="hu-HU"/>
        </w:rPr>
      </w:pPr>
    </w:p>
    <w:p w:rsidR="001B4308" w:rsidRPr="00A530FF" w:rsidRDefault="001B4308" w:rsidP="001B4308">
      <w:pPr>
        <w:keepNext/>
        <w:tabs>
          <w:tab w:val="left" w:pos="4320"/>
        </w:tabs>
        <w:rPr>
          <w:b/>
          <w:bCs/>
          <w:sz w:val="22"/>
          <w:szCs w:val="22"/>
          <w:lang w:val="hu-HU"/>
        </w:rPr>
      </w:pPr>
      <w:r w:rsidRPr="00A530FF">
        <w:rPr>
          <w:b/>
          <w:bCs/>
          <w:sz w:val="22"/>
          <w:szCs w:val="22"/>
          <w:lang w:val="hu-HU"/>
        </w:rPr>
        <w:t>A forgalomba hozatali engedély jogosultja és a gyártó</w:t>
      </w:r>
    </w:p>
    <w:p w:rsidR="00C26888" w:rsidRDefault="00C26888" w:rsidP="00C2688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forgalomb</w:t>
      </w:r>
      <w:r>
        <w:rPr>
          <w:sz w:val="22"/>
          <w:szCs w:val="22"/>
          <w:lang w:val="hu-HU"/>
        </w:rPr>
        <w:t>a hozatali engedély jogosultja: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Chiesi Farmaceutici S.p.A.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Via Palermo 26/A</w:t>
      </w:r>
    </w:p>
    <w:p w:rsidR="00665FDF" w:rsidRPr="00665FD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43122 Parma</w:t>
      </w:r>
    </w:p>
    <w:p w:rsidR="00C26888" w:rsidRPr="00A530FF" w:rsidRDefault="00BC16B5" w:rsidP="00665FDF">
      <w:pPr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Olaszország</w:t>
      </w:r>
    </w:p>
    <w:p w:rsidR="00665FDF" w:rsidRDefault="00665FDF" w:rsidP="00C26888">
      <w:pPr>
        <w:rPr>
          <w:sz w:val="22"/>
          <w:szCs w:val="22"/>
          <w:lang w:val="hu-HU"/>
        </w:rPr>
      </w:pPr>
    </w:p>
    <w:p w:rsidR="00C26888" w:rsidRDefault="00C26888" w:rsidP="00C26888">
      <w:pP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Gyártó:</w:t>
      </w:r>
      <w:r w:rsidRPr="00A530FF">
        <w:rPr>
          <w:b/>
          <w:sz w:val="22"/>
          <w:szCs w:val="22"/>
          <w:lang w:val="hu-HU"/>
        </w:rPr>
        <w:tab/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hu-HU"/>
        </w:rPr>
      </w:pPr>
      <w:r w:rsidRPr="00C26888">
        <w:rPr>
          <w:lang w:val="hu-HU"/>
        </w:rPr>
        <w:t>Eurofins PROXY Laboratories B.V.</w:t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hu-HU"/>
        </w:rPr>
      </w:pPr>
      <w:r w:rsidRPr="00C26888">
        <w:rPr>
          <w:lang w:val="hu-HU"/>
        </w:rPr>
        <w:t>Archimedesweg 25</w:t>
      </w:r>
    </w:p>
    <w:p w:rsidR="00C26888" w:rsidRPr="00C26888" w:rsidRDefault="00C26888" w:rsidP="00C26888">
      <w:pPr>
        <w:pStyle w:val="PILMAHaddress"/>
        <w:tabs>
          <w:tab w:val="left" w:pos="720"/>
        </w:tabs>
        <w:ind w:left="720"/>
        <w:rPr>
          <w:lang w:val="hu-HU"/>
        </w:rPr>
      </w:pPr>
      <w:r w:rsidRPr="00C26888">
        <w:rPr>
          <w:lang w:val="hu-HU"/>
        </w:rPr>
        <w:t>2333 CM Leiden</w:t>
      </w:r>
    </w:p>
    <w:p w:rsidR="00C26888" w:rsidRPr="00A530FF" w:rsidRDefault="00C26888" w:rsidP="00C26888">
      <w:pPr>
        <w:tabs>
          <w:tab w:val="left" w:pos="567"/>
        </w:tabs>
        <w:ind w:left="720"/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Hollandia</w:t>
      </w:r>
    </w:p>
    <w:p w:rsidR="00C26888" w:rsidRPr="00A530FF" w:rsidRDefault="00C26888" w:rsidP="00C26888">
      <w:pPr>
        <w:rPr>
          <w:sz w:val="22"/>
          <w:szCs w:val="22"/>
          <w:lang w:val="hu-HU"/>
        </w:rPr>
      </w:pPr>
    </w:p>
    <w:p w:rsidR="001B4308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készítményhez kapcsolódó további kérdéseivel forduljon a forgalomba hozatali engedély jogosultjának helyi képviseletéhez:</w:t>
      </w:r>
    </w:p>
    <w:p w:rsidR="00E14D58" w:rsidRPr="00586776" w:rsidRDefault="00E14D58" w:rsidP="00E14D58">
      <w:pPr>
        <w:keepNext/>
        <w:numPr>
          <w:ilvl w:val="12"/>
          <w:numId w:val="0"/>
        </w:numPr>
        <w:ind w:right="-2"/>
        <w:rPr>
          <w:sz w:val="22"/>
          <w:szCs w:val="24"/>
          <w:lang w:val="bg-BG"/>
        </w:rPr>
      </w:pPr>
    </w:p>
    <w:tbl>
      <w:tblPr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854"/>
        <w:gridCol w:w="4858"/>
        <w:gridCol w:w="8"/>
      </w:tblGrid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België/Belgique/Belgien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Chiesi sa/nv </w:t>
            </w:r>
          </w:p>
          <w:p w:rsidR="00586776" w:rsidRDefault="00586776">
            <w:pPr>
              <w:ind w:right="34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Tél/Tel: + 32 (0)2 788 42 00</w:t>
            </w:r>
          </w:p>
          <w:p w:rsidR="00586776" w:rsidRDefault="00586776">
            <w:pPr>
              <w:ind w:right="34"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Lietuva</w:t>
            </w:r>
          </w:p>
          <w:p w:rsidR="00586776" w:rsidRDefault="00586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Pharmaceuticals GmbH </w:t>
            </w:r>
          </w:p>
          <w:p w:rsidR="00586776" w:rsidRDefault="00586776">
            <w:pPr>
              <w:suppressAutoHyphens/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</w:rPr>
              <w:t xml:space="preserve">+ 43 1 4073919 </w:t>
            </w:r>
          </w:p>
          <w:p w:rsidR="00586776" w:rsidRPr="00586776" w:rsidRDefault="00586776">
            <w:pPr>
              <w:suppressAutoHyphens/>
              <w:rPr>
                <w:sz w:val="22"/>
                <w:szCs w:val="22"/>
                <w:lang w:val="en-GB"/>
              </w:rPr>
            </w:pP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it-CH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България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IT"/>
              </w:rPr>
              <w:t xml:space="preserve">Chiesi Bulgaria EOOD </w:t>
            </w:r>
          </w:p>
          <w:p w:rsidR="00586776" w:rsidRDefault="00586776">
            <w:pPr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en-GB"/>
              </w:rPr>
              <w:t>Тел</w:t>
            </w:r>
            <w:r>
              <w:rPr>
                <w:sz w:val="22"/>
                <w:szCs w:val="22"/>
                <w:lang w:val="it-CH"/>
              </w:rPr>
              <w:t xml:space="preserve">.: +359 </w:t>
            </w:r>
            <w:r>
              <w:rPr>
                <w:sz w:val="22"/>
                <w:szCs w:val="22"/>
                <w:lang w:val="it-IT"/>
              </w:rPr>
              <w:t xml:space="preserve">29201205 </w:t>
            </w:r>
          </w:p>
          <w:p w:rsidR="00586776" w:rsidRDefault="00586776">
            <w:pPr>
              <w:tabs>
                <w:tab w:val="left" w:pos="-720"/>
              </w:tabs>
              <w:suppressAutoHyphens/>
              <w:jc w:val="both"/>
              <w:rPr>
                <w:b/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Luxembourg/Luxemburg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sa/nv</w:t>
            </w:r>
          </w:p>
          <w:p w:rsidR="00586776" w:rsidRPr="00586776" w:rsidRDefault="00586776">
            <w:pPr>
              <w:suppressAutoHyphens/>
              <w:rPr>
                <w:sz w:val="22"/>
                <w:szCs w:val="22"/>
                <w:lang w:val="it-CH"/>
              </w:rPr>
            </w:pPr>
            <w:r w:rsidRPr="00586776">
              <w:rPr>
                <w:sz w:val="22"/>
                <w:szCs w:val="22"/>
                <w:lang w:val="it-CH"/>
              </w:rPr>
              <w:t xml:space="preserve">Tél/Tel: + 32 (0)2 788 42 00 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pt-BR"/>
              </w:rPr>
            </w:pPr>
            <w:r w:rsidRPr="00586776">
              <w:rPr>
                <w:b/>
                <w:sz w:val="22"/>
                <w:szCs w:val="22"/>
                <w:lang w:val="pt-BR"/>
              </w:rPr>
              <w:t>Česká republika</w:t>
            </w:r>
          </w:p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pt-BR"/>
              </w:rPr>
            </w:pPr>
            <w:r w:rsidRPr="00586776">
              <w:rPr>
                <w:sz w:val="22"/>
                <w:szCs w:val="22"/>
                <w:lang w:val="pt-BR"/>
              </w:rPr>
              <w:t>Aurovitas, spol. s r.o.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Tel: +00420 234 705 700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spacing w:line="260" w:lineRule="atLeast"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Magyarország</w:t>
            </w:r>
          </w:p>
          <w:p w:rsidR="00586776" w:rsidRDefault="00586776">
            <w:pPr>
              <w:spacing w:line="260" w:lineRule="atLeast"/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Hungary Kft.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Tel.: + 36-1-429 1060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Danmark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Pharma AB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Tlf: + 46 8 753 35 20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Malta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Tel: + 39 0521 </w:t>
            </w:r>
            <w:r>
              <w:rPr>
                <w:sz w:val="22"/>
                <w:szCs w:val="22"/>
              </w:rPr>
              <w:t>2791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Deutschland</w:t>
            </w:r>
          </w:p>
          <w:p w:rsidR="00586776" w:rsidRDefault="0058677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Chiesi GmbH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Tel: + 49 40 89724-0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de-DE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Nederland</w:t>
            </w:r>
          </w:p>
          <w:p w:rsidR="00586776" w:rsidRDefault="00586776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Chiesi Pharmaceuticals B.V.</w:t>
            </w:r>
          </w:p>
          <w:p w:rsidR="00586776" w:rsidRDefault="00586776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Tel: + 31 88 501 64 00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b/>
                <w:bCs/>
                <w:sz w:val="22"/>
                <w:szCs w:val="22"/>
              </w:rPr>
            </w:pPr>
            <w:r w:rsidRPr="00586776">
              <w:rPr>
                <w:b/>
                <w:bCs/>
                <w:sz w:val="22"/>
                <w:szCs w:val="22"/>
              </w:rPr>
              <w:t>Eesti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</w:rPr>
              <w:t>Chiesi Pharmaceuticals GmbH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 w:rsidRPr="00586776">
              <w:rPr>
                <w:sz w:val="22"/>
                <w:szCs w:val="22"/>
              </w:rPr>
              <w:t>Tel: + 43 1 4073919</w:t>
            </w:r>
          </w:p>
          <w:p w:rsidR="00586776" w:rsidRP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keepNext/>
              <w:ind w:left="709" w:hanging="709"/>
              <w:outlineLvl w:val="1"/>
              <w:rPr>
                <w:rFonts w:ascii="Times New Roman Bold" w:hAnsi="Times New Roman Bold"/>
                <w:b/>
                <w:bCs/>
                <w:caps/>
                <w:snapToGrid w:val="0"/>
                <w:sz w:val="22"/>
                <w:szCs w:val="22"/>
                <w:lang w:val="it-IT"/>
              </w:rPr>
            </w:pPr>
            <w:r>
              <w:rPr>
                <w:rFonts w:ascii="Times New Roman Bold" w:hAnsi="Times New Roman Bold"/>
                <w:b/>
                <w:bCs/>
                <w:snapToGrid w:val="0"/>
                <w:sz w:val="22"/>
                <w:szCs w:val="22"/>
                <w:lang w:val="it-IT"/>
              </w:rPr>
              <w:t>Norge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Tlf: + 46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Ελλάδα</w:t>
            </w:r>
          </w:p>
          <w:p w:rsidR="00586776" w:rsidRDefault="00586776">
            <w:pPr>
              <w:rPr>
                <w:snapToGrid w:val="0"/>
                <w:sz w:val="22"/>
                <w:szCs w:val="22"/>
                <w:lang w:val="en-GB"/>
              </w:rPr>
            </w:pPr>
            <w:r>
              <w:rPr>
                <w:snapToGrid w:val="0"/>
                <w:sz w:val="22"/>
                <w:szCs w:val="22"/>
                <w:lang w:val="en-GB"/>
              </w:rPr>
              <w:t>DEMO ABEE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Τηλ: + 30 210 8161802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Österreich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P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s-ES"/>
              </w:rPr>
            </w:pPr>
            <w:r w:rsidRPr="00586776">
              <w:rPr>
                <w:b/>
                <w:sz w:val="22"/>
                <w:szCs w:val="22"/>
                <w:lang w:val="es-ES"/>
              </w:rPr>
              <w:t>España</w:t>
            </w:r>
          </w:p>
          <w:p w:rsidR="00586776" w:rsidRPr="00586776" w:rsidRDefault="00586776">
            <w:pPr>
              <w:rPr>
                <w:sz w:val="22"/>
                <w:szCs w:val="22"/>
                <w:lang w:val="es-ES"/>
              </w:rPr>
            </w:pPr>
            <w:r w:rsidRPr="00586776">
              <w:rPr>
                <w:sz w:val="22"/>
                <w:szCs w:val="22"/>
                <w:lang w:val="es-ES"/>
              </w:rPr>
              <w:t>Chiesi España, S.A.U.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+ 34 934948000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Polska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Poland Sp. z.o.o.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it-CH"/>
              </w:rPr>
              <w:t>Tel.: + 48 22 620 1421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France</w:t>
            </w:r>
          </w:p>
          <w:p w:rsidR="00586776" w:rsidRDefault="00586776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Chiesi S.A.S. 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Tél: + 33 1 47688899 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Portugal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</w:tc>
      </w:tr>
      <w:tr w:rsidR="00930597" w:rsidTr="00586776">
        <w:trPr>
          <w:cantSplit/>
        </w:trPr>
        <w:tc>
          <w:tcPr>
            <w:tcW w:w="4855" w:type="dxa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 w:val="22"/>
                <w:szCs w:val="22"/>
                <w:lang w:val="hr-HR"/>
              </w:rPr>
            </w:pPr>
            <w:r>
              <w:rPr>
                <w:b/>
                <w:noProof/>
                <w:sz w:val="22"/>
                <w:szCs w:val="22"/>
                <w:lang w:val="hr-HR"/>
              </w:rPr>
              <w:t>Hrvatska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Chiesi Pharmaceuticals GmbH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Tel: + 43 1 4073919</w:t>
            </w:r>
          </w:p>
        </w:tc>
        <w:tc>
          <w:tcPr>
            <w:tcW w:w="4868" w:type="dxa"/>
            <w:gridSpan w:val="2"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România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Romania S.R.L.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+ 40 212023642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</w:tr>
      <w:tr w:rsidR="00930597" w:rsidTr="00586776">
        <w:trPr>
          <w:gridAfter w:val="1"/>
          <w:wAfter w:w="8" w:type="dxa"/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Ireland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</w:p>
        </w:tc>
        <w:tc>
          <w:tcPr>
            <w:tcW w:w="4860" w:type="dxa"/>
            <w:hideMark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Slovenija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Slovenija d.o.o.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+ 386-1-43 00 901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Ísland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Sími: +46 8 753 35 20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Slovenská republika</w:t>
            </w:r>
          </w:p>
          <w:p w:rsidR="00586776" w:rsidRDefault="00586776">
            <w:pPr>
              <w:spacing w:line="260" w:lineRule="atLeast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Chiesi Slovakia s.r.o.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+ 421 259300060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Italia</w:t>
            </w:r>
          </w:p>
          <w:p w:rsidR="00586776" w:rsidRDefault="00586776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Italia S.p.A.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Suomi/Finland</w:t>
            </w:r>
          </w:p>
          <w:p w:rsidR="00586776" w:rsidRDefault="0058677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586776" w:rsidRDefault="00586776">
            <w:pPr>
              <w:tabs>
                <w:tab w:val="left" w:pos="-720"/>
              </w:tabs>
              <w:suppressAutoHyphens/>
              <w:rPr>
                <w:b/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Puh/Tel: +46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Κύπρος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Star Medicines Importers Co. Ltd.</w:t>
            </w:r>
          </w:p>
          <w:p w:rsidR="00586776" w:rsidRDefault="00586776">
            <w:pPr>
              <w:rPr>
                <w:sz w:val="22"/>
                <w:szCs w:val="22"/>
                <w:lang w:val="en-GB" w:eastAsia="en-CA"/>
              </w:rPr>
            </w:pPr>
            <w:r>
              <w:rPr>
                <w:sz w:val="22"/>
                <w:szCs w:val="22"/>
                <w:lang w:val="en-GB"/>
              </w:rPr>
              <w:t xml:space="preserve">Τηλ: + </w:t>
            </w:r>
            <w:r>
              <w:rPr>
                <w:sz w:val="22"/>
                <w:szCs w:val="22"/>
                <w:lang w:val="en-GB" w:eastAsia="en-CA"/>
              </w:rPr>
              <w:t>357 25 371056</w:t>
            </w:r>
          </w:p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Sverige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+46 8 753 35 20</w:t>
            </w:r>
          </w:p>
        </w:tc>
      </w:tr>
      <w:tr w:rsidR="00930597" w:rsidTr="00586776">
        <w:trPr>
          <w:cantSplit/>
        </w:trPr>
        <w:tc>
          <w:tcPr>
            <w:tcW w:w="4855" w:type="dxa"/>
            <w:hideMark/>
          </w:tcPr>
          <w:p w:rsidR="00586776" w:rsidRDefault="0058677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Latvija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586776" w:rsidRPr="00586776" w:rsidRDefault="005867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  <w:tc>
          <w:tcPr>
            <w:tcW w:w="4868" w:type="dxa"/>
            <w:gridSpan w:val="2"/>
            <w:hideMark/>
          </w:tcPr>
          <w:p w:rsidR="00586776" w:rsidRDefault="00586776">
            <w:pPr>
              <w:tabs>
                <w:tab w:val="left" w:pos="-720"/>
                <w:tab w:val="left" w:pos="4536"/>
              </w:tabs>
              <w:suppressAutoHyphens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United Kingdom</w:t>
            </w:r>
          </w:p>
          <w:p w:rsidR="00586776" w:rsidRDefault="00586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Ltd </w:t>
            </w:r>
          </w:p>
          <w:p w:rsidR="00586776" w:rsidRDefault="0058677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Tel: + 44 (0)161 488 5555 </w:t>
            </w:r>
          </w:p>
        </w:tc>
      </w:tr>
    </w:tbl>
    <w:p w:rsidR="00E14D58" w:rsidRDefault="00E14D58" w:rsidP="00E14D58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586776" w:rsidRDefault="00586776" w:rsidP="00E14D58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b/>
          <w:sz w:val="22"/>
          <w:szCs w:val="22"/>
          <w:lang w:val="hu-HU"/>
        </w:rPr>
        <w:t xml:space="preserve">A betegtájékoztató </w:t>
      </w:r>
      <w:r w:rsidR="003A1AFB" w:rsidRPr="00A530FF">
        <w:rPr>
          <w:b/>
          <w:sz w:val="22"/>
          <w:szCs w:val="22"/>
          <w:lang w:val="hu-HU"/>
        </w:rPr>
        <w:t>legutóbbi felülvizsgálatának</w:t>
      </w:r>
      <w:r w:rsidRPr="00A530FF">
        <w:rPr>
          <w:b/>
          <w:sz w:val="22"/>
          <w:szCs w:val="22"/>
          <w:lang w:val="hu-HU"/>
        </w:rPr>
        <w:t xml:space="preserve"> dátuma</w:t>
      </w:r>
      <w:r w:rsidR="003A1AFB" w:rsidRPr="00A530FF">
        <w:rPr>
          <w:b/>
          <w:sz w:val="22"/>
          <w:szCs w:val="22"/>
          <w:lang w:val="hu-HU"/>
        </w:rPr>
        <w:t>:</w:t>
      </w:r>
    </w:p>
    <w:p w:rsidR="001B4308" w:rsidRPr="00A530FF" w:rsidRDefault="001B4308" w:rsidP="001B4308">
      <w:pPr>
        <w:rPr>
          <w:sz w:val="22"/>
          <w:szCs w:val="22"/>
          <w:lang w:val="hu-HU"/>
        </w:rPr>
      </w:pPr>
    </w:p>
    <w:p w:rsidR="001B4308" w:rsidRPr="00A530FF" w:rsidRDefault="001B4308" w:rsidP="001B4308">
      <w:pPr>
        <w:rPr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t>A gyógyszerről részletes információ az Európai Gyógyszerügynökség internetes honl</w:t>
      </w:r>
      <w:r w:rsidR="00AD3396" w:rsidRPr="00A530FF">
        <w:rPr>
          <w:sz w:val="22"/>
          <w:szCs w:val="22"/>
          <w:lang w:val="hu-HU"/>
        </w:rPr>
        <w:t>apján (http://www.ema.europa.eu</w:t>
      </w:r>
      <w:r w:rsidRPr="00A530FF">
        <w:rPr>
          <w:sz w:val="22"/>
          <w:szCs w:val="22"/>
          <w:lang w:val="hu-HU"/>
        </w:rPr>
        <w:t>) találhatók.</w:t>
      </w:r>
    </w:p>
    <w:p w:rsidR="00626DC2" w:rsidRPr="00A530FF" w:rsidRDefault="001B4308" w:rsidP="001B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hu-HU"/>
        </w:rPr>
      </w:pPr>
      <w:r w:rsidRPr="00A530FF">
        <w:rPr>
          <w:sz w:val="22"/>
          <w:szCs w:val="22"/>
          <w:lang w:val="hu-HU"/>
        </w:rPr>
        <w:br w:type="page"/>
      </w:r>
      <w:r w:rsidR="00626DC2" w:rsidRPr="00A530FF">
        <w:rPr>
          <w:b/>
          <w:sz w:val="22"/>
          <w:szCs w:val="22"/>
          <w:lang w:val="hu-HU"/>
        </w:rPr>
        <w:t>EMLÉKEZTETŐ KÁRTYA A BETEGNEK/ GONDOZÓNAK</w:t>
      </w:r>
    </w:p>
    <w:p w:rsidR="00626DC2" w:rsidRPr="00A530FF" w:rsidRDefault="00626DC2" w:rsidP="00626DC2">
      <w:pPr>
        <w:rPr>
          <w:sz w:val="22"/>
          <w:szCs w:val="22"/>
          <w:lang w:val="hu-HU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5"/>
        <w:gridCol w:w="4635"/>
      </w:tblGrid>
      <w:tr w:rsidR="00930597" w:rsidTr="00BC286B">
        <w:trPr>
          <w:trHeight w:val="2234"/>
        </w:trPr>
        <w:tc>
          <w:tcPr>
            <w:tcW w:w="4635" w:type="dxa"/>
          </w:tcPr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highlight w:val="lightGray"/>
                <w:lang w:val="hu-HU"/>
              </w:rPr>
              <w:t>((Előlap))</w:t>
            </w:r>
          </w:p>
          <w:p w:rsidR="00626DC2" w:rsidRPr="00A530FF" w:rsidRDefault="00626DC2" w:rsidP="00E67B86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E67B86">
            <w:pPr>
              <w:rPr>
                <w:rFonts w:eastAsia="SimSun"/>
                <w:b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b/>
                <w:sz w:val="22"/>
                <w:szCs w:val="22"/>
                <w:lang w:val="hu-HU"/>
              </w:rPr>
              <w:t>Fontos biztonsági figyelmeztetés Ferriprox</w:t>
            </w:r>
            <w:r w:rsidR="002D56C1" w:rsidRPr="00A530FF">
              <w:rPr>
                <w:rFonts w:eastAsia="SimSun"/>
                <w:b/>
                <w:sz w:val="22"/>
                <w:szCs w:val="22"/>
                <w:lang w:val="hu-HU"/>
              </w:rPr>
              <w:t>-</w:t>
            </w:r>
            <w:r w:rsidRPr="00A530FF">
              <w:rPr>
                <w:rFonts w:eastAsia="SimSun"/>
                <w:b/>
                <w:sz w:val="22"/>
                <w:szCs w:val="22"/>
                <w:lang w:val="hu-HU"/>
              </w:rPr>
              <w:t>ot (deferipron</w:t>
            </w:r>
            <w:r w:rsidR="00294956">
              <w:rPr>
                <w:rFonts w:eastAsia="SimSun"/>
                <w:b/>
                <w:sz w:val="22"/>
                <w:szCs w:val="22"/>
                <w:lang w:val="hu-HU"/>
              </w:rPr>
              <w:t>t</w:t>
            </w:r>
            <w:r w:rsidRPr="00A530FF">
              <w:rPr>
                <w:rFonts w:eastAsia="SimSun"/>
                <w:b/>
                <w:sz w:val="22"/>
                <w:szCs w:val="22"/>
                <w:lang w:val="hu-HU"/>
              </w:rPr>
              <w:t>) szedő betegek részére</w:t>
            </w:r>
          </w:p>
          <w:p w:rsidR="00626DC2" w:rsidRPr="00A530FF" w:rsidRDefault="00626DC2" w:rsidP="00E67B86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>Gyógyszert felíró orvos:_________________</w:t>
            </w: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>Tel.:_______________________________</w:t>
            </w:r>
          </w:p>
        </w:tc>
        <w:tc>
          <w:tcPr>
            <w:tcW w:w="4635" w:type="dxa"/>
          </w:tcPr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highlight w:val="lightGray"/>
                <w:lang w:val="hu-HU"/>
              </w:rPr>
              <w:t>((Hátlap))</w:t>
            </w:r>
          </w:p>
          <w:p w:rsidR="00626DC2" w:rsidRPr="00A530FF" w:rsidRDefault="00626DC2" w:rsidP="002E552B">
            <w:pPr>
              <w:rPr>
                <w:rFonts w:eastAsia="SimSun"/>
                <w:b/>
                <w:sz w:val="22"/>
                <w:szCs w:val="22"/>
                <w:lang w:val="hu-HU"/>
              </w:rPr>
            </w:pPr>
          </w:p>
          <w:p w:rsidR="00626DC2" w:rsidRPr="00A530FF" w:rsidRDefault="00724A65" w:rsidP="002E552B">
            <w:pPr>
              <w:rPr>
                <w:rFonts w:eastAsia="SimSun"/>
                <w:b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b/>
                <w:sz w:val="22"/>
                <w:szCs w:val="22"/>
                <w:lang w:val="hu-HU"/>
              </w:rPr>
              <w:t xml:space="preserve">FOGAMZÓKÉPES </w:t>
            </w:r>
            <w:r w:rsidR="00626DC2" w:rsidRPr="00A530FF">
              <w:rPr>
                <w:rFonts w:eastAsia="SimSun"/>
                <w:b/>
                <w:sz w:val="22"/>
                <w:szCs w:val="22"/>
                <w:lang w:val="hu-HU"/>
              </w:rPr>
              <w:t>NŐK RÉSZÉRE</w:t>
            </w:r>
          </w:p>
          <w:p w:rsidR="00153AA4" w:rsidRPr="00A530FF" w:rsidRDefault="00153AA4" w:rsidP="002E552B">
            <w:pPr>
              <w:rPr>
                <w:rFonts w:eastAsia="SimSun"/>
                <w:b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>Ne szedje a Ferriprox</w:t>
            </w:r>
            <w:r w:rsidR="00724A65" w:rsidRPr="00A530FF">
              <w:rPr>
                <w:rFonts w:eastAsia="SimSun"/>
                <w:sz w:val="22"/>
                <w:szCs w:val="22"/>
                <w:lang w:val="hu-HU"/>
              </w:rPr>
              <w:t>-</w:t>
            </w:r>
            <w:r w:rsidRPr="00A530FF">
              <w:rPr>
                <w:rFonts w:eastAsia="SimSun"/>
                <w:sz w:val="22"/>
                <w:szCs w:val="22"/>
                <w:lang w:val="hu-HU"/>
              </w:rPr>
              <w:t>ot, ha várandós vagy terhességet tervez. A terhesség alatt alkalmazott Ferriprox súlyos károsodást okozhat a születendő gyermekben.</w:t>
            </w:r>
          </w:p>
          <w:p w:rsidR="00153AA4" w:rsidRPr="00A530FF" w:rsidRDefault="00153AA4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B51029">
            <w:pPr>
              <w:rPr>
                <w:rFonts w:eastAsia="SimSun"/>
                <w:b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 xml:space="preserve">Hatékony fogamzásgátlást kell alkalmaznia a Ferriprox alkalmazásának időtartama alatt. Kérdezze meg orvosát, hogy melyik az Ön számára legjobb módszer. Ha teherbe esik a Ferriprox szedése során, azonnal hagyja abba a gyógyszer szedését, és tájékoztassa erről orvosát. Ne </w:t>
            </w:r>
            <w:r w:rsidR="00B51029">
              <w:rPr>
                <w:rFonts w:eastAsia="SimSun"/>
                <w:sz w:val="22"/>
                <w:szCs w:val="22"/>
                <w:lang w:val="hu-HU"/>
              </w:rPr>
              <w:t>alkalmazza</w:t>
            </w:r>
            <w:r w:rsidR="00B51029" w:rsidRPr="00A530FF">
              <w:rPr>
                <w:rFonts w:eastAsia="SimSun"/>
                <w:sz w:val="22"/>
                <w:szCs w:val="22"/>
                <w:lang w:val="hu-HU"/>
              </w:rPr>
              <w:t xml:space="preserve"> </w:t>
            </w:r>
            <w:r w:rsidRPr="00A530FF">
              <w:rPr>
                <w:rFonts w:eastAsia="SimSun"/>
                <w:sz w:val="22"/>
                <w:szCs w:val="22"/>
                <w:lang w:val="hu-HU"/>
              </w:rPr>
              <w:t>a Ferriprox</w:t>
            </w:r>
            <w:r w:rsidR="002D56C1" w:rsidRPr="00A530FF">
              <w:rPr>
                <w:rFonts w:eastAsia="SimSun"/>
                <w:sz w:val="22"/>
                <w:szCs w:val="22"/>
                <w:lang w:val="hu-HU"/>
              </w:rPr>
              <w:t>-</w:t>
            </w:r>
            <w:r w:rsidRPr="00A530FF">
              <w:rPr>
                <w:rFonts w:eastAsia="SimSun"/>
                <w:sz w:val="22"/>
                <w:szCs w:val="22"/>
                <w:lang w:val="hu-HU"/>
              </w:rPr>
              <w:t>ot a szoptatási időszak alatt.</w:t>
            </w:r>
          </w:p>
        </w:tc>
      </w:tr>
      <w:tr w:rsidR="00930597" w:rsidTr="00BC286B">
        <w:trPr>
          <w:trHeight w:val="2342"/>
        </w:trPr>
        <w:tc>
          <w:tcPr>
            <w:tcW w:w="4635" w:type="dxa"/>
          </w:tcPr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highlight w:val="lightGray"/>
                <w:lang w:val="hu-HU"/>
              </w:rPr>
              <w:t>((1. belső lap))</w:t>
            </w:r>
          </w:p>
          <w:p w:rsidR="00153AA4" w:rsidRPr="00A530FF" w:rsidRDefault="00153AA4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b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b/>
                <w:sz w:val="22"/>
                <w:szCs w:val="22"/>
                <w:lang w:val="hu-HU"/>
              </w:rPr>
              <w:t>FEHÉRVÉRSEJTSZÁM ELLENŐRZÉSE FERRIPROX SZEDÉSEKOR</w:t>
            </w: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B51029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 xml:space="preserve">Fennál az esélye annak, hogy Önnél esetleg agranulocitózis (nagyon alacsony fehérvérsejtszám) alakul ki a Ferriprox szedése során, amely </w:t>
            </w:r>
            <w:r w:rsidR="00B51029">
              <w:rPr>
                <w:rFonts w:eastAsia="SimSun"/>
                <w:sz w:val="22"/>
                <w:szCs w:val="22"/>
                <w:lang w:val="hu-HU"/>
              </w:rPr>
              <w:t>súlyos</w:t>
            </w:r>
            <w:r w:rsidR="00B51029" w:rsidRPr="00A530FF">
              <w:rPr>
                <w:rFonts w:eastAsia="SimSun"/>
                <w:sz w:val="22"/>
                <w:szCs w:val="22"/>
                <w:lang w:val="hu-HU"/>
              </w:rPr>
              <w:t xml:space="preserve"> </w:t>
            </w:r>
            <w:r w:rsidRPr="00A530FF">
              <w:rPr>
                <w:rFonts w:eastAsia="SimSun"/>
                <w:sz w:val="22"/>
                <w:szCs w:val="22"/>
                <w:lang w:val="hu-HU"/>
              </w:rPr>
              <w:t xml:space="preserve">fertőzéshez vezethet. </w:t>
            </w:r>
            <w:r w:rsidR="00C013A4" w:rsidRPr="00A530FF">
              <w:rPr>
                <w:rFonts w:eastAsia="SimSun"/>
                <w:sz w:val="22"/>
                <w:szCs w:val="22"/>
                <w:lang w:val="hu-HU"/>
              </w:rPr>
              <w:t>Bár az agranulocitózis 100</w:t>
            </w:r>
            <w:r w:rsidR="00934643" w:rsidRPr="00A530FF">
              <w:rPr>
                <w:rFonts w:eastAsia="SimSun"/>
                <w:sz w:val="22"/>
                <w:szCs w:val="22"/>
                <w:lang w:val="hu-HU"/>
              </w:rPr>
              <w:t>-ból</w:t>
            </w:r>
            <w:r w:rsidR="00C013A4" w:rsidRPr="00A530FF">
              <w:rPr>
                <w:rFonts w:eastAsia="SimSun"/>
                <w:sz w:val="22"/>
                <w:szCs w:val="22"/>
                <w:lang w:val="hu-HU"/>
              </w:rPr>
              <w:t xml:space="preserve"> csupán 1</w:t>
            </w:r>
            <w:r w:rsidR="00B51029">
              <w:rPr>
                <w:rFonts w:eastAsia="SimSun"/>
                <w:sz w:val="22"/>
                <w:szCs w:val="22"/>
                <w:lang w:val="hu-HU"/>
              </w:rPr>
              <w:noBreakHyphen/>
            </w:r>
            <w:r w:rsidR="00A211BE" w:rsidRPr="00A530FF">
              <w:rPr>
                <w:rFonts w:eastAsia="SimSun"/>
                <w:sz w:val="22"/>
                <w:szCs w:val="22"/>
                <w:lang w:val="hu-HU"/>
              </w:rPr>
              <w:t>2</w:t>
            </w:r>
            <w:r w:rsidR="00B51029">
              <w:rPr>
                <w:rFonts w:eastAsia="SimSun"/>
                <w:sz w:val="22"/>
                <w:szCs w:val="22"/>
                <w:lang w:val="hu-HU"/>
              </w:rPr>
              <w:t> </w:t>
            </w:r>
            <w:r w:rsidR="00934643" w:rsidRPr="00A530FF">
              <w:rPr>
                <w:rFonts w:eastAsia="SimSun"/>
                <w:sz w:val="22"/>
                <w:szCs w:val="22"/>
                <w:lang w:val="hu-HU"/>
              </w:rPr>
              <w:t xml:space="preserve">gyógyszerszedőt </w:t>
            </w:r>
            <w:r w:rsidR="00C013A4" w:rsidRPr="00A530FF">
              <w:rPr>
                <w:rFonts w:eastAsia="SimSun"/>
                <w:sz w:val="22"/>
                <w:szCs w:val="22"/>
                <w:lang w:val="hu-HU"/>
              </w:rPr>
              <w:t>érint, fontos, hogy vérét rendszeresen ellenőrizzék.</w:t>
            </w:r>
          </w:p>
        </w:tc>
        <w:tc>
          <w:tcPr>
            <w:tcW w:w="4635" w:type="dxa"/>
          </w:tcPr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highlight w:val="lightGray"/>
                <w:lang w:val="hu-HU"/>
              </w:rPr>
              <w:t>((2. belső lap))</w:t>
            </w: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>Feltétlenül tartsa be az alábbiakat:</w:t>
            </w: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 xml:space="preserve">1. </w:t>
            </w:r>
            <w:r w:rsidR="002E6F7B" w:rsidRPr="00A076D1">
              <w:rPr>
                <w:sz w:val="22"/>
                <w:szCs w:val="22"/>
                <w:lang w:val="hu"/>
              </w:rPr>
              <w:t>A Ferriprox</w:t>
            </w:r>
            <w:r w:rsidR="00B51029">
              <w:rPr>
                <w:sz w:val="22"/>
                <w:szCs w:val="22"/>
                <w:lang w:val="hu"/>
              </w:rPr>
              <w:t>-</w:t>
            </w:r>
            <w:r w:rsidR="002E6F7B" w:rsidRPr="00A076D1">
              <w:rPr>
                <w:sz w:val="22"/>
                <w:szCs w:val="22"/>
                <w:lang w:val="hu"/>
              </w:rPr>
              <w:t>kezelés első évében hetente ellenőrizni kell a vérképét, ezután pedig az orvosa által javasolt gyakorisággal</w:t>
            </w:r>
            <w:r w:rsidRPr="00A530FF">
              <w:rPr>
                <w:rFonts w:eastAsia="SimSun"/>
                <w:sz w:val="22"/>
                <w:szCs w:val="22"/>
                <w:lang w:val="hu-HU"/>
              </w:rPr>
              <w:t>.</w:t>
            </w: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</w:p>
          <w:p w:rsidR="00626DC2" w:rsidRPr="00A530FF" w:rsidRDefault="00626DC2" w:rsidP="002E552B">
            <w:pPr>
              <w:rPr>
                <w:rFonts w:eastAsia="SimSun"/>
                <w:sz w:val="22"/>
                <w:szCs w:val="22"/>
                <w:lang w:val="hu-HU"/>
              </w:rPr>
            </w:pPr>
            <w:r w:rsidRPr="00A530FF">
              <w:rPr>
                <w:rFonts w:eastAsia="SimSun"/>
                <w:sz w:val="22"/>
                <w:szCs w:val="22"/>
                <w:lang w:val="hu-HU"/>
              </w:rPr>
              <w:t xml:space="preserve">2. </w:t>
            </w:r>
            <w:r w:rsidR="002E6F7B" w:rsidRPr="00A076D1">
              <w:rPr>
                <w:sz w:val="22"/>
                <w:szCs w:val="22"/>
                <w:lang w:val="hu"/>
              </w:rPr>
              <w:t>Ha bármilyen fertőzésre utaló jelet észlel, például lázat, torokfájást vagy influenzaszerű tüneteket, azonnal forduljon orvoshoz. A fehérvérsejtszámát 24 órán belül ellenőrizni kell az esetleges agranulocytosis diagnosztizálása érdekében</w:t>
            </w:r>
            <w:r w:rsidRPr="00A530FF">
              <w:rPr>
                <w:rFonts w:eastAsia="SimSun"/>
                <w:sz w:val="22"/>
                <w:szCs w:val="22"/>
                <w:lang w:val="hu-HU"/>
              </w:rPr>
              <w:t>.</w:t>
            </w:r>
          </w:p>
        </w:tc>
      </w:tr>
    </w:tbl>
    <w:p w:rsidR="00626DC2" w:rsidRPr="00A530FF" w:rsidRDefault="00626DC2" w:rsidP="00626DC2">
      <w:pPr>
        <w:rPr>
          <w:b/>
          <w:sz w:val="22"/>
          <w:szCs w:val="22"/>
          <w:lang w:val="hu-HU"/>
        </w:rPr>
      </w:pPr>
    </w:p>
    <w:p w:rsidR="00DA1F84" w:rsidRPr="001A1602" w:rsidRDefault="00DA1F84" w:rsidP="00626DC2">
      <w:pPr>
        <w:rPr>
          <w:sz w:val="22"/>
          <w:szCs w:val="22"/>
          <w:lang w:val="hu-HU"/>
        </w:rPr>
      </w:pPr>
    </w:p>
    <w:sectPr w:rsidR="00DA1F84" w:rsidRPr="001A1602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pgSz w:w="11909" w:h="16834" w:code="9"/>
      <w:pgMar w:top="1134" w:right="1418" w:bottom="1134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597" w:rsidRDefault="00930597">
      <w:r>
        <w:separator/>
      </w:r>
    </w:p>
  </w:endnote>
  <w:endnote w:type="continuationSeparator" w:id="0">
    <w:p w:rsidR="00930597" w:rsidRDefault="0093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83C" w:rsidRDefault="000F68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F683C" w:rsidRDefault="000F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83C" w:rsidRPr="005F4702" w:rsidRDefault="000F683C">
    <w:pPr>
      <w:pStyle w:val="Footer"/>
      <w:jc w:val="center"/>
      <w:rPr>
        <w:rFonts w:ascii="Arial" w:hAnsi="Arial" w:cs="Arial"/>
        <w:szCs w:val="16"/>
      </w:rPr>
    </w:pPr>
    <w:r w:rsidRPr="005F4702">
      <w:rPr>
        <w:rStyle w:val="PageNumber"/>
        <w:rFonts w:ascii="Arial" w:hAnsi="Arial" w:cs="Arial"/>
        <w:szCs w:val="16"/>
      </w:rPr>
      <w:fldChar w:fldCharType="begin"/>
    </w:r>
    <w:r w:rsidRPr="005F4702">
      <w:rPr>
        <w:rStyle w:val="PageNumber"/>
        <w:rFonts w:ascii="Arial" w:hAnsi="Arial" w:cs="Arial"/>
        <w:szCs w:val="16"/>
      </w:rPr>
      <w:instrText xml:space="preserve"> PAGE </w:instrText>
    </w:r>
    <w:r w:rsidRPr="005F4702">
      <w:rPr>
        <w:rStyle w:val="PageNumber"/>
        <w:rFonts w:ascii="Arial" w:hAnsi="Arial" w:cs="Arial"/>
        <w:szCs w:val="16"/>
      </w:rPr>
      <w:fldChar w:fldCharType="separate"/>
    </w:r>
    <w:r w:rsidR="00B51029" w:rsidRPr="005F4702">
      <w:rPr>
        <w:rStyle w:val="PageNumber"/>
        <w:rFonts w:ascii="Arial" w:hAnsi="Arial" w:cs="Arial"/>
        <w:noProof/>
        <w:szCs w:val="16"/>
      </w:rPr>
      <w:t>53</w:t>
    </w:r>
    <w:r w:rsidRPr="005F4702">
      <w:rPr>
        <w:rStyle w:val="PageNumber"/>
        <w:rFonts w:ascii="Arial" w:hAnsi="Arial" w:cs="Arial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83C" w:rsidRDefault="000F683C">
    <w:pPr>
      <w:pStyle w:val="Footer"/>
      <w:jc w:val="center"/>
      <w:rPr>
        <w:rFonts w:ascii="Times New Roman" w:hAnsi="Times New Roman"/>
        <w:noProof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597" w:rsidRDefault="00930597">
      <w:r>
        <w:separator/>
      </w:r>
    </w:p>
  </w:footnote>
  <w:footnote w:type="continuationSeparator" w:id="0">
    <w:p w:rsidR="00930597" w:rsidRDefault="00930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83C" w:rsidRPr="005F4702" w:rsidRDefault="000F683C">
    <w:pPr>
      <w:pStyle w:val="Header"/>
      <w:ind w:left="900" w:hanging="900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Layout w:type="fixed"/>
      <w:tblLook w:val="0000" w:firstRow="0" w:lastRow="0" w:firstColumn="0" w:lastColumn="0" w:noHBand="0" w:noVBand="0"/>
    </w:tblPr>
    <w:tblGrid>
      <w:gridCol w:w="3403"/>
      <w:gridCol w:w="5953"/>
    </w:tblGrid>
    <w:tr w:rsidR="00930597">
      <w:tc>
        <w:tcPr>
          <w:tcW w:w="3403" w:type="dxa"/>
        </w:tcPr>
        <w:p w:rsidR="000F683C" w:rsidRDefault="000F683C">
          <w:pPr>
            <w:pStyle w:val="Header"/>
            <w:ind w:left="176"/>
          </w:pPr>
        </w:p>
      </w:tc>
      <w:tc>
        <w:tcPr>
          <w:tcW w:w="5953" w:type="dxa"/>
        </w:tcPr>
        <w:p w:rsidR="000F683C" w:rsidRDefault="000F683C">
          <w:pPr>
            <w:pStyle w:val="Header"/>
          </w:pPr>
        </w:p>
      </w:tc>
    </w:tr>
  </w:tbl>
  <w:p w:rsidR="000F683C" w:rsidRDefault="000F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AF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6A612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A22A1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AA15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8EF3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DCE4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655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36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49A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AE2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00001"/>
    <w:multiLevelType w:val="multilevel"/>
    <w:tmpl w:val="00000001"/>
    <w:name w:val="WW8Num1"/>
    <w:lvl w:ilvl="0">
      <w:numFmt w:val="bullet"/>
      <w:lvlText w:val="-"/>
      <w:lvlJc w:val="left"/>
      <w:pPr>
        <w:tabs>
          <w:tab w:val="num" w:pos="360"/>
        </w:tabs>
      </w:pPr>
      <w:rPr>
        <w:rFonts w:ascii="Thorndale" w:hAnsi="Thorndale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</w:lvl>
    <w:lvl w:ilvl="2">
      <w:start w:val="1"/>
      <w:numFmt w:val="decimal"/>
      <w:lvlText w:val="%3."/>
      <w:lvlJc w:val="left"/>
      <w:pPr>
        <w:tabs>
          <w:tab w:val="num" w:pos="0"/>
        </w:tabs>
      </w:p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decimal"/>
      <w:lvlText w:val="%5."/>
      <w:lvlJc w:val="left"/>
      <w:pPr>
        <w:tabs>
          <w:tab w:val="num" w:pos="0"/>
        </w:tabs>
      </w:pPr>
    </w:lvl>
    <w:lvl w:ilvl="5">
      <w:start w:val="1"/>
      <w:numFmt w:val="decimal"/>
      <w:lvlText w:val="%6."/>
      <w:lvlJc w:val="lef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decimal"/>
      <w:lvlText w:val="%8."/>
      <w:lvlJc w:val="left"/>
      <w:pPr>
        <w:tabs>
          <w:tab w:val="num" w:pos="0"/>
        </w:tabs>
      </w:pPr>
    </w:lvl>
    <w:lvl w:ilvl="8">
      <w:start w:val="1"/>
      <w:numFmt w:val="decimal"/>
      <w:lvlText w:val="%9."/>
      <w:lvlJc w:val="left"/>
      <w:pPr>
        <w:tabs>
          <w:tab w:val="num" w:pos="0"/>
        </w:tabs>
      </w:pPr>
    </w:lvl>
  </w:abstractNum>
  <w:abstractNum w:abstractNumId="1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360"/>
        </w:tabs>
      </w:pPr>
      <w:rPr>
        <w:rFonts w:ascii="Thorndale" w:hAnsi="Thorndale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</w:lvl>
    <w:lvl w:ilvl="2">
      <w:start w:val="1"/>
      <w:numFmt w:val="decimal"/>
      <w:lvlText w:val="%3."/>
      <w:lvlJc w:val="left"/>
      <w:pPr>
        <w:tabs>
          <w:tab w:val="num" w:pos="0"/>
        </w:tabs>
      </w:p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decimal"/>
      <w:lvlText w:val="%5."/>
      <w:lvlJc w:val="left"/>
      <w:pPr>
        <w:tabs>
          <w:tab w:val="num" w:pos="0"/>
        </w:tabs>
      </w:pPr>
    </w:lvl>
    <w:lvl w:ilvl="5">
      <w:start w:val="1"/>
      <w:numFmt w:val="decimal"/>
      <w:lvlText w:val="%6."/>
      <w:lvlJc w:val="lef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decimal"/>
      <w:lvlText w:val="%8."/>
      <w:lvlJc w:val="left"/>
      <w:pPr>
        <w:tabs>
          <w:tab w:val="num" w:pos="0"/>
        </w:tabs>
      </w:pPr>
    </w:lvl>
    <w:lvl w:ilvl="8">
      <w:start w:val="1"/>
      <w:numFmt w:val="decimal"/>
      <w:lvlText w:val="%9."/>
      <w:lvlJc w:val="left"/>
      <w:pPr>
        <w:tabs>
          <w:tab w:val="num" w:pos="0"/>
        </w:tabs>
      </w:pPr>
    </w:lvl>
  </w:abstractNum>
  <w:abstractNum w:abstractNumId="13" w15:restartNumberingAfterBreak="0">
    <w:nsid w:val="00000004"/>
    <w:multiLevelType w:val="multilevel"/>
    <w:tmpl w:val="00000004"/>
    <w:name w:val="WW8Num4"/>
    <w:lvl w:ilvl="0">
      <w:numFmt w:val="bullet"/>
      <w:lvlText w:val="-"/>
      <w:lvlJc w:val="left"/>
      <w:pPr>
        <w:tabs>
          <w:tab w:val="num" w:pos="360"/>
        </w:tabs>
      </w:pPr>
      <w:rPr>
        <w:rFonts w:ascii="Thorndale" w:hAnsi="Thorndale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</w:lvl>
    <w:lvl w:ilvl="2">
      <w:start w:val="1"/>
      <w:numFmt w:val="decimal"/>
      <w:lvlText w:val="%3."/>
      <w:lvlJc w:val="left"/>
      <w:pPr>
        <w:tabs>
          <w:tab w:val="num" w:pos="0"/>
        </w:tabs>
      </w:p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decimal"/>
      <w:lvlText w:val="%5."/>
      <w:lvlJc w:val="left"/>
      <w:pPr>
        <w:tabs>
          <w:tab w:val="num" w:pos="0"/>
        </w:tabs>
      </w:pPr>
    </w:lvl>
    <w:lvl w:ilvl="5">
      <w:start w:val="1"/>
      <w:numFmt w:val="decimal"/>
      <w:lvlText w:val="%6."/>
      <w:lvlJc w:val="lef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decimal"/>
      <w:lvlText w:val="%8."/>
      <w:lvlJc w:val="left"/>
      <w:pPr>
        <w:tabs>
          <w:tab w:val="num" w:pos="0"/>
        </w:tabs>
      </w:pPr>
    </w:lvl>
    <w:lvl w:ilvl="8">
      <w:start w:val="1"/>
      <w:numFmt w:val="decimal"/>
      <w:lvlText w:val="%9."/>
      <w:lvlJc w:val="left"/>
      <w:pPr>
        <w:tabs>
          <w:tab w:val="num" w:pos="0"/>
        </w:tabs>
      </w:pPr>
    </w:lvl>
  </w:abstractNum>
  <w:abstractNum w:abstractNumId="14" w15:restartNumberingAfterBreak="0">
    <w:nsid w:val="00000007"/>
    <w:multiLevelType w:val="multilevel"/>
    <w:tmpl w:val="00000007"/>
    <w:name w:val="WW8Num7"/>
    <w:lvl w:ilvl="0">
      <w:numFmt w:val="bullet"/>
      <w:lvlText w:val="-"/>
      <w:lvlJc w:val="left"/>
      <w:pPr>
        <w:tabs>
          <w:tab w:val="num" w:pos="360"/>
        </w:tabs>
      </w:pPr>
      <w:rPr>
        <w:rFonts w:ascii="Thorndale" w:hAnsi="Thorndale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</w:lvl>
    <w:lvl w:ilvl="2">
      <w:start w:val="1"/>
      <w:numFmt w:val="decimal"/>
      <w:lvlText w:val="%3."/>
      <w:lvlJc w:val="left"/>
      <w:pPr>
        <w:tabs>
          <w:tab w:val="num" w:pos="0"/>
        </w:tabs>
      </w:p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decimal"/>
      <w:lvlText w:val="%5."/>
      <w:lvlJc w:val="left"/>
      <w:pPr>
        <w:tabs>
          <w:tab w:val="num" w:pos="0"/>
        </w:tabs>
      </w:pPr>
    </w:lvl>
    <w:lvl w:ilvl="5">
      <w:start w:val="1"/>
      <w:numFmt w:val="decimal"/>
      <w:lvlText w:val="%6."/>
      <w:lvlJc w:val="lef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decimal"/>
      <w:lvlText w:val="%8."/>
      <w:lvlJc w:val="left"/>
      <w:pPr>
        <w:tabs>
          <w:tab w:val="num" w:pos="0"/>
        </w:tabs>
      </w:pPr>
    </w:lvl>
    <w:lvl w:ilvl="8">
      <w:start w:val="1"/>
      <w:numFmt w:val="decimal"/>
      <w:lvlText w:val="%9."/>
      <w:lvlJc w:val="left"/>
      <w:pPr>
        <w:tabs>
          <w:tab w:val="num" w:pos="0"/>
        </w:tabs>
      </w:pPr>
    </w:lvl>
  </w:abstractNum>
  <w:abstractNum w:abstractNumId="15" w15:restartNumberingAfterBreak="0">
    <w:nsid w:val="04EE47A4"/>
    <w:multiLevelType w:val="hybridMultilevel"/>
    <w:tmpl w:val="593CBA48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094B367A"/>
    <w:multiLevelType w:val="hybridMultilevel"/>
    <w:tmpl w:val="F0626C00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5E2C0C"/>
    <w:multiLevelType w:val="hybridMultilevel"/>
    <w:tmpl w:val="12BC37C8"/>
    <w:lvl w:ilvl="0">
      <w:start w:val="1"/>
      <w:numFmt w:val="bullet"/>
      <w:pStyle w:val="Heading2bulleted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00D2E"/>
    <w:multiLevelType w:val="hybridMultilevel"/>
    <w:tmpl w:val="2F622A06"/>
    <w:lvl w:ilvl="0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54A515A"/>
    <w:multiLevelType w:val="multilevel"/>
    <w:tmpl w:val="6862EB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F493143"/>
    <w:multiLevelType w:val="hybridMultilevel"/>
    <w:tmpl w:val="9EE656C0"/>
    <w:lvl w:ilvl="0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6D016B"/>
    <w:multiLevelType w:val="hybridMultilevel"/>
    <w:tmpl w:val="40B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468BB"/>
    <w:multiLevelType w:val="hybridMultilevel"/>
    <w:tmpl w:val="E782F394"/>
    <w:lvl w:ilvl="0">
      <w:numFmt w:val="bullet"/>
      <w:lvlText w:val="•"/>
      <w:lvlJc w:val="left"/>
      <w:pPr>
        <w:ind w:left="846" w:hanging="42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18D0573"/>
    <w:multiLevelType w:val="singleLevel"/>
    <w:tmpl w:val="3994305E"/>
    <w:lvl w:ilvl="0">
      <w:start w:val="1"/>
      <w:numFmt w:val="bullet"/>
      <w:pStyle w:val="PIL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A100D28"/>
    <w:multiLevelType w:val="hybridMultilevel"/>
    <w:tmpl w:val="979479BE"/>
    <w:lvl w:ilvl="0">
      <w:start w:val="1"/>
      <w:numFmt w:val="upperLetter"/>
      <w:lvlText w:val="%1."/>
      <w:lvlJc w:val="left"/>
      <w:pPr>
        <w:ind w:left="5670" w:hanging="5670"/>
      </w:pPr>
      <w:rPr>
        <w:rFonts w:hint="default"/>
        <w:b/>
      </w:rPr>
    </w:lvl>
    <w:lvl w:ilvl="1">
      <w:start w:val="17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3"/>
  </w:num>
  <w:num w:numId="16">
    <w:abstractNumId w:val="16"/>
  </w:num>
  <w:num w:numId="17">
    <w:abstractNumId w:val="19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</w:num>
  <w:num w:numId="21">
    <w:abstractNumId w:val="24"/>
  </w:num>
  <w:num w:numId="22">
    <w:abstractNumId w:val="21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numRestart w:val="eachSec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SW" w:val="010"/>
    <w:docVar w:name="Version" w:val="0"/>
  </w:docVars>
  <w:rsids>
    <w:rsidRoot w:val="00B17CC9"/>
    <w:rsid w:val="000108AF"/>
    <w:rsid w:val="00010DCA"/>
    <w:rsid w:val="00012126"/>
    <w:rsid w:val="00012E74"/>
    <w:rsid w:val="00013EFB"/>
    <w:rsid w:val="00015AB0"/>
    <w:rsid w:val="00021AD6"/>
    <w:rsid w:val="000223DA"/>
    <w:rsid w:val="00023246"/>
    <w:rsid w:val="00023FAB"/>
    <w:rsid w:val="00025B52"/>
    <w:rsid w:val="0002656F"/>
    <w:rsid w:val="00031380"/>
    <w:rsid w:val="00046BE1"/>
    <w:rsid w:val="000540CB"/>
    <w:rsid w:val="00062BCF"/>
    <w:rsid w:val="00063AAE"/>
    <w:rsid w:val="0006559A"/>
    <w:rsid w:val="00065795"/>
    <w:rsid w:val="00070024"/>
    <w:rsid w:val="00070A6D"/>
    <w:rsid w:val="000721A2"/>
    <w:rsid w:val="0007357C"/>
    <w:rsid w:val="00081EF8"/>
    <w:rsid w:val="00082A17"/>
    <w:rsid w:val="00083C19"/>
    <w:rsid w:val="000848B1"/>
    <w:rsid w:val="00084BF5"/>
    <w:rsid w:val="0009074E"/>
    <w:rsid w:val="00091FB3"/>
    <w:rsid w:val="00092570"/>
    <w:rsid w:val="00093CC0"/>
    <w:rsid w:val="00094D74"/>
    <w:rsid w:val="00097E73"/>
    <w:rsid w:val="000A0685"/>
    <w:rsid w:val="000A0A3A"/>
    <w:rsid w:val="000A20D6"/>
    <w:rsid w:val="000A32DE"/>
    <w:rsid w:val="000A3E3C"/>
    <w:rsid w:val="000A4CB9"/>
    <w:rsid w:val="000A5399"/>
    <w:rsid w:val="000A7900"/>
    <w:rsid w:val="000B2F69"/>
    <w:rsid w:val="000B450A"/>
    <w:rsid w:val="000C0D0B"/>
    <w:rsid w:val="000C1409"/>
    <w:rsid w:val="000C22DA"/>
    <w:rsid w:val="000C3D64"/>
    <w:rsid w:val="000C71E9"/>
    <w:rsid w:val="000D16A6"/>
    <w:rsid w:val="000D1971"/>
    <w:rsid w:val="000D26E9"/>
    <w:rsid w:val="000D3867"/>
    <w:rsid w:val="000D3D23"/>
    <w:rsid w:val="000D64AF"/>
    <w:rsid w:val="000D70E5"/>
    <w:rsid w:val="000E28F0"/>
    <w:rsid w:val="000E5803"/>
    <w:rsid w:val="000E727A"/>
    <w:rsid w:val="000F2062"/>
    <w:rsid w:val="000F390D"/>
    <w:rsid w:val="000F683C"/>
    <w:rsid w:val="000F6C4B"/>
    <w:rsid w:val="0010161A"/>
    <w:rsid w:val="001020A6"/>
    <w:rsid w:val="0010309E"/>
    <w:rsid w:val="00103A58"/>
    <w:rsid w:val="00104126"/>
    <w:rsid w:val="00106246"/>
    <w:rsid w:val="00112A8E"/>
    <w:rsid w:val="001132EC"/>
    <w:rsid w:val="00114522"/>
    <w:rsid w:val="00115B76"/>
    <w:rsid w:val="00116DCB"/>
    <w:rsid w:val="001303F7"/>
    <w:rsid w:val="00132677"/>
    <w:rsid w:val="00133BBD"/>
    <w:rsid w:val="00150565"/>
    <w:rsid w:val="00150A9F"/>
    <w:rsid w:val="00152EFB"/>
    <w:rsid w:val="00153AA4"/>
    <w:rsid w:val="001545D5"/>
    <w:rsid w:val="00155673"/>
    <w:rsid w:val="0015578B"/>
    <w:rsid w:val="0015737C"/>
    <w:rsid w:val="0016313F"/>
    <w:rsid w:val="00173029"/>
    <w:rsid w:val="0017395F"/>
    <w:rsid w:val="00174194"/>
    <w:rsid w:val="00175B1B"/>
    <w:rsid w:val="00186428"/>
    <w:rsid w:val="00186D01"/>
    <w:rsid w:val="00187644"/>
    <w:rsid w:val="00187B2E"/>
    <w:rsid w:val="001910BC"/>
    <w:rsid w:val="001916E4"/>
    <w:rsid w:val="00193A5D"/>
    <w:rsid w:val="00194619"/>
    <w:rsid w:val="00196CC0"/>
    <w:rsid w:val="00197757"/>
    <w:rsid w:val="001A12C0"/>
    <w:rsid w:val="001A1602"/>
    <w:rsid w:val="001A42FF"/>
    <w:rsid w:val="001A556F"/>
    <w:rsid w:val="001A79F2"/>
    <w:rsid w:val="001A7DCB"/>
    <w:rsid w:val="001B12B6"/>
    <w:rsid w:val="001B2274"/>
    <w:rsid w:val="001B4308"/>
    <w:rsid w:val="001B71EF"/>
    <w:rsid w:val="001B71F9"/>
    <w:rsid w:val="001B79F1"/>
    <w:rsid w:val="001C03F5"/>
    <w:rsid w:val="001C1243"/>
    <w:rsid w:val="001C2F8B"/>
    <w:rsid w:val="001C3689"/>
    <w:rsid w:val="001C37F0"/>
    <w:rsid w:val="001D1BEA"/>
    <w:rsid w:val="001D2B88"/>
    <w:rsid w:val="001D2EB1"/>
    <w:rsid w:val="001D3383"/>
    <w:rsid w:val="001E0BCA"/>
    <w:rsid w:val="001E1F63"/>
    <w:rsid w:val="001E4ED4"/>
    <w:rsid w:val="001E6F40"/>
    <w:rsid w:val="001F64A1"/>
    <w:rsid w:val="001F6B23"/>
    <w:rsid w:val="00203E95"/>
    <w:rsid w:val="00205E81"/>
    <w:rsid w:val="0020736D"/>
    <w:rsid w:val="002131EC"/>
    <w:rsid w:val="00217412"/>
    <w:rsid w:val="00222FC5"/>
    <w:rsid w:val="00226CDC"/>
    <w:rsid w:val="00230191"/>
    <w:rsid w:val="00231F43"/>
    <w:rsid w:val="00242BEE"/>
    <w:rsid w:val="00244CBA"/>
    <w:rsid w:val="002519D5"/>
    <w:rsid w:val="00256508"/>
    <w:rsid w:val="0025727B"/>
    <w:rsid w:val="002636E6"/>
    <w:rsid w:val="00263BF2"/>
    <w:rsid w:val="00270698"/>
    <w:rsid w:val="0027359A"/>
    <w:rsid w:val="002771B1"/>
    <w:rsid w:val="00282B78"/>
    <w:rsid w:val="002832AC"/>
    <w:rsid w:val="0028371D"/>
    <w:rsid w:val="00283841"/>
    <w:rsid w:val="002855F2"/>
    <w:rsid w:val="00287F37"/>
    <w:rsid w:val="002900B8"/>
    <w:rsid w:val="00290EB2"/>
    <w:rsid w:val="00293498"/>
    <w:rsid w:val="002945FE"/>
    <w:rsid w:val="00294956"/>
    <w:rsid w:val="00296D94"/>
    <w:rsid w:val="002970F3"/>
    <w:rsid w:val="002973AE"/>
    <w:rsid w:val="002A15EC"/>
    <w:rsid w:val="002A632E"/>
    <w:rsid w:val="002B1113"/>
    <w:rsid w:val="002B51C4"/>
    <w:rsid w:val="002B5852"/>
    <w:rsid w:val="002B58D6"/>
    <w:rsid w:val="002B6347"/>
    <w:rsid w:val="002C52C2"/>
    <w:rsid w:val="002D00AD"/>
    <w:rsid w:val="002D563F"/>
    <w:rsid w:val="002D56C1"/>
    <w:rsid w:val="002D6CD6"/>
    <w:rsid w:val="002E0B74"/>
    <w:rsid w:val="002E13A1"/>
    <w:rsid w:val="002E1D67"/>
    <w:rsid w:val="002E519C"/>
    <w:rsid w:val="002E552B"/>
    <w:rsid w:val="002E5E59"/>
    <w:rsid w:val="002E6368"/>
    <w:rsid w:val="002E6F7B"/>
    <w:rsid w:val="002E7303"/>
    <w:rsid w:val="002F000E"/>
    <w:rsid w:val="002F28E5"/>
    <w:rsid w:val="002F3841"/>
    <w:rsid w:val="002F3D3C"/>
    <w:rsid w:val="002F4178"/>
    <w:rsid w:val="002F485B"/>
    <w:rsid w:val="003018F4"/>
    <w:rsid w:val="00301E3F"/>
    <w:rsid w:val="00301F29"/>
    <w:rsid w:val="00303EA9"/>
    <w:rsid w:val="003047ED"/>
    <w:rsid w:val="00306996"/>
    <w:rsid w:val="00307AE5"/>
    <w:rsid w:val="00307F98"/>
    <w:rsid w:val="00310466"/>
    <w:rsid w:val="0031302E"/>
    <w:rsid w:val="00316F9F"/>
    <w:rsid w:val="00322A69"/>
    <w:rsid w:val="003257E2"/>
    <w:rsid w:val="00325866"/>
    <w:rsid w:val="00326F2C"/>
    <w:rsid w:val="00326F59"/>
    <w:rsid w:val="00330FDB"/>
    <w:rsid w:val="003324B7"/>
    <w:rsid w:val="003336F2"/>
    <w:rsid w:val="003417C9"/>
    <w:rsid w:val="003426D9"/>
    <w:rsid w:val="003508BF"/>
    <w:rsid w:val="0035431B"/>
    <w:rsid w:val="0035726F"/>
    <w:rsid w:val="00361825"/>
    <w:rsid w:val="00362F86"/>
    <w:rsid w:val="003707EE"/>
    <w:rsid w:val="00373C17"/>
    <w:rsid w:val="00374851"/>
    <w:rsid w:val="00375DD4"/>
    <w:rsid w:val="0037714E"/>
    <w:rsid w:val="003835E0"/>
    <w:rsid w:val="00383C5E"/>
    <w:rsid w:val="00386127"/>
    <w:rsid w:val="0038683B"/>
    <w:rsid w:val="00390E3B"/>
    <w:rsid w:val="00396B44"/>
    <w:rsid w:val="003A0EA9"/>
    <w:rsid w:val="003A1AFB"/>
    <w:rsid w:val="003A4464"/>
    <w:rsid w:val="003B529B"/>
    <w:rsid w:val="003B6883"/>
    <w:rsid w:val="003B7C88"/>
    <w:rsid w:val="003C07CF"/>
    <w:rsid w:val="003C0A7E"/>
    <w:rsid w:val="003C335B"/>
    <w:rsid w:val="003C6F8C"/>
    <w:rsid w:val="003C729E"/>
    <w:rsid w:val="003D5CD9"/>
    <w:rsid w:val="003E18BA"/>
    <w:rsid w:val="003E2D11"/>
    <w:rsid w:val="003E3CE3"/>
    <w:rsid w:val="003E4170"/>
    <w:rsid w:val="003E44E4"/>
    <w:rsid w:val="003F4864"/>
    <w:rsid w:val="003F5465"/>
    <w:rsid w:val="003F61A0"/>
    <w:rsid w:val="003F6309"/>
    <w:rsid w:val="003F6ECB"/>
    <w:rsid w:val="00404330"/>
    <w:rsid w:val="0040748C"/>
    <w:rsid w:val="0041034D"/>
    <w:rsid w:val="00417143"/>
    <w:rsid w:val="00420B32"/>
    <w:rsid w:val="004211E1"/>
    <w:rsid w:val="004327DC"/>
    <w:rsid w:val="00432C0D"/>
    <w:rsid w:val="0043530F"/>
    <w:rsid w:val="00441286"/>
    <w:rsid w:val="00442B96"/>
    <w:rsid w:val="00443E54"/>
    <w:rsid w:val="0044489D"/>
    <w:rsid w:val="00444EF5"/>
    <w:rsid w:val="0045353C"/>
    <w:rsid w:val="004537C3"/>
    <w:rsid w:val="004558DB"/>
    <w:rsid w:val="00457987"/>
    <w:rsid w:val="0046164D"/>
    <w:rsid w:val="004616EA"/>
    <w:rsid w:val="004621A3"/>
    <w:rsid w:val="004674D2"/>
    <w:rsid w:val="00471AA9"/>
    <w:rsid w:val="00472420"/>
    <w:rsid w:val="0047689E"/>
    <w:rsid w:val="00477186"/>
    <w:rsid w:val="004773A1"/>
    <w:rsid w:val="00480BE6"/>
    <w:rsid w:val="00481263"/>
    <w:rsid w:val="00484DFD"/>
    <w:rsid w:val="00486C66"/>
    <w:rsid w:val="0049287B"/>
    <w:rsid w:val="004946FF"/>
    <w:rsid w:val="00495570"/>
    <w:rsid w:val="004A150A"/>
    <w:rsid w:val="004A65C8"/>
    <w:rsid w:val="004B03F2"/>
    <w:rsid w:val="004B1109"/>
    <w:rsid w:val="004B1958"/>
    <w:rsid w:val="004B5B1C"/>
    <w:rsid w:val="004B7356"/>
    <w:rsid w:val="004C1AC8"/>
    <w:rsid w:val="004C3A35"/>
    <w:rsid w:val="004D1794"/>
    <w:rsid w:val="004D2624"/>
    <w:rsid w:val="004D35B2"/>
    <w:rsid w:val="004D4A02"/>
    <w:rsid w:val="004D54EF"/>
    <w:rsid w:val="004D6223"/>
    <w:rsid w:val="004E12D8"/>
    <w:rsid w:val="004E1836"/>
    <w:rsid w:val="004F3D67"/>
    <w:rsid w:val="004F4062"/>
    <w:rsid w:val="00503436"/>
    <w:rsid w:val="00503850"/>
    <w:rsid w:val="0050456A"/>
    <w:rsid w:val="00507044"/>
    <w:rsid w:val="005111DB"/>
    <w:rsid w:val="00520E01"/>
    <w:rsid w:val="00520FB1"/>
    <w:rsid w:val="005254A4"/>
    <w:rsid w:val="00525F5A"/>
    <w:rsid w:val="005276CD"/>
    <w:rsid w:val="00527F3C"/>
    <w:rsid w:val="00530C5C"/>
    <w:rsid w:val="005315EE"/>
    <w:rsid w:val="00535894"/>
    <w:rsid w:val="005358FA"/>
    <w:rsid w:val="005404D7"/>
    <w:rsid w:val="005447F7"/>
    <w:rsid w:val="00545054"/>
    <w:rsid w:val="0055462C"/>
    <w:rsid w:val="00555B13"/>
    <w:rsid w:val="0056030D"/>
    <w:rsid w:val="00563B49"/>
    <w:rsid w:val="00574B3D"/>
    <w:rsid w:val="005766AE"/>
    <w:rsid w:val="0058066F"/>
    <w:rsid w:val="00586776"/>
    <w:rsid w:val="005877FF"/>
    <w:rsid w:val="00593EFA"/>
    <w:rsid w:val="00595927"/>
    <w:rsid w:val="00595A51"/>
    <w:rsid w:val="00595AA7"/>
    <w:rsid w:val="00596C93"/>
    <w:rsid w:val="005A10C9"/>
    <w:rsid w:val="005A49C2"/>
    <w:rsid w:val="005A59F0"/>
    <w:rsid w:val="005B54B0"/>
    <w:rsid w:val="005B56FD"/>
    <w:rsid w:val="005B748D"/>
    <w:rsid w:val="005C0BE1"/>
    <w:rsid w:val="005C3D6F"/>
    <w:rsid w:val="005C41A6"/>
    <w:rsid w:val="005C4D96"/>
    <w:rsid w:val="005D02E7"/>
    <w:rsid w:val="005D0E6C"/>
    <w:rsid w:val="005D4765"/>
    <w:rsid w:val="005D61E4"/>
    <w:rsid w:val="005E362F"/>
    <w:rsid w:val="005E45F7"/>
    <w:rsid w:val="005E7213"/>
    <w:rsid w:val="005F4702"/>
    <w:rsid w:val="005F4AD4"/>
    <w:rsid w:val="00600BEF"/>
    <w:rsid w:val="00601577"/>
    <w:rsid w:val="00606CB9"/>
    <w:rsid w:val="0061099D"/>
    <w:rsid w:val="0061207C"/>
    <w:rsid w:val="00612330"/>
    <w:rsid w:val="00615F93"/>
    <w:rsid w:val="0061737F"/>
    <w:rsid w:val="00626DC2"/>
    <w:rsid w:val="006321DA"/>
    <w:rsid w:val="0063353C"/>
    <w:rsid w:val="00634A1D"/>
    <w:rsid w:val="00635596"/>
    <w:rsid w:val="00636743"/>
    <w:rsid w:val="00640089"/>
    <w:rsid w:val="006427C4"/>
    <w:rsid w:val="00643661"/>
    <w:rsid w:val="0065046F"/>
    <w:rsid w:val="00653D6E"/>
    <w:rsid w:val="00657E15"/>
    <w:rsid w:val="00662FDB"/>
    <w:rsid w:val="0066357B"/>
    <w:rsid w:val="00665FDF"/>
    <w:rsid w:val="00667B7D"/>
    <w:rsid w:val="00670BDF"/>
    <w:rsid w:val="006728CF"/>
    <w:rsid w:val="006731AC"/>
    <w:rsid w:val="00676178"/>
    <w:rsid w:val="00677283"/>
    <w:rsid w:val="0068087F"/>
    <w:rsid w:val="006841A4"/>
    <w:rsid w:val="00684360"/>
    <w:rsid w:val="0068768D"/>
    <w:rsid w:val="00691E9B"/>
    <w:rsid w:val="0069273D"/>
    <w:rsid w:val="0069402C"/>
    <w:rsid w:val="00697AFF"/>
    <w:rsid w:val="006A04B4"/>
    <w:rsid w:val="006A0DFC"/>
    <w:rsid w:val="006A126E"/>
    <w:rsid w:val="006A3DB1"/>
    <w:rsid w:val="006A5AD8"/>
    <w:rsid w:val="006A6582"/>
    <w:rsid w:val="006A6F09"/>
    <w:rsid w:val="006B0D4C"/>
    <w:rsid w:val="006B3DCE"/>
    <w:rsid w:val="006B5CD4"/>
    <w:rsid w:val="006B7864"/>
    <w:rsid w:val="006C031F"/>
    <w:rsid w:val="006C2342"/>
    <w:rsid w:val="006C27EB"/>
    <w:rsid w:val="006D40F5"/>
    <w:rsid w:val="006D5330"/>
    <w:rsid w:val="006D6815"/>
    <w:rsid w:val="006D7975"/>
    <w:rsid w:val="006E24C6"/>
    <w:rsid w:val="006E4B5D"/>
    <w:rsid w:val="006E549B"/>
    <w:rsid w:val="006E7042"/>
    <w:rsid w:val="006F239B"/>
    <w:rsid w:val="006F2CF6"/>
    <w:rsid w:val="006F2F11"/>
    <w:rsid w:val="00700B3B"/>
    <w:rsid w:val="0070411E"/>
    <w:rsid w:val="007113AE"/>
    <w:rsid w:val="00712888"/>
    <w:rsid w:val="00713D70"/>
    <w:rsid w:val="00717017"/>
    <w:rsid w:val="00724A65"/>
    <w:rsid w:val="007466C9"/>
    <w:rsid w:val="0075070E"/>
    <w:rsid w:val="00750901"/>
    <w:rsid w:val="007535B5"/>
    <w:rsid w:val="007541E4"/>
    <w:rsid w:val="0076067F"/>
    <w:rsid w:val="00764774"/>
    <w:rsid w:val="007706D4"/>
    <w:rsid w:val="00774454"/>
    <w:rsid w:val="007756C4"/>
    <w:rsid w:val="00775720"/>
    <w:rsid w:val="00782806"/>
    <w:rsid w:val="00782998"/>
    <w:rsid w:val="007B2E9E"/>
    <w:rsid w:val="007B3D42"/>
    <w:rsid w:val="007B567F"/>
    <w:rsid w:val="007B5A2F"/>
    <w:rsid w:val="007B60B7"/>
    <w:rsid w:val="007B68B5"/>
    <w:rsid w:val="007C0118"/>
    <w:rsid w:val="007C25BB"/>
    <w:rsid w:val="007C504C"/>
    <w:rsid w:val="007D06F3"/>
    <w:rsid w:val="007D166C"/>
    <w:rsid w:val="007D1D0C"/>
    <w:rsid w:val="007D3DCE"/>
    <w:rsid w:val="007D4481"/>
    <w:rsid w:val="007D5F4E"/>
    <w:rsid w:val="007D7FC9"/>
    <w:rsid w:val="007E3C0D"/>
    <w:rsid w:val="007E7092"/>
    <w:rsid w:val="007F4079"/>
    <w:rsid w:val="00803465"/>
    <w:rsid w:val="00804232"/>
    <w:rsid w:val="00805292"/>
    <w:rsid w:val="008061AA"/>
    <w:rsid w:val="00806A24"/>
    <w:rsid w:val="00807437"/>
    <w:rsid w:val="00810F22"/>
    <w:rsid w:val="008129C3"/>
    <w:rsid w:val="00817215"/>
    <w:rsid w:val="0082387A"/>
    <w:rsid w:val="00824C09"/>
    <w:rsid w:val="00826EE4"/>
    <w:rsid w:val="008318B7"/>
    <w:rsid w:val="00833600"/>
    <w:rsid w:val="00834CEC"/>
    <w:rsid w:val="00837D87"/>
    <w:rsid w:val="00842246"/>
    <w:rsid w:val="008463AF"/>
    <w:rsid w:val="008478CE"/>
    <w:rsid w:val="00847A27"/>
    <w:rsid w:val="00851944"/>
    <w:rsid w:val="00864719"/>
    <w:rsid w:val="00864F4D"/>
    <w:rsid w:val="008652E8"/>
    <w:rsid w:val="00865F53"/>
    <w:rsid w:val="008704C2"/>
    <w:rsid w:val="00872041"/>
    <w:rsid w:val="0087258E"/>
    <w:rsid w:val="008765C2"/>
    <w:rsid w:val="00881372"/>
    <w:rsid w:val="00884D41"/>
    <w:rsid w:val="008857E4"/>
    <w:rsid w:val="0088591C"/>
    <w:rsid w:val="00891753"/>
    <w:rsid w:val="00891DBB"/>
    <w:rsid w:val="00892EC9"/>
    <w:rsid w:val="008937C0"/>
    <w:rsid w:val="008A39D3"/>
    <w:rsid w:val="008A5239"/>
    <w:rsid w:val="008A5B48"/>
    <w:rsid w:val="008A7FF5"/>
    <w:rsid w:val="008B0CCC"/>
    <w:rsid w:val="008B1357"/>
    <w:rsid w:val="008B1F6A"/>
    <w:rsid w:val="008B5F74"/>
    <w:rsid w:val="008C1739"/>
    <w:rsid w:val="008C18CE"/>
    <w:rsid w:val="008C3179"/>
    <w:rsid w:val="008C58DB"/>
    <w:rsid w:val="008C6ACB"/>
    <w:rsid w:val="008D22ED"/>
    <w:rsid w:val="008D3BC9"/>
    <w:rsid w:val="008E0781"/>
    <w:rsid w:val="008E1F9F"/>
    <w:rsid w:val="008E4B15"/>
    <w:rsid w:val="008E4B21"/>
    <w:rsid w:val="008F0EE1"/>
    <w:rsid w:val="008F538F"/>
    <w:rsid w:val="008F56AE"/>
    <w:rsid w:val="008F6630"/>
    <w:rsid w:val="0090340D"/>
    <w:rsid w:val="00903B5E"/>
    <w:rsid w:val="009041C0"/>
    <w:rsid w:val="009076CB"/>
    <w:rsid w:val="009109DD"/>
    <w:rsid w:val="00910CC9"/>
    <w:rsid w:val="009139BC"/>
    <w:rsid w:val="00915570"/>
    <w:rsid w:val="00921A2B"/>
    <w:rsid w:val="009220CE"/>
    <w:rsid w:val="00925E05"/>
    <w:rsid w:val="00926268"/>
    <w:rsid w:val="00930597"/>
    <w:rsid w:val="009339C8"/>
    <w:rsid w:val="00934466"/>
    <w:rsid w:val="00934643"/>
    <w:rsid w:val="00937515"/>
    <w:rsid w:val="0094445B"/>
    <w:rsid w:val="00947E98"/>
    <w:rsid w:val="00951A83"/>
    <w:rsid w:val="00951BB2"/>
    <w:rsid w:val="00951BD6"/>
    <w:rsid w:val="00955F37"/>
    <w:rsid w:val="009629B6"/>
    <w:rsid w:val="009634F0"/>
    <w:rsid w:val="009635F5"/>
    <w:rsid w:val="00963CED"/>
    <w:rsid w:val="0096624A"/>
    <w:rsid w:val="00970065"/>
    <w:rsid w:val="0097069A"/>
    <w:rsid w:val="009759BA"/>
    <w:rsid w:val="009766BC"/>
    <w:rsid w:val="0098396D"/>
    <w:rsid w:val="00985D42"/>
    <w:rsid w:val="009870BF"/>
    <w:rsid w:val="0099215F"/>
    <w:rsid w:val="00997E7D"/>
    <w:rsid w:val="009B214D"/>
    <w:rsid w:val="009B4261"/>
    <w:rsid w:val="009B6213"/>
    <w:rsid w:val="009C3A76"/>
    <w:rsid w:val="009D01E7"/>
    <w:rsid w:val="009D04D5"/>
    <w:rsid w:val="009D1979"/>
    <w:rsid w:val="009D485C"/>
    <w:rsid w:val="009D4B5F"/>
    <w:rsid w:val="009E0F23"/>
    <w:rsid w:val="009E0F5B"/>
    <w:rsid w:val="009E4743"/>
    <w:rsid w:val="009E71C9"/>
    <w:rsid w:val="009E7262"/>
    <w:rsid w:val="009E777B"/>
    <w:rsid w:val="009F523F"/>
    <w:rsid w:val="009F72D7"/>
    <w:rsid w:val="00A055DC"/>
    <w:rsid w:val="00A05B38"/>
    <w:rsid w:val="00A076D1"/>
    <w:rsid w:val="00A10D70"/>
    <w:rsid w:val="00A13B91"/>
    <w:rsid w:val="00A14CC8"/>
    <w:rsid w:val="00A211BE"/>
    <w:rsid w:val="00A211C6"/>
    <w:rsid w:val="00A22E44"/>
    <w:rsid w:val="00A2696F"/>
    <w:rsid w:val="00A3025A"/>
    <w:rsid w:val="00A349F8"/>
    <w:rsid w:val="00A36316"/>
    <w:rsid w:val="00A43FBD"/>
    <w:rsid w:val="00A468F8"/>
    <w:rsid w:val="00A5089D"/>
    <w:rsid w:val="00A518DC"/>
    <w:rsid w:val="00A530FF"/>
    <w:rsid w:val="00A54385"/>
    <w:rsid w:val="00A55BA1"/>
    <w:rsid w:val="00A66C04"/>
    <w:rsid w:val="00A67E46"/>
    <w:rsid w:val="00A70246"/>
    <w:rsid w:val="00A83851"/>
    <w:rsid w:val="00A843A1"/>
    <w:rsid w:val="00A923A6"/>
    <w:rsid w:val="00A97B3B"/>
    <w:rsid w:val="00AA1601"/>
    <w:rsid w:val="00AA30DC"/>
    <w:rsid w:val="00AB36BA"/>
    <w:rsid w:val="00AB55E0"/>
    <w:rsid w:val="00AB7498"/>
    <w:rsid w:val="00AC1BC9"/>
    <w:rsid w:val="00AC2454"/>
    <w:rsid w:val="00AC2EF5"/>
    <w:rsid w:val="00AC4F3B"/>
    <w:rsid w:val="00AC5B65"/>
    <w:rsid w:val="00AC6ECE"/>
    <w:rsid w:val="00AD0BA6"/>
    <w:rsid w:val="00AD0C3E"/>
    <w:rsid w:val="00AD0D6F"/>
    <w:rsid w:val="00AD3396"/>
    <w:rsid w:val="00AD6BEF"/>
    <w:rsid w:val="00AE0F19"/>
    <w:rsid w:val="00AF579D"/>
    <w:rsid w:val="00AF66A3"/>
    <w:rsid w:val="00AF7503"/>
    <w:rsid w:val="00B069B3"/>
    <w:rsid w:val="00B074B0"/>
    <w:rsid w:val="00B12016"/>
    <w:rsid w:val="00B13049"/>
    <w:rsid w:val="00B162D8"/>
    <w:rsid w:val="00B170B5"/>
    <w:rsid w:val="00B17CC9"/>
    <w:rsid w:val="00B20051"/>
    <w:rsid w:val="00B26D85"/>
    <w:rsid w:val="00B302B8"/>
    <w:rsid w:val="00B324E5"/>
    <w:rsid w:val="00B35E6D"/>
    <w:rsid w:val="00B373E0"/>
    <w:rsid w:val="00B37E0B"/>
    <w:rsid w:val="00B415AF"/>
    <w:rsid w:val="00B51029"/>
    <w:rsid w:val="00B53D4F"/>
    <w:rsid w:val="00B57313"/>
    <w:rsid w:val="00B630CB"/>
    <w:rsid w:val="00B646AF"/>
    <w:rsid w:val="00B6527F"/>
    <w:rsid w:val="00B66181"/>
    <w:rsid w:val="00B70908"/>
    <w:rsid w:val="00B73956"/>
    <w:rsid w:val="00B767FF"/>
    <w:rsid w:val="00B80149"/>
    <w:rsid w:val="00B809C8"/>
    <w:rsid w:val="00B826D8"/>
    <w:rsid w:val="00B83B40"/>
    <w:rsid w:val="00B83BA9"/>
    <w:rsid w:val="00B85209"/>
    <w:rsid w:val="00B856BC"/>
    <w:rsid w:val="00B86235"/>
    <w:rsid w:val="00B869B1"/>
    <w:rsid w:val="00B87C11"/>
    <w:rsid w:val="00B952BF"/>
    <w:rsid w:val="00BB3408"/>
    <w:rsid w:val="00BB3760"/>
    <w:rsid w:val="00BB7184"/>
    <w:rsid w:val="00BB7319"/>
    <w:rsid w:val="00BC16B5"/>
    <w:rsid w:val="00BC286B"/>
    <w:rsid w:val="00BD1286"/>
    <w:rsid w:val="00BD426A"/>
    <w:rsid w:val="00BE2D92"/>
    <w:rsid w:val="00BE30AF"/>
    <w:rsid w:val="00BE4077"/>
    <w:rsid w:val="00BF08CD"/>
    <w:rsid w:val="00BF0C6B"/>
    <w:rsid w:val="00BF3514"/>
    <w:rsid w:val="00BF3BB2"/>
    <w:rsid w:val="00BF41A3"/>
    <w:rsid w:val="00C00EE2"/>
    <w:rsid w:val="00C013A4"/>
    <w:rsid w:val="00C026CF"/>
    <w:rsid w:val="00C0396E"/>
    <w:rsid w:val="00C075A6"/>
    <w:rsid w:val="00C077E9"/>
    <w:rsid w:val="00C13D03"/>
    <w:rsid w:val="00C146A5"/>
    <w:rsid w:val="00C147EF"/>
    <w:rsid w:val="00C16CAF"/>
    <w:rsid w:val="00C218FE"/>
    <w:rsid w:val="00C22861"/>
    <w:rsid w:val="00C250AB"/>
    <w:rsid w:val="00C26888"/>
    <w:rsid w:val="00C40DCF"/>
    <w:rsid w:val="00C429EA"/>
    <w:rsid w:val="00C45EBD"/>
    <w:rsid w:val="00C4768A"/>
    <w:rsid w:val="00C47F28"/>
    <w:rsid w:val="00C54A76"/>
    <w:rsid w:val="00C56686"/>
    <w:rsid w:val="00C61FC8"/>
    <w:rsid w:val="00C639AE"/>
    <w:rsid w:val="00C640B8"/>
    <w:rsid w:val="00C7080E"/>
    <w:rsid w:val="00C75CC0"/>
    <w:rsid w:val="00C87792"/>
    <w:rsid w:val="00C9338B"/>
    <w:rsid w:val="00C94B2F"/>
    <w:rsid w:val="00C973C1"/>
    <w:rsid w:val="00CA17AF"/>
    <w:rsid w:val="00CA21BD"/>
    <w:rsid w:val="00CC1581"/>
    <w:rsid w:val="00CC1738"/>
    <w:rsid w:val="00CC354E"/>
    <w:rsid w:val="00CC3EBF"/>
    <w:rsid w:val="00CC5774"/>
    <w:rsid w:val="00CE2DF6"/>
    <w:rsid w:val="00CF0CB9"/>
    <w:rsid w:val="00CF0CD0"/>
    <w:rsid w:val="00CF20DF"/>
    <w:rsid w:val="00D02BCD"/>
    <w:rsid w:val="00D07BBC"/>
    <w:rsid w:val="00D07F9A"/>
    <w:rsid w:val="00D10016"/>
    <w:rsid w:val="00D10602"/>
    <w:rsid w:val="00D11417"/>
    <w:rsid w:val="00D33B68"/>
    <w:rsid w:val="00D37C73"/>
    <w:rsid w:val="00D37D39"/>
    <w:rsid w:val="00D40C5E"/>
    <w:rsid w:val="00D4322B"/>
    <w:rsid w:val="00D505C4"/>
    <w:rsid w:val="00D51680"/>
    <w:rsid w:val="00D53463"/>
    <w:rsid w:val="00D54149"/>
    <w:rsid w:val="00D55C2A"/>
    <w:rsid w:val="00D62E57"/>
    <w:rsid w:val="00D6797B"/>
    <w:rsid w:val="00D806F4"/>
    <w:rsid w:val="00D83D70"/>
    <w:rsid w:val="00D91D4D"/>
    <w:rsid w:val="00D9392E"/>
    <w:rsid w:val="00D96BE8"/>
    <w:rsid w:val="00D97009"/>
    <w:rsid w:val="00DA10CB"/>
    <w:rsid w:val="00DA1F84"/>
    <w:rsid w:val="00DA382E"/>
    <w:rsid w:val="00DA4332"/>
    <w:rsid w:val="00DA5480"/>
    <w:rsid w:val="00DA5AF5"/>
    <w:rsid w:val="00DB2B81"/>
    <w:rsid w:val="00DB3DC3"/>
    <w:rsid w:val="00DB4198"/>
    <w:rsid w:val="00DC124B"/>
    <w:rsid w:val="00DD3842"/>
    <w:rsid w:val="00DE04FB"/>
    <w:rsid w:val="00DE2BF9"/>
    <w:rsid w:val="00DE540F"/>
    <w:rsid w:val="00DF263F"/>
    <w:rsid w:val="00DF2BB5"/>
    <w:rsid w:val="00DF44EE"/>
    <w:rsid w:val="00E03F4F"/>
    <w:rsid w:val="00E0461C"/>
    <w:rsid w:val="00E106D2"/>
    <w:rsid w:val="00E12EF2"/>
    <w:rsid w:val="00E14D58"/>
    <w:rsid w:val="00E15DAB"/>
    <w:rsid w:val="00E24EFB"/>
    <w:rsid w:val="00E27718"/>
    <w:rsid w:val="00E300C9"/>
    <w:rsid w:val="00E32A16"/>
    <w:rsid w:val="00E43478"/>
    <w:rsid w:val="00E44043"/>
    <w:rsid w:val="00E536F2"/>
    <w:rsid w:val="00E61256"/>
    <w:rsid w:val="00E62E9E"/>
    <w:rsid w:val="00E652CD"/>
    <w:rsid w:val="00E67B86"/>
    <w:rsid w:val="00E76065"/>
    <w:rsid w:val="00E76AF8"/>
    <w:rsid w:val="00E815AD"/>
    <w:rsid w:val="00E81811"/>
    <w:rsid w:val="00E81D6D"/>
    <w:rsid w:val="00E829C3"/>
    <w:rsid w:val="00E85B8C"/>
    <w:rsid w:val="00E86CBC"/>
    <w:rsid w:val="00E946C7"/>
    <w:rsid w:val="00E97589"/>
    <w:rsid w:val="00EA3EF8"/>
    <w:rsid w:val="00EA510E"/>
    <w:rsid w:val="00EA676F"/>
    <w:rsid w:val="00EB420F"/>
    <w:rsid w:val="00EB4340"/>
    <w:rsid w:val="00EB6239"/>
    <w:rsid w:val="00EC17FF"/>
    <w:rsid w:val="00EC1D19"/>
    <w:rsid w:val="00EC5393"/>
    <w:rsid w:val="00ED3529"/>
    <w:rsid w:val="00ED406D"/>
    <w:rsid w:val="00ED587D"/>
    <w:rsid w:val="00ED65AE"/>
    <w:rsid w:val="00ED705F"/>
    <w:rsid w:val="00EE22A4"/>
    <w:rsid w:val="00EE3A62"/>
    <w:rsid w:val="00EE4089"/>
    <w:rsid w:val="00EE5876"/>
    <w:rsid w:val="00EE60AD"/>
    <w:rsid w:val="00EE7646"/>
    <w:rsid w:val="00EF02AA"/>
    <w:rsid w:val="00EF0A36"/>
    <w:rsid w:val="00EF3BB9"/>
    <w:rsid w:val="00F0384F"/>
    <w:rsid w:val="00F12063"/>
    <w:rsid w:val="00F233EF"/>
    <w:rsid w:val="00F340FF"/>
    <w:rsid w:val="00F36893"/>
    <w:rsid w:val="00F432F1"/>
    <w:rsid w:val="00F43E44"/>
    <w:rsid w:val="00F4434A"/>
    <w:rsid w:val="00F475FF"/>
    <w:rsid w:val="00F50124"/>
    <w:rsid w:val="00F50F14"/>
    <w:rsid w:val="00F6393E"/>
    <w:rsid w:val="00F65ED2"/>
    <w:rsid w:val="00F67342"/>
    <w:rsid w:val="00F745F6"/>
    <w:rsid w:val="00F75B34"/>
    <w:rsid w:val="00F75EF0"/>
    <w:rsid w:val="00F82EF1"/>
    <w:rsid w:val="00F8408A"/>
    <w:rsid w:val="00F84EB6"/>
    <w:rsid w:val="00F93BC5"/>
    <w:rsid w:val="00F95597"/>
    <w:rsid w:val="00FA06C6"/>
    <w:rsid w:val="00FA1C18"/>
    <w:rsid w:val="00FA3BDD"/>
    <w:rsid w:val="00FA5623"/>
    <w:rsid w:val="00FA6DBB"/>
    <w:rsid w:val="00FA7E92"/>
    <w:rsid w:val="00FB6D53"/>
    <w:rsid w:val="00FC0210"/>
    <w:rsid w:val="00FC099E"/>
    <w:rsid w:val="00FC7378"/>
    <w:rsid w:val="00FD0C7A"/>
    <w:rsid w:val="00FD674B"/>
    <w:rsid w:val="00FE063A"/>
    <w:rsid w:val="00FE383C"/>
    <w:rsid w:val="00FF03A6"/>
    <w:rsid w:val="00FF08C9"/>
    <w:rsid w:val="00FF26F7"/>
    <w:rsid w:val="00FF435F"/>
    <w:rsid w:val="00FF566F"/>
    <w:rsid w:val="00FF5B7F"/>
    <w:rsid w:val="00FF633D"/>
    <w:rsid w:val="00FF6BD5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DF66F3-8717-4EA3-880D-63AFFCF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ind w:left="709" w:hanging="709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b/>
      <w:sz w:val="22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</w:tabs>
      <w:spacing w:line="260" w:lineRule="exact"/>
      <w:jc w:val="both"/>
      <w:outlineLvl w:val="4"/>
    </w:pPr>
    <w:rPr>
      <w:b/>
      <w:sz w:val="22"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</w:tabs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widowControl w:val="0"/>
      <w:spacing w:line="260" w:lineRule="exact"/>
      <w:jc w:val="center"/>
      <w:outlineLvl w:val="6"/>
    </w:pPr>
    <w:rPr>
      <w:b/>
      <w:sz w:val="22"/>
      <w:lang w:val="en-GB"/>
    </w:rPr>
  </w:style>
  <w:style w:type="paragraph" w:styleId="Heading8">
    <w:name w:val="heading 8"/>
    <w:basedOn w:val="Normal"/>
    <w:next w:val="Normal"/>
    <w:qFormat/>
    <w:pPr>
      <w:keepNext/>
      <w:ind w:left="709" w:hanging="709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ind w:left="709" w:hanging="709"/>
      <w:outlineLvl w:val="8"/>
    </w:pPr>
    <w:rPr>
      <w:color w:val="FF0000"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link w:val="FootnoteTextChar"/>
  </w:style>
  <w:style w:type="character" w:styleId="FootnoteReference">
    <w:name w:val="footnote reference"/>
    <w:rPr>
      <w:vertAlign w:val="superscript"/>
    </w:rPr>
  </w:style>
  <w:style w:type="paragraph" w:styleId="Date">
    <w:name w:val="Date"/>
    <w:basedOn w:val="Normal"/>
    <w:next w:val="References"/>
    <w:pPr>
      <w:ind w:left="5103" w:right="-567"/>
    </w:pPr>
    <w:rPr>
      <w:sz w:val="24"/>
      <w:lang w:val="da-DK"/>
    </w:rPr>
  </w:style>
  <w:style w:type="paragraph" w:customStyle="1" w:styleId="References">
    <w:name w:val="References"/>
    <w:basedOn w:val="Normal"/>
    <w:next w:val="Normal"/>
    <w:pPr>
      <w:spacing w:after="240"/>
      <w:ind w:left="5103"/>
    </w:pPr>
    <w:rPr>
      <w:lang w:val="da-DK"/>
    </w:rPr>
  </w:style>
  <w:style w:type="paragraph" w:customStyle="1" w:styleId="ZCom">
    <w:name w:val="Z_Com"/>
    <w:basedOn w:val="Normal"/>
    <w:next w:val="ZDGName"/>
    <w:pPr>
      <w:ind w:right="85"/>
      <w:jc w:val="both"/>
    </w:pPr>
    <w:rPr>
      <w:rFonts w:ascii="Arial" w:hAnsi="Arial"/>
      <w:sz w:val="24"/>
      <w:lang w:val="da-DK"/>
    </w:rPr>
  </w:style>
  <w:style w:type="paragraph" w:customStyle="1" w:styleId="ZDGName">
    <w:name w:val="Z_DGName"/>
    <w:basedOn w:val="Normal"/>
    <w:pPr>
      <w:ind w:right="85"/>
      <w:jc w:val="both"/>
    </w:pPr>
    <w:rPr>
      <w:rFonts w:ascii="Arial" w:hAnsi="Arial"/>
      <w:sz w:val="16"/>
      <w:lang w:val="da-DK"/>
    </w:rPr>
  </w:style>
  <w:style w:type="paragraph" w:styleId="BodyText">
    <w:name w:val="Body Text"/>
    <w:basedOn w:val="Normal"/>
    <w:pPr>
      <w:tabs>
        <w:tab w:val="left" w:pos="567"/>
      </w:tabs>
      <w:spacing w:line="260" w:lineRule="exact"/>
      <w:jc w:val="both"/>
    </w:pPr>
    <w:rPr>
      <w:sz w:val="22"/>
      <w:lang w:val="en-GB"/>
    </w:rPr>
  </w:style>
  <w:style w:type="paragraph" w:styleId="BodyText2">
    <w:name w:val="Body Text 2"/>
    <w:basedOn w:val="Normal"/>
    <w:pPr>
      <w:widowControl w:val="0"/>
      <w:ind w:left="567" w:hanging="567"/>
    </w:pPr>
    <w:rPr>
      <w:b/>
      <w:sz w:val="22"/>
      <w:lang w:val="en-GB"/>
    </w:rPr>
  </w:style>
  <w:style w:type="character" w:styleId="PageNumber">
    <w:name w:val="page number"/>
    <w:rPr>
      <w:rFonts w:ascii="Helvetica" w:hAnsi="Helvetica"/>
      <w:sz w:val="16"/>
    </w:rPr>
  </w:style>
  <w:style w:type="paragraph" w:styleId="Footer">
    <w:name w:val="footer"/>
    <w:basedOn w:val="Normal"/>
    <w:pPr>
      <w:widowControl w:val="0"/>
      <w:tabs>
        <w:tab w:val="left" w:pos="567"/>
        <w:tab w:val="center" w:pos="4536"/>
        <w:tab w:val="center" w:pos="8930"/>
      </w:tabs>
    </w:pPr>
    <w:rPr>
      <w:rFonts w:ascii="Helvetica" w:hAnsi="Helvetica"/>
      <w:sz w:val="16"/>
      <w:lang w:val="en-GB"/>
    </w:rPr>
  </w:style>
  <w:style w:type="paragraph" w:styleId="Header">
    <w:name w:val="header"/>
    <w:basedOn w:val="Normal"/>
    <w:pPr>
      <w:widowControl w:val="0"/>
      <w:tabs>
        <w:tab w:val="left" w:pos="567"/>
        <w:tab w:val="center" w:pos="4320"/>
        <w:tab w:val="right" w:pos="8640"/>
      </w:tabs>
    </w:pPr>
    <w:rPr>
      <w:rFonts w:ascii="Helvetica" w:hAnsi="Helvetica"/>
      <w:lang w:val="en-GB"/>
    </w:rPr>
  </w:style>
  <w:style w:type="paragraph" w:styleId="BodyText3">
    <w:name w:val="Body Text 3"/>
    <w:basedOn w:val="Normal"/>
    <w:pPr>
      <w:tabs>
        <w:tab w:val="left" w:pos="567"/>
      </w:tabs>
    </w:pPr>
    <w:rPr>
      <w:color w:val="0000FF"/>
      <w:sz w:val="22"/>
    </w:rPr>
  </w:style>
  <w:style w:type="paragraph" w:styleId="BodyTextIndent">
    <w:name w:val="Body Text Indent"/>
    <w:basedOn w:val="Normal"/>
    <w:pPr>
      <w:tabs>
        <w:tab w:val="left" w:pos="567"/>
      </w:tabs>
      <w:ind w:left="562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09" w:hanging="709"/>
    </w:pPr>
    <w:rPr>
      <w:color w:val="0000FF"/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EndnoteText">
    <w:name w:val="endnote text"/>
    <w:basedOn w:val="Normal"/>
    <w:semiHidden/>
    <w:pPr>
      <w:tabs>
        <w:tab w:val="left" w:pos="567"/>
      </w:tabs>
    </w:pPr>
    <w:rPr>
      <w:sz w:val="22"/>
      <w:lang w:val="en-GB"/>
    </w:rPr>
  </w:style>
  <w:style w:type="paragraph" w:customStyle="1" w:styleId="InsideAddress">
    <w:name w:val="Inside Address"/>
    <w:basedOn w:val="Normal"/>
    <w:next w:val="Normal"/>
    <w:pPr>
      <w:keepLines/>
    </w:pPr>
    <w:rPr>
      <w:rFonts w:ascii="Arial" w:hAnsi="Arial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Norma">
    <w:name w:val="Norma"/>
    <w:basedOn w:val="InsideAddress"/>
    <w:pPr>
      <w:keepLines w:val="0"/>
    </w:pPr>
    <w:rPr>
      <w:rFonts w:ascii="Times New Roman" w:hAnsi="Times New Roman"/>
    </w:rPr>
  </w:style>
  <w:style w:type="paragraph" w:customStyle="1" w:styleId="WW-Szvegtrzs212">
    <w:name w:val="WW-Szövegtörzs 212"/>
    <w:basedOn w:val="Normal"/>
    <w:pPr>
      <w:suppressAutoHyphens/>
      <w:spacing w:line="260" w:lineRule="atLeast"/>
      <w:ind w:left="567" w:hanging="567"/>
    </w:pPr>
    <w:rPr>
      <w:b/>
      <w:sz w:val="22"/>
      <w:lang w:val="en-GB"/>
    </w:rPr>
  </w:style>
  <w:style w:type="paragraph" w:customStyle="1" w:styleId="WW-NormlWeb">
    <w:name w:val="WW-Normál (Web)"/>
    <w:basedOn w:val="Normal"/>
    <w:pPr>
      <w:suppressAutoHyphens/>
      <w:spacing w:before="100" w:after="119" w:line="260" w:lineRule="atLeast"/>
    </w:pPr>
    <w:rPr>
      <w:rFonts w:ascii="Arial Unicode MS" w:eastAsia="Arial Unicode MS" w:hAnsi="Arial Unicode MS"/>
      <w:sz w:val="24"/>
      <w:lang w:val="hu-HU"/>
    </w:rPr>
  </w:style>
  <w:style w:type="character" w:styleId="Strong">
    <w:name w:val="Strong"/>
    <w:qFormat/>
    <w:rPr>
      <w:b/>
      <w:bCs/>
    </w:rPr>
  </w:style>
  <w:style w:type="paragraph" w:customStyle="1" w:styleId="Buborkszveg1">
    <w:name w:val="Buborékszöveg1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ltozat1">
    <w:name w:val="Változat1"/>
    <w:hidden/>
    <w:semiHidden/>
    <w:rPr>
      <w:lang w:val="en-US" w:eastAsia="en-US"/>
    </w:rPr>
  </w:style>
  <w:style w:type="paragraph" w:customStyle="1" w:styleId="TitleA">
    <w:name w:val="Title A"/>
    <w:basedOn w:val="Normal"/>
    <w:rsid w:val="000A0A3A"/>
    <w:pPr>
      <w:ind w:left="709" w:hanging="709"/>
      <w:jc w:val="center"/>
    </w:pPr>
    <w:rPr>
      <w:b/>
      <w:sz w:val="22"/>
      <w:szCs w:val="22"/>
      <w:lang w:val="hu-HU"/>
    </w:rPr>
  </w:style>
  <w:style w:type="paragraph" w:customStyle="1" w:styleId="TitleB">
    <w:name w:val="Title B"/>
    <w:basedOn w:val="Normal"/>
    <w:rsid w:val="000A0A3A"/>
    <w:pPr>
      <w:ind w:left="567" w:hanging="567"/>
    </w:pPr>
    <w:rPr>
      <w:b/>
      <w:sz w:val="22"/>
      <w:szCs w:val="22"/>
      <w:lang w:val="hu-HU"/>
    </w:rPr>
  </w:style>
  <w:style w:type="paragraph" w:styleId="BlockText">
    <w:name w:val="Block Text"/>
    <w:basedOn w:val="Normal"/>
    <w:rsid w:val="002E7303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2E7303"/>
    <w:pPr>
      <w:tabs>
        <w:tab w:val="clear" w:pos="567"/>
      </w:tabs>
      <w:spacing w:after="120" w:line="240" w:lineRule="auto"/>
      <w:ind w:firstLine="210"/>
      <w:jc w:val="left"/>
    </w:pPr>
    <w:rPr>
      <w:sz w:val="20"/>
      <w:lang w:val="en-US"/>
    </w:rPr>
  </w:style>
  <w:style w:type="paragraph" w:styleId="BodyTextFirstIndent2">
    <w:name w:val="Body Text First Indent 2"/>
    <w:basedOn w:val="BodyTextIndent"/>
    <w:rsid w:val="002E7303"/>
    <w:pPr>
      <w:tabs>
        <w:tab w:val="clear" w:pos="567"/>
      </w:tabs>
      <w:spacing w:after="120"/>
      <w:ind w:left="360" w:firstLine="210"/>
    </w:pPr>
    <w:rPr>
      <w:sz w:val="20"/>
    </w:rPr>
  </w:style>
  <w:style w:type="paragraph" w:styleId="BodyTextIndent3">
    <w:name w:val="Body Text Indent 3"/>
    <w:basedOn w:val="Normal"/>
    <w:rsid w:val="002E730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E7303"/>
    <w:rPr>
      <w:b/>
      <w:bCs/>
    </w:rPr>
  </w:style>
  <w:style w:type="paragraph" w:styleId="Closing">
    <w:name w:val="Closing"/>
    <w:basedOn w:val="Normal"/>
    <w:rsid w:val="002E7303"/>
    <w:pPr>
      <w:ind w:left="4320"/>
    </w:pPr>
  </w:style>
  <w:style w:type="paragraph" w:styleId="DocumentMap">
    <w:name w:val="Document Map"/>
    <w:basedOn w:val="Normal"/>
    <w:semiHidden/>
    <w:rsid w:val="002E7303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E7303"/>
  </w:style>
  <w:style w:type="paragraph" w:styleId="EnvelopeAddress">
    <w:name w:val="envelope address"/>
    <w:basedOn w:val="Normal"/>
    <w:rsid w:val="002E730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2E7303"/>
    <w:rPr>
      <w:rFonts w:ascii="Arial" w:hAnsi="Arial" w:cs="Arial"/>
    </w:rPr>
  </w:style>
  <w:style w:type="paragraph" w:styleId="HTMLAddress">
    <w:name w:val="HTML Address"/>
    <w:basedOn w:val="Normal"/>
    <w:rsid w:val="002E7303"/>
    <w:rPr>
      <w:i/>
      <w:iCs/>
    </w:rPr>
  </w:style>
  <w:style w:type="paragraph" w:styleId="HTMLPreformatted">
    <w:name w:val="HTML Preformatted"/>
    <w:basedOn w:val="Normal"/>
    <w:rsid w:val="002E730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2E730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E730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E730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E730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2E730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2E730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2E730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2E730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E730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2E7303"/>
    <w:rPr>
      <w:rFonts w:ascii="Arial" w:hAnsi="Arial" w:cs="Arial"/>
      <w:b/>
      <w:bCs/>
    </w:rPr>
  </w:style>
  <w:style w:type="paragraph" w:styleId="List">
    <w:name w:val="List"/>
    <w:basedOn w:val="Normal"/>
    <w:rsid w:val="002E7303"/>
    <w:pPr>
      <w:ind w:left="360" w:hanging="360"/>
    </w:pPr>
  </w:style>
  <w:style w:type="paragraph" w:styleId="List2">
    <w:name w:val="List 2"/>
    <w:basedOn w:val="Normal"/>
    <w:rsid w:val="002E7303"/>
    <w:pPr>
      <w:ind w:left="720" w:hanging="360"/>
    </w:pPr>
  </w:style>
  <w:style w:type="paragraph" w:styleId="List3">
    <w:name w:val="List 3"/>
    <w:basedOn w:val="Normal"/>
    <w:rsid w:val="002E7303"/>
    <w:pPr>
      <w:ind w:left="1080" w:hanging="360"/>
    </w:pPr>
  </w:style>
  <w:style w:type="paragraph" w:styleId="List4">
    <w:name w:val="List 4"/>
    <w:basedOn w:val="Normal"/>
    <w:rsid w:val="002E7303"/>
    <w:pPr>
      <w:ind w:left="1440" w:hanging="360"/>
    </w:pPr>
  </w:style>
  <w:style w:type="paragraph" w:styleId="List5">
    <w:name w:val="List 5"/>
    <w:basedOn w:val="Normal"/>
    <w:rsid w:val="002E7303"/>
    <w:pPr>
      <w:ind w:left="1800" w:hanging="360"/>
    </w:pPr>
  </w:style>
  <w:style w:type="paragraph" w:styleId="ListBullet">
    <w:name w:val="List Bullet"/>
    <w:basedOn w:val="Normal"/>
    <w:rsid w:val="002E7303"/>
    <w:pPr>
      <w:numPr>
        <w:numId w:val="4"/>
      </w:numPr>
    </w:pPr>
  </w:style>
  <w:style w:type="paragraph" w:styleId="ListBullet2">
    <w:name w:val="List Bullet 2"/>
    <w:basedOn w:val="Normal"/>
    <w:rsid w:val="002E7303"/>
    <w:pPr>
      <w:numPr>
        <w:numId w:val="5"/>
      </w:numPr>
    </w:pPr>
  </w:style>
  <w:style w:type="paragraph" w:styleId="ListBullet3">
    <w:name w:val="List Bullet 3"/>
    <w:basedOn w:val="Normal"/>
    <w:rsid w:val="002E7303"/>
    <w:pPr>
      <w:numPr>
        <w:numId w:val="6"/>
      </w:numPr>
    </w:pPr>
  </w:style>
  <w:style w:type="paragraph" w:styleId="ListBullet4">
    <w:name w:val="List Bullet 4"/>
    <w:basedOn w:val="Normal"/>
    <w:rsid w:val="002E7303"/>
    <w:pPr>
      <w:numPr>
        <w:numId w:val="7"/>
      </w:numPr>
    </w:pPr>
  </w:style>
  <w:style w:type="paragraph" w:styleId="ListBullet5">
    <w:name w:val="List Bullet 5"/>
    <w:basedOn w:val="Normal"/>
    <w:rsid w:val="002E7303"/>
    <w:pPr>
      <w:numPr>
        <w:numId w:val="8"/>
      </w:numPr>
    </w:pPr>
  </w:style>
  <w:style w:type="paragraph" w:styleId="ListContinue">
    <w:name w:val="List Continue"/>
    <w:basedOn w:val="Normal"/>
    <w:rsid w:val="002E7303"/>
    <w:pPr>
      <w:spacing w:after="120"/>
      <w:ind w:left="360"/>
    </w:pPr>
  </w:style>
  <w:style w:type="paragraph" w:styleId="ListContinue2">
    <w:name w:val="List Continue 2"/>
    <w:basedOn w:val="Normal"/>
    <w:rsid w:val="002E7303"/>
    <w:pPr>
      <w:spacing w:after="120"/>
      <w:ind w:left="720"/>
    </w:pPr>
  </w:style>
  <w:style w:type="paragraph" w:styleId="ListContinue3">
    <w:name w:val="List Continue 3"/>
    <w:basedOn w:val="Normal"/>
    <w:rsid w:val="002E7303"/>
    <w:pPr>
      <w:spacing w:after="120"/>
      <w:ind w:left="1080"/>
    </w:pPr>
  </w:style>
  <w:style w:type="paragraph" w:styleId="ListContinue4">
    <w:name w:val="List Continue 4"/>
    <w:basedOn w:val="Normal"/>
    <w:rsid w:val="002E7303"/>
    <w:pPr>
      <w:spacing w:after="120"/>
      <w:ind w:left="1440"/>
    </w:pPr>
  </w:style>
  <w:style w:type="paragraph" w:styleId="ListContinue5">
    <w:name w:val="List Continue 5"/>
    <w:basedOn w:val="Normal"/>
    <w:rsid w:val="002E7303"/>
    <w:pPr>
      <w:spacing w:after="120"/>
      <w:ind w:left="1800"/>
    </w:pPr>
  </w:style>
  <w:style w:type="paragraph" w:styleId="ListNumber">
    <w:name w:val="List Number"/>
    <w:basedOn w:val="Normal"/>
    <w:rsid w:val="002E7303"/>
    <w:pPr>
      <w:numPr>
        <w:numId w:val="9"/>
      </w:numPr>
    </w:pPr>
  </w:style>
  <w:style w:type="paragraph" w:styleId="ListNumber2">
    <w:name w:val="List Number 2"/>
    <w:basedOn w:val="Normal"/>
    <w:rsid w:val="002E7303"/>
    <w:pPr>
      <w:numPr>
        <w:numId w:val="10"/>
      </w:numPr>
    </w:pPr>
  </w:style>
  <w:style w:type="paragraph" w:styleId="ListNumber3">
    <w:name w:val="List Number 3"/>
    <w:basedOn w:val="Normal"/>
    <w:rsid w:val="002E7303"/>
    <w:pPr>
      <w:numPr>
        <w:numId w:val="11"/>
      </w:numPr>
    </w:pPr>
  </w:style>
  <w:style w:type="paragraph" w:styleId="ListNumber4">
    <w:name w:val="List Number 4"/>
    <w:basedOn w:val="Normal"/>
    <w:rsid w:val="002E7303"/>
    <w:pPr>
      <w:numPr>
        <w:numId w:val="12"/>
      </w:numPr>
    </w:pPr>
  </w:style>
  <w:style w:type="paragraph" w:styleId="ListNumber5">
    <w:name w:val="List Number 5"/>
    <w:basedOn w:val="Normal"/>
    <w:rsid w:val="002E7303"/>
    <w:pPr>
      <w:numPr>
        <w:numId w:val="13"/>
      </w:numPr>
    </w:pPr>
  </w:style>
  <w:style w:type="paragraph" w:styleId="MacroText">
    <w:name w:val="macro"/>
    <w:semiHidden/>
    <w:rsid w:val="002E73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2E73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2E7303"/>
    <w:rPr>
      <w:sz w:val="24"/>
      <w:szCs w:val="24"/>
    </w:rPr>
  </w:style>
  <w:style w:type="paragraph" w:styleId="NormalIndent">
    <w:name w:val="Normal Indent"/>
    <w:basedOn w:val="Normal"/>
    <w:rsid w:val="002E7303"/>
    <w:pPr>
      <w:ind w:left="720"/>
    </w:pPr>
  </w:style>
  <w:style w:type="paragraph" w:styleId="NoteHeading">
    <w:name w:val="Note Heading"/>
    <w:basedOn w:val="Normal"/>
    <w:next w:val="Normal"/>
    <w:rsid w:val="002E7303"/>
  </w:style>
  <w:style w:type="paragraph" w:styleId="Salutation">
    <w:name w:val="Salutation"/>
    <w:basedOn w:val="Normal"/>
    <w:next w:val="Normal"/>
    <w:rsid w:val="002E7303"/>
  </w:style>
  <w:style w:type="paragraph" w:styleId="Signature">
    <w:name w:val="Signature"/>
    <w:basedOn w:val="Normal"/>
    <w:rsid w:val="002E7303"/>
    <w:pPr>
      <w:ind w:left="4320"/>
    </w:pPr>
  </w:style>
  <w:style w:type="paragraph" w:styleId="Subtitle">
    <w:name w:val="Subtitle"/>
    <w:basedOn w:val="Normal"/>
    <w:qFormat/>
    <w:rsid w:val="002E730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2E730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2E7303"/>
  </w:style>
  <w:style w:type="paragraph" w:styleId="TOAHeading">
    <w:name w:val="toa heading"/>
    <w:basedOn w:val="Normal"/>
    <w:next w:val="Normal"/>
    <w:semiHidden/>
    <w:rsid w:val="002E730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2E7303"/>
  </w:style>
  <w:style w:type="paragraph" w:styleId="TOC2">
    <w:name w:val="toc 2"/>
    <w:basedOn w:val="Normal"/>
    <w:next w:val="Normal"/>
    <w:autoRedefine/>
    <w:semiHidden/>
    <w:rsid w:val="002E7303"/>
    <w:pPr>
      <w:ind w:left="200"/>
    </w:pPr>
  </w:style>
  <w:style w:type="paragraph" w:styleId="TOC3">
    <w:name w:val="toc 3"/>
    <w:basedOn w:val="Normal"/>
    <w:next w:val="Normal"/>
    <w:autoRedefine/>
    <w:semiHidden/>
    <w:rsid w:val="002E7303"/>
    <w:pPr>
      <w:ind w:left="400"/>
    </w:pPr>
  </w:style>
  <w:style w:type="paragraph" w:styleId="TOC4">
    <w:name w:val="toc 4"/>
    <w:basedOn w:val="Normal"/>
    <w:next w:val="Normal"/>
    <w:autoRedefine/>
    <w:semiHidden/>
    <w:rsid w:val="002E7303"/>
    <w:pPr>
      <w:ind w:left="600"/>
    </w:pPr>
  </w:style>
  <w:style w:type="paragraph" w:styleId="TOC5">
    <w:name w:val="toc 5"/>
    <w:basedOn w:val="Normal"/>
    <w:next w:val="Normal"/>
    <w:autoRedefine/>
    <w:semiHidden/>
    <w:rsid w:val="002E7303"/>
    <w:pPr>
      <w:ind w:left="800"/>
    </w:pPr>
  </w:style>
  <w:style w:type="paragraph" w:styleId="TOC6">
    <w:name w:val="toc 6"/>
    <w:basedOn w:val="Normal"/>
    <w:next w:val="Normal"/>
    <w:autoRedefine/>
    <w:semiHidden/>
    <w:rsid w:val="002E7303"/>
    <w:pPr>
      <w:ind w:left="1000"/>
    </w:pPr>
  </w:style>
  <w:style w:type="paragraph" w:styleId="TOC7">
    <w:name w:val="toc 7"/>
    <w:basedOn w:val="Normal"/>
    <w:next w:val="Normal"/>
    <w:autoRedefine/>
    <w:semiHidden/>
    <w:rsid w:val="002E7303"/>
    <w:pPr>
      <w:ind w:left="1200"/>
    </w:pPr>
  </w:style>
  <w:style w:type="paragraph" w:styleId="TOC8">
    <w:name w:val="toc 8"/>
    <w:basedOn w:val="Normal"/>
    <w:next w:val="Normal"/>
    <w:autoRedefine/>
    <w:semiHidden/>
    <w:rsid w:val="002E7303"/>
    <w:pPr>
      <w:ind w:left="1400"/>
    </w:pPr>
  </w:style>
  <w:style w:type="paragraph" w:styleId="TOC9">
    <w:name w:val="toc 9"/>
    <w:basedOn w:val="Normal"/>
    <w:next w:val="Normal"/>
    <w:autoRedefine/>
    <w:semiHidden/>
    <w:rsid w:val="002E7303"/>
    <w:pPr>
      <w:ind w:left="1600"/>
    </w:pPr>
  </w:style>
  <w:style w:type="paragraph" w:customStyle="1" w:styleId="PILbullets">
    <w:name w:val="PIL bullets"/>
    <w:basedOn w:val="Normal"/>
    <w:rsid w:val="00187644"/>
    <w:pPr>
      <w:numPr>
        <w:numId w:val="15"/>
      </w:numPr>
    </w:pPr>
    <w:rPr>
      <w:sz w:val="22"/>
      <w:szCs w:val="22"/>
      <w:lang w:val="en-GB"/>
    </w:rPr>
  </w:style>
  <w:style w:type="paragraph" w:styleId="Revision">
    <w:name w:val="Revision"/>
    <w:hidden/>
    <w:uiPriority w:val="99"/>
    <w:semiHidden/>
    <w:rsid w:val="003E4170"/>
    <w:rPr>
      <w:lang w:val="en-US" w:eastAsia="en-US"/>
    </w:rPr>
  </w:style>
  <w:style w:type="paragraph" w:customStyle="1" w:styleId="Heading2bulleted">
    <w:name w:val="Heading 2 bulleted"/>
    <w:basedOn w:val="Normal"/>
    <w:rsid w:val="00283841"/>
    <w:pPr>
      <w:numPr>
        <w:numId w:val="18"/>
      </w:numPr>
    </w:pPr>
    <w:rPr>
      <w:b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54A76"/>
    <w:pPr>
      <w:ind w:left="720"/>
    </w:pPr>
  </w:style>
  <w:style w:type="character" w:customStyle="1" w:styleId="CommentTextChar">
    <w:name w:val="Comment Text Char"/>
    <w:link w:val="CommentText"/>
    <w:semiHidden/>
    <w:rsid w:val="00A43FBD"/>
  </w:style>
  <w:style w:type="paragraph" w:styleId="Bibliography">
    <w:name w:val="Bibliography"/>
    <w:basedOn w:val="Normal"/>
    <w:next w:val="Normal"/>
    <w:uiPriority w:val="37"/>
    <w:semiHidden/>
    <w:unhideWhenUsed/>
    <w:rsid w:val="00C0396E"/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6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0396E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C0396E"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0396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0396E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qFormat/>
    <w:rsid w:val="00C0396E"/>
    <w:pPr>
      <w:spacing w:before="240" w:after="60"/>
      <w:outlineLvl w:val="9"/>
    </w:pPr>
    <w:rPr>
      <w:rFonts w:ascii="Cambria" w:hAnsi="Cambria"/>
      <w:b/>
      <w:bCs/>
      <w:kern w:val="32"/>
      <w:sz w:val="32"/>
      <w:szCs w:val="32"/>
    </w:rPr>
  </w:style>
  <w:style w:type="paragraph" w:customStyle="1" w:styleId="BodytextAgency">
    <w:name w:val="Body text (Agency)"/>
    <w:basedOn w:val="Normal"/>
    <w:link w:val="BodytextAgencyChar"/>
    <w:qFormat/>
    <w:rsid w:val="00152EFB"/>
    <w:pPr>
      <w:spacing w:after="140" w:line="280" w:lineRule="atLeast"/>
    </w:pPr>
    <w:rPr>
      <w:rFonts w:ascii="Verdana" w:eastAsia="Verdana" w:hAnsi="Verdana"/>
      <w:sz w:val="18"/>
      <w:szCs w:val="18"/>
      <w:lang w:val="hu-HU" w:eastAsia="hu-HU" w:bidi="hu-HU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152EFB"/>
    <w:pPr>
      <w:spacing w:after="140" w:line="280" w:lineRule="atLeast"/>
    </w:pPr>
    <w:rPr>
      <w:rFonts w:ascii="Courier New" w:eastAsia="Verdana" w:hAnsi="Courier New"/>
      <w:i/>
      <w:color w:val="339966"/>
      <w:sz w:val="22"/>
      <w:szCs w:val="18"/>
      <w:lang w:val="hu-HU" w:eastAsia="hu-HU" w:bidi="hu-HU"/>
    </w:rPr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152EFB"/>
    <w:pPr>
      <w:keepNext/>
      <w:spacing w:before="280" w:after="220"/>
      <w:outlineLvl w:val="2"/>
    </w:pPr>
    <w:rPr>
      <w:rFonts w:ascii="Verdana" w:eastAsia="Verdana" w:hAnsi="Verdana"/>
      <w:b/>
      <w:bCs/>
      <w:kern w:val="32"/>
      <w:sz w:val="22"/>
      <w:szCs w:val="22"/>
      <w:lang w:val="hu-HU" w:eastAsia="hu-HU" w:bidi="hu-HU"/>
    </w:rPr>
  </w:style>
  <w:style w:type="character" w:customStyle="1" w:styleId="DraftingNotesAgencyChar">
    <w:name w:val="Drafting Notes (Agency) Char"/>
    <w:link w:val="DraftingNotesAgency"/>
    <w:rsid w:val="00152EFB"/>
    <w:rPr>
      <w:rFonts w:ascii="Courier New" w:eastAsia="Verdana" w:hAnsi="Courier New"/>
      <w:i/>
      <w:color w:val="339966"/>
      <w:sz w:val="22"/>
      <w:szCs w:val="18"/>
      <w:lang w:val="hu-HU" w:eastAsia="hu-HU" w:bidi="hu-HU"/>
    </w:rPr>
  </w:style>
  <w:style w:type="character" w:customStyle="1" w:styleId="BodytextAgencyChar">
    <w:name w:val="Body text (Agency) Char"/>
    <w:link w:val="BodytextAgency"/>
    <w:rsid w:val="00152EFB"/>
    <w:rPr>
      <w:rFonts w:ascii="Verdana" w:eastAsia="Verdana" w:hAnsi="Verdana"/>
      <w:sz w:val="18"/>
      <w:szCs w:val="18"/>
      <w:lang w:val="hu-HU" w:eastAsia="hu-HU" w:bidi="hu-HU"/>
    </w:rPr>
  </w:style>
  <w:style w:type="character" w:customStyle="1" w:styleId="No-numheading3AgencyChar">
    <w:name w:val="No-num heading 3 (Agency) Char"/>
    <w:link w:val="No-numheading3Agency"/>
    <w:rsid w:val="00152EFB"/>
    <w:rPr>
      <w:rFonts w:ascii="Verdana" w:eastAsia="Verdana" w:hAnsi="Verdana"/>
      <w:b/>
      <w:bCs/>
      <w:kern w:val="32"/>
      <w:sz w:val="22"/>
      <w:szCs w:val="22"/>
      <w:lang w:val="hu-HU" w:eastAsia="hu-HU" w:bidi="hu-HU"/>
    </w:rPr>
  </w:style>
  <w:style w:type="character" w:customStyle="1" w:styleId="FootnoteTextChar">
    <w:name w:val="Footnote Text Char"/>
    <w:link w:val="FootnoteText"/>
    <w:rsid w:val="003A4464"/>
  </w:style>
  <w:style w:type="paragraph" w:customStyle="1" w:styleId="PILMAHaddress">
    <w:name w:val="PIL MAH address"/>
    <w:basedOn w:val="Normal"/>
    <w:rsid w:val="00C26888"/>
    <w:pPr>
      <w:tabs>
        <w:tab w:val="left" w:pos="4320"/>
      </w:tabs>
    </w:pPr>
    <w:rPr>
      <w:sz w:val="22"/>
      <w:szCs w:val="22"/>
      <w:lang w:val="en-GB"/>
    </w:rPr>
  </w:style>
  <w:style w:type="paragraph" w:customStyle="1" w:styleId="Default">
    <w:name w:val="Default"/>
    <w:rsid w:val="00E14D58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97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22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4" w:color="E3E3E3"/>
                                    <w:left w:val="single" w:sz="6" w:space="14" w:color="E3E3E3"/>
                                    <w:bottom w:val="single" w:sz="6" w:space="14" w:color="E3E3E3"/>
                                    <w:right w:val="single" w:sz="6" w:space="14" w:color="E3E3E3"/>
                                  </w:divBdr>
                                  <w:divsChild>
                                    <w:div w:id="15594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0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1EBF2-0093-4755-8471-5ECB077ECC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DAEF9-F049-4496-B290-E12CC388C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0774F-579D-4ED8-BCF9-7B924F5222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EC56BF-2A41-497F-965C-FA121C29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17549</Words>
  <Characters>100034</Characters>
  <Application>Microsoft Office Word</Application>
  <DocSecurity>0</DocSecurity>
  <Lines>833</Lines>
  <Paragraphs>234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emea-combined-h-236-hu-highlighted</vt:lpstr>
      <vt:lpstr>Ferriprox, INN-deferiprone</vt:lpstr>
    </vt:vector>
  </TitlesOfParts>
  <Company>Apotex Inc.</Company>
  <LinksUpToDate>false</LinksUpToDate>
  <CharactersWithSpaces>117349</CharactersWithSpaces>
  <SharedDoc>false</SharedDoc>
  <HLinks>
    <vt:vector size="30" baseType="variant"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emea-combined-h-236-hu-highlighted</dc:title>
  <dc:subject>EPAR</dc:subject>
  <dc:creator>CHMP</dc:creator>
  <cp:keywords>Ferriprox, INN-deferiprone</cp:keywords>
  <cp:lastModifiedBy>Voutsas Achilleas</cp:lastModifiedBy>
  <cp:revision>2</cp:revision>
  <cp:lastPrinted>2004-03-21T16:58:00Z</cp:lastPrinted>
  <dcterms:created xsi:type="dcterms:W3CDTF">2021-06-03T23:46:00Z</dcterms:created>
  <dcterms:modified xsi:type="dcterms:W3CDTF">2021-06-03T23:46:00Z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Author">
    <vt:lpwstr/>
  </property>
  <property fmtid="{D5CDD505-2E9C-101B-9397-08002B2CF9AE}" pid="3" name="DM_Authors">
    <vt:lpwstr/>
  </property>
  <property fmtid="{D5CDD505-2E9C-101B-9397-08002B2CF9AE}" pid="4" name="DM_Category">
    <vt:lpwstr>Application-Submission</vt:lpwstr>
  </property>
  <property fmtid="{D5CDD505-2E9C-101B-9397-08002B2CF9AE}" pid="5" name="DM_Creation_Date">
    <vt:lpwstr>07/01/2021 11:56:07</vt:lpwstr>
  </property>
  <property fmtid="{D5CDD505-2E9C-101B-9397-08002B2CF9AE}" pid="6" name="DM_Creator_Name">
    <vt:lpwstr>Pieri Hanna</vt:lpwstr>
  </property>
  <property fmtid="{D5CDD505-2E9C-101B-9397-08002B2CF9AE}" pid="7" name="DM_DocRefId">
    <vt:lpwstr>EMA/9413/2021</vt:lpwstr>
  </property>
  <property fmtid="{D5CDD505-2E9C-101B-9397-08002B2CF9AE}" pid="8" name="DM_emea_bcc">
    <vt:lpwstr/>
  </property>
  <property fmtid="{D5CDD505-2E9C-101B-9397-08002B2CF9AE}" pid="9" name="DM_emea_cc">
    <vt:lpwstr/>
  </property>
  <property fmtid="{D5CDD505-2E9C-101B-9397-08002B2CF9AE}" pid="10" name="DM_emea_doc_category">
    <vt:lpwstr>Product Information</vt:lpwstr>
  </property>
  <property fmtid="{D5CDD505-2E9C-101B-9397-08002B2CF9AE}" pid="11" name="DM_emea_doc_lang">
    <vt:lpwstr/>
  </property>
  <property fmtid="{D5CDD505-2E9C-101B-9397-08002B2CF9AE}" pid="12" name="DM_emea_doc_number">
    <vt:lpwstr>487158</vt:lpwstr>
  </property>
  <property fmtid="{D5CDD505-2E9C-101B-9397-08002B2CF9AE}" pid="13" name="DM_emea_doc_ref_id">
    <vt:lpwstr>EMA/9413/2021</vt:lpwstr>
  </property>
  <property fmtid="{D5CDD505-2E9C-101B-9397-08002B2CF9AE}" pid="14" name="DM_emea_domain">
    <vt:lpwstr>H</vt:lpwstr>
  </property>
  <property fmtid="{D5CDD505-2E9C-101B-9397-08002B2CF9AE}" pid="15" name="DM_emea_from">
    <vt:lpwstr/>
  </property>
  <property fmtid="{D5CDD505-2E9C-101B-9397-08002B2CF9AE}" pid="16" name="DM_emea_internal_label">
    <vt:lpwstr>EMEA</vt:lpwstr>
  </property>
  <property fmtid="{D5CDD505-2E9C-101B-9397-08002B2CF9AE}" pid="17" name="DM_emea_legal_date">
    <vt:lpwstr>nulldate</vt:lpwstr>
  </property>
  <property fmtid="{D5CDD505-2E9C-101B-9397-08002B2CF9AE}" pid="18" name="DM_emea_meeting_action">
    <vt:lpwstr/>
  </property>
  <property fmtid="{D5CDD505-2E9C-101B-9397-08002B2CF9AE}" pid="19" name="DM_emea_meeting_flags">
    <vt:lpwstr/>
  </property>
  <property fmtid="{D5CDD505-2E9C-101B-9397-08002B2CF9AE}" pid="20" name="DM_emea_meeting_hyperlink">
    <vt:lpwstr/>
  </property>
  <property fmtid="{D5CDD505-2E9C-101B-9397-08002B2CF9AE}" pid="21" name="DM_emea_meeting_ref">
    <vt:lpwstr/>
  </property>
  <property fmtid="{D5CDD505-2E9C-101B-9397-08002B2CF9AE}" pid="22" name="DM_emea_meeting_status">
    <vt:lpwstr/>
  </property>
  <property fmtid="{D5CDD505-2E9C-101B-9397-08002B2CF9AE}" pid="23" name="DM_emea_meeting_title">
    <vt:lpwstr/>
  </property>
  <property fmtid="{D5CDD505-2E9C-101B-9397-08002B2CF9AE}" pid="24" name="DM_emea_message_subject">
    <vt:lpwstr/>
  </property>
  <property fmtid="{D5CDD505-2E9C-101B-9397-08002B2CF9AE}" pid="25" name="DM_emea_module">
    <vt:lpwstr/>
  </property>
  <property fmtid="{D5CDD505-2E9C-101B-9397-08002B2CF9AE}" pid="26" name="DM_emea_par_dist">
    <vt:lpwstr/>
  </property>
  <property fmtid="{D5CDD505-2E9C-101B-9397-08002B2CF9AE}" pid="27" name="DM_emea_procedure">
    <vt:lpwstr>C</vt:lpwstr>
  </property>
  <property fmtid="{D5CDD505-2E9C-101B-9397-08002B2CF9AE}" pid="28" name="DM_emea_procedure_number">
    <vt:lpwstr/>
  </property>
  <property fmtid="{D5CDD505-2E9C-101B-9397-08002B2CF9AE}" pid="29" name="DM_emea_procedure_ref">
    <vt:lpwstr>H/C/000236</vt:lpwstr>
  </property>
  <property fmtid="{D5CDD505-2E9C-101B-9397-08002B2CF9AE}" pid="30" name="DM_emea_procedure_type">
    <vt:lpwstr/>
  </property>
  <property fmtid="{D5CDD505-2E9C-101B-9397-08002B2CF9AE}" pid="31" name="DM_emea_product_number">
    <vt:lpwstr>000236</vt:lpwstr>
  </property>
  <property fmtid="{D5CDD505-2E9C-101B-9397-08002B2CF9AE}" pid="32" name="DM_emea_product_substance">
    <vt:lpwstr>Ferriprox</vt:lpwstr>
  </property>
  <property fmtid="{D5CDD505-2E9C-101B-9397-08002B2CF9AE}" pid="33" name="DM_emea_received_date">
    <vt:lpwstr>nulldate</vt:lpwstr>
  </property>
  <property fmtid="{D5CDD505-2E9C-101B-9397-08002B2CF9AE}" pid="34" name="DM_emea_resp_body">
    <vt:lpwstr/>
  </property>
  <property fmtid="{D5CDD505-2E9C-101B-9397-08002B2CF9AE}" pid="35" name="DM_emea_revision_label">
    <vt:lpwstr/>
  </property>
  <property fmtid="{D5CDD505-2E9C-101B-9397-08002B2CF9AE}" pid="36" name="DM_emea_sent_date">
    <vt:lpwstr>nulldate</vt:lpwstr>
  </property>
  <property fmtid="{D5CDD505-2E9C-101B-9397-08002B2CF9AE}" pid="37" name="DM_emea_to">
    <vt:lpwstr/>
  </property>
  <property fmtid="{D5CDD505-2E9C-101B-9397-08002B2CF9AE}" pid="38" name="DM_emea_year">
    <vt:lpwstr>2007</vt:lpwstr>
  </property>
  <property fmtid="{D5CDD505-2E9C-101B-9397-08002B2CF9AE}" pid="39" name="DM_Keywords">
    <vt:lpwstr/>
  </property>
  <property fmtid="{D5CDD505-2E9C-101B-9397-08002B2CF9AE}" pid="40" name="DM_Language">
    <vt:lpwstr/>
  </property>
  <property fmtid="{D5CDD505-2E9C-101B-9397-08002B2CF9AE}" pid="41" name="DM_Modifer_Name">
    <vt:lpwstr>Pieri Hanna</vt:lpwstr>
  </property>
  <property fmtid="{D5CDD505-2E9C-101B-9397-08002B2CF9AE}" pid="42" name="DM_Modified_Date">
    <vt:lpwstr>07/01/2021 11:56:07</vt:lpwstr>
  </property>
  <property fmtid="{D5CDD505-2E9C-101B-9397-08002B2CF9AE}" pid="43" name="DM_Modifier_Name">
    <vt:lpwstr>Pieri Hanna</vt:lpwstr>
  </property>
  <property fmtid="{D5CDD505-2E9C-101B-9397-08002B2CF9AE}" pid="44" name="DM_Modify_Date">
    <vt:lpwstr>07/01/2021 11:56:07</vt:lpwstr>
  </property>
  <property fmtid="{D5CDD505-2E9C-101B-9397-08002B2CF9AE}" pid="45" name="DM_Name">
    <vt:lpwstr>emea-combined-h-236-hu-highlighted</vt:lpwstr>
  </property>
  <property fmtid="{D5CDD505-2E9C-101B-9397-08002B2CF9AE}" pid="46" name="DM_Owner">
    <vt:lpwstr>Palencia Maria Jose</vt:lpwstr>
  </property>
  <property fmtid="{D5CDD505-2E9C-101B-9397-08002B2CF9AE}" pid="47" name="DM_Path">
    <vt:lpwstr>/01. Evaluation of Medicines/H-C/D-F/Ferriprox-000236/05 Post Authorisation/Post Activities/2021-xx-xx-236-IA-0152/01 Submiccions and Validation/0175-workingdocuments</vt:lpwstr>
  </property>
  <property fmtid="{D5CDD505-2E9C-101B-9397-08002B2CF9AE}" pid="48" name="DM_Status">
    <vt:lpwstr/>
  </property>
  <property fmtid="{D5CDD505-2E9C-101B-9397-08002B2CF9AE}" pid="49" name="DM_Subject">
    <vt:lpwstr/>
  </property>
  <property fmtid="{D5CDD505-2E9C-101B-9397-08002B2CF9AE}" pid="50" name="DM_Title">
    <vt:lpwstr/>
  </property>
  <property fmtid="{D5CDD505-2E9C-101B-9397-08002B2CF9AE}" pid="51" name="DM_Type">
    <vt:lpwstr>emea_document</vt:lpwstr>
  </property>
  <property fmtid="{D5CDD505-2E9C-101B-9397-08002B2CF9AE}" pid="52" name="DM_Version">
    <vt:lpwstr>1.0,CURRENT</vt:lpwstr>
  </property>
  <property fmtid="{D5CDD505-2E9C-101B-9397-08002B2CF9AE}" pid="53" name="EMEADocClassificationCode">
    <vt:lpwstr>C</vt:lpwstr>
  </property>
  <property fmtid="{D5CDD505-2E9C-101B-9397-08002B2CF9AE}" pid="54" name="EMEADocClassificationText">
    <vt:lpwstr>Confidential</vt:lpwstr>
  </property>
  <property fmtid="{D5CDD505-2E9C-101B-9397-08002B2CF9AE}" pid="55" name="EMEADocDateDay">
    <vt:lpwstr>22</vt:lpwstr>
  </property>
  <property fmtid="{D5CDD505-2E9C-101B-9397-08002B2CF9AE}" pid="56" name="EMEADocDateMonth">
    <vt:lpwstr>November</vt:lpwstr>
  </property>
  <property fmtid="{D5CDD505-2E9C-101B-9397-08002B2CF9AE}" pid="57" name="EMEADocDateYear">
    <vt:lpwstr>1999</vt:lpwstr>
  </property>
  <property fmtid="{D5CDD505-2E9C-101B-9397-08002B2CF9AE}" pid="58" name="EMEADocLanguage">
    <vt:lpwstr>EN</vt:lpwstr>
  </property>
  <property fmtid="{D5CDD505-2E9C-101B-9397-08002B2CF9AE}" pid="59" name="EMEADocRefFull">
    <vt:lpwstr>EMEA/CPMP/3145/99/EN</vt:lpwstr>
  </property>
  <property fmtid="{D5CDD505-2E9C-101B-9397-08002B2CF9AE}" pid="60" name="EMEADocRefNum">
    <vt:lpwstr>3145</vt:lpwstr>
  </property>
  <property fmtid="{D5CDD505-2E9C-101B-9397-08002B2CF9AE}" pid="61" name="EMEADocRefPart0">
    <vt:lpwstr>EMEA</vt:lpwstr>
  </property>
  <property fmtid="{D5CDD505-2E9C-101B-9397-08002B2CF9AE}" pid="62" name="EMEADocRefPart1">
    <vt:lpwstr>CPMP</vt:lpwstr>
  </property>
  <property fmtid="{D5CDD505-2E9C-101B-9397-08002B2CF9AE}" pid="63" name="EMEADocRefPart2">
    <vt:lpwstr/>
  </property>
  <property fmtid="{D5CDD505-2E9C-101B-9397-08002B2CF9AE}" pid="64" name="EMEADocRefPart3">
    <vt:lpwstr/>
  </property>
  <property fmtid="{D5CDD505-2E9C-101B-9397-08002B2CF9AE}" pid="65" name="EMEADocRefPartFreeText">
    <vt:lpwstr/>
  </property>
  <property fmtid="{D5CDD505-2E9C-101B-9397-08002B2CF9AE}" pid="66" name="EMEADocRefRoot">
    <vt:lpwstr>EMEA/CPMP/3145/99</vt:lpwstr>
  </property>
  <property fmtid="{D5CDD505-2E9C-101B-9397-08002B2CF9AE}" pid="67" name="EMEADocRefYear">
    <vt:lpwstr>99</vt:lpwstr>
  </property>
  <property fmtid="{D5CDD505-2E9C-101B-9397-08002B2CF9AE}" pid="68" name="EMEADocStatus">
    <vt:lpwstr/>
  </property>
  <property fmtid="{D5CDD505-2E9C-101B-9397-08002B2CF9AE}" pid="69" name="EMEADocTitle">
    <vt:lpwstr>Ferriprox I-01</vt:lpwstr>
  </property>
  <property fmtid="{D5CDD505-2E9C-101B-9397-08002B2CF9AE}" pid="70" name="EMEADocTypeCode">
    <vt:lpwstr>plit</vt:lpwstr>
  </property>
  <property fmtid="{D5CDD505-2E9C-101B-9397-08002B2CF9AE}" pid="71" name="MSIP_Label_0eea11ca-d417-4147-80ed-01a58412c458_Enabled">
    <vt:lpwstr>true</vt:lpwstr>
  </property>
  <property fmtid="{D5CDD505-2E9C-101B-9397-08002B2CF9AE}" pid="72" name="MSIP_Label_0eea11ca-d417-4147-80ed-01a58412c458_SetDate">
    <vt:lpwstr>2021-06-03T23:46:09Z</vt:lpwstr>
  </property>
  <property fmtid="{D5CDD505-2E9C-101B-9397-08002B2CF9AE}" pid="73" name="MSIP_Label_0eea11ca-d417-4147-80ed-01a58412c458_Method">
    <vt:lpwstr>Standard</vt:lpwstr>
  </property>
  <property fmtid="{D5CDD505-2E9C-101B-9397-08002B2CF9AE}" pid="74" name="MSIP_Label_0eea11ca-d417-4147-80ed-01a58412c458_Name">
    <vt:lpwstr>0eea11ca-d417-4147-80ed-01a58412c458</vt:lpwstr>
  </property>
  <property fmtid="{D5CDD505-2E9C-101B-9397-08002B2CF9AE}" pid="75" name="MSIP_Label_0eea11ca-d417-4147-80ed-01a58412c458_SiteId">
    <vt:lpwstr>bc9dc15c-61bc-4f03-b60b-e5b6d8922839</vt:lpwstr>
  </property>
  <property fmtid="{D5CDD505-2E9C-101B-9397-08002B2CF9AE}" pid="76" name="MSIP_Label_0eea11ca-d417-4147-80ed-01a58412c458_ActionId">
    <vt:lpwstr>c6d5fef7-ac83-4d26-8149-13f756df0f7f</vt:lpwstr>
  </property>
  <property fmtid="{D5CDD505-2E9C-101B-9397-08002B2CF9AE}" pid="77" name="MSIP_Label_0eea11ca-d417-4147-80ed-01a58412c458_ContentBits">
    <vt:lpwstr>2</vt:lpwstr>
  </property>
</Properties>
</file>