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4FAF6" w14:textId="77777777" w:rsidR="001636FA" w:rsidRPr="00797A3C" w:rsidRDefault="001636FA" w:rsidP="0063575E">
      <w:pPr>
        <w:widowControl w:val="0"/>
        <w:tabs>
          <w:tab w:val="clear" w:pos="567"/>
        </w:tabs>
        <w:spacing w:line="240" w:lineRule="auto"/>
        <w:rPr>
          <w:color w:val="000000"/>
          <w:lang w:val="en-US"/>
        </w:rPr>
      </w:pPr>
      <w:bookmarkStart w:id="0" w:name="_GoBack"/>
      <w:bookmarkEnd w:id="0"/>
    </w:p>
    <w:p w14:paraId="3E54FAF7" w14:textId="77777777" w:rsidR="001636FA" w:rsidRPr="00450FA2" w:rsidRDefault="001636FA" w:rsidP="0063575E">
      <w:pPr>
        <w:widowControl w:val="0"/>
        <w:tabs>
          <w:tab w:val="clear" w:pos="567"/>
        </w:tabs>
        <w:spacing w:line="240" w:lineRule="auto"/>
        <w:rPr>
          <w:color w:val="000000"/>
          <w:lang w:val="bg-BG"/>
        </w:rPr>
      </w:pPr>
    </w:p>
    <w:p w14:paraId="3E54FAF8" w14:textId="77777777" w:rsidR="001636FA" w:rsidRPr="00450FA2" w:rsidRDefault="001636FA" w:rsidP="0063575E">
      <w:pPr>
        <w:widowControl w:val="0"/>
        <w:tabs>
          <w:tab w:val="clear" w:pos="567"/>
        </w:tabs>
        <w:spacing w:line="240" w:lineRule="auto"/>
        <w:rPr>
          <w:color w:val="000000"/>
          <w:lang w:val="bg-BG"/>
        </w:rPr>
      </w:pPr>
    </w:p>
    <w:p w14:paraId="3E54FAF9" w14:textId="77777777" w:rsidR="001636FA" w:rsidRPr="00450FA2" w:rsidRDefault="001636FA" w:rsidP="0063575E">
      <w:pPr>
        <w:widowControl w:val="0"/>
        <w:tabs>
          <w:tab w:val="clear" w:pos="567"/>
        </w:tabs>
        <w:spacing w:line="240" w:lineRule="auto"/>
        <w:rPr>
          <w:color w:val="000000"/>
          <w:lang w:val="bg-BG"/>
        </w:rPr>
      </w:pPr>
    </w:p>
    <w:p w14:paraId="3E54FAFA" w14:textId="77777777" w:rsidR="001636FA" w:rsidRPr="00450FA2" w:rsidRDefault="001636FA" w:rsidP="0063575E">
      <w:pPr>
        <w:widowControl w:val="0"/>
        <w:tabs>
          <w:tab w:val="clear" w:pos="567"/>
        </w:tabs>
        <w:spacing w:line="240" w:lineRule="auto"/>
        <w:rPr>
          <w:color w:val="000000"/>
          <w:lang w:val="bg-BG"/>
        </w:rPr>
      </w:pPr>
    </w:p>
    <w:p w14:paraId="3E54FAFB" w14:textId="77777777" w:rsidR="001636FA" w:rsidRPr="00450FA2" w:rsidRDefault="001636FA" w:rsidP="0063575E">
      <w:pPr>
        <w:widowControl w:val="0"/>
        <w:tabs>
          <w:tab w:val="clear" w:pos="567"/>
        </w:tabs>
        <w:spacing w:line="240" w:lineRule="auto"/>
        <w:rPr>
          <w:color w:val="000000"/>
          <w:lang w:val="bg-BG"/>
        </w:rPr>
      </w:pPr>
    </w:p>
    <w:p w14:paraId="3E54FAFC" w14:textId="77777777" w:rsidR="001636FA" w:rsidRPr="00450FA2" w:rsidRDefault="001636FA" w:rsidP="0063575E">
      <w:pPr>
        <w:widowControl w:val="0"/>
        <w:tabs>
          <w:tab w:val="clear" w:pos="567"/>
        </w:tabs>
        <w:spacing w:line="240" w:lineRule="auto"/>
        <w:rPr>
          <w:color w:val="000000"/>
          <w:lang w:val="bg-BG"/>
        </w:rPr>
      </w:pPr>
    </w:p>
    <w:p w14:paraId="3E54FAFD" w14:textId="77777777" w:rsidR="001636FA" w:rsidRPr="00450FA2" w:rsidRDefault="001636FA" w:rsidP="0063575E">
      <w:pPr>
        <w:widowControl w:val="0"/>
        <w:tabs>
          <w:tab w:val="clear" w:pos="567"/>
        </w:tabs>
        <w:spacing w:line="240" w:lineRule="auto"/>
        <w:rPr>
          <w:color w:val="000000"/>
          <w:lang w:val="bg-BG"/>
        </w:rPr>
      </w:pPr>
    </w:p>
    <w:p w14:paraId="3E54FAFE" w14:textId="77777777" w:rsidR="001636FA" w:rsidRPr="00450FA2" w:rsidRDefault="001636FA" w:rsidP="0063575E">
      <w:pPr>
        <w:widowControl w:val="0"/>
        <w:tabs>
          <w:tab w:val="clear" w:pos="567"/>
        </w:tabs>
        <w:spacing w:line="240" w:lineRule="auto"/>
        <w:rPr>
          <w:color w:val="000000"/>
          <w:lang w:val="bg-BG"/>
        </w:rPr>
      </w:pPr>
    </w:p>
    <w:p w14:paraId="3E54FAFF" w14:textId="77777777" w:rsidR="001636FA" w:rsidRPr="00450FA2" w:rsidRDefault="001636FA" w:rsidP="0063575E">
      <w:pPr>
        <w:widowControl w:val="0"/>
        <w:tabs>
          <w:tab w:val="clear" w:pos="567"/>
        </w:tabs>
        <w:spacing w:line="240" w:lineRule="auto"/>
        <w:rPr>
          <w:color w:val="000000"/>
          <w:lang w:val="bg-BG"/>
        </w:rPr>
      </w:pPr>
    </w:p>
    <w:p w14:paraId="3E54FB00" w14:textId="77777777" w:rsidR="001636FA" w:rsidRPr="00450FA2" w:rsidRDefault="001636FA" w:rsidP="0063575E">
      <w:pPr>
        <w:widowControl w:val="0"/>
        <w:tabs>
          <w:tab w:val="clear" w:pos="567"/>
        </w:tabs>
        <w:spacing w:line="240" w:lineRule="auto"/>
        <w:rPr>
          <w:color w:val="000000"/>
          <w:lang w:val="bg-BG"/>
        </w:rPr>
      </w:pPr>
    </w:p>
    <w:p w14:paraId="3E54FB01" w14:textId="77777777" w:rsidR="001636FA" w:rsidRPr="00450FA2" w:rsidRDefault="001636FA" w:rsidP="0063575E">
      <w:pPr>
        <w:widowControl w:val="0"/>
        <w:tabs>
          <w:tab w:val="clear" w:pos="567"/>
        </w:tabs>
        <w:spacing w:line="240" w:lineRule="auto"/>
        <w:rPr>
          <w:color w:val="000000"/>
          <w:lang w:val="bg-BG"/>
        </w:rPr>
      </w:pPr>
    </w:p>
    <w:p w14:paraId="3E54FB02" w14:textId="77777777" w:rsidR="001636FA" w:rsidRPr="00450FA2" w:rsidRDefault="001636FA" w:rsidP="0063575E">
      <w:pPr>
        <w:widowControl w:val="0"/>
        <w:tabs>
          <w:tab w:val="clear" w:pos="567"/>
        </w:tabs>
        <w:spacing w:line="240" w:lineRule="auto"/>
        <w:rPr>
          <w:color w:val="000000"/>
          <w:lang w:val="bg-BG"/>
        </w:rPr>
      </w:pPr>
    </w:p>
    <w:p w14:paraId="3E54FB03" w14:textId="77777777" w:rsidR="001636FA" w:rsidRPr="00450FA2" w:rsidRDefault="001636FA" w:rsidP="0063575E">
      <w:pPr>
        <w:widowControl w:val="0"/>
        <w:tabs>
          <w:tab w:val="clear" w:pos="567"/>
        </w:tabs>
        <w:spacing w:line="240" w:lineRule="auto"/>
        <w:rPr>
          <w:color w:val="000000"/>
          <w:lang w:val="bg-BG"/>
        </w:rPr>
      </w:pPr>
    </w:p>
    <w:p w14:paraId="3E54FB04" w14:textId="77777777" w:rsidR="001636FA" w:rsidRPr="00450FA2" w:rsidRDefault="001636FA" w:rsidP="0063575E">
      <w:pPr>
        <w:widowControl w:val="0"/>
        <w:tabs>
          <w:tab w:val="clear" w:pos="567"/>
        </w:tabs>
        <w:spacing w:line="240" w:lineRule="auto"/>
        <w:rPr>
          <w:color w:val="000000"/>
          <w:lang w:val="bg-BG"/>
        </w:rPr>
      </w:pPr>
    </w:p>
    <w:p w14:paraId="3E54FB05" w14:textId="77777777" w:rsidR="001636FA" w:rsidRPr="00450FA2" w:rsidRDefault="001636FA" w:rsidP="0063575E">
      <w:pPr>
        <w:widowControl w:val="0"/>
        <w:tabs>
          <w:tab w:val="clear" w:pos="567"/>
        </w:tabs>
        <w:spacing w:line="240" w:lineRule="auto"/>
        <w:rPr>
          <w:color w:val="000000"/>
          <w:lang w:val="bg-BG"/>
        </w:rPr>
      </w:pPr>
    </w:p>
    <w:p w14:paraId="3E54FB06" w14:textId="77777777" w:rsidR="001636FA" w:rsidRPr="00450FA2" w:rsidRDefault="001636FA" w:rsidP="0063575E">
      <w:pPr>
        <w:widowControl w:val="0"/>
        <w:tabs>
          <w:tab w:val="clear" w:pos="567"/>
        </w:tabs>
        <w:spacing w:line="240" w:lineRule="auto"/>
        <w:rPr>
          <w:color w:val="000000"/>
          <w:lang w:val="bg-BG"/>
        </w:rPr>
      </w:pPr>
    </w:p>
    <w:p w14:paraId="3E54FB07" w14:textId="77777777" w:rsidR="001636FA" w:rsidRPr="00450FA2" w:rsidRDefault="001636FA" w:rsidP="0063575E">
      <w:pPr>
        <w:widowControl w:val="0"/>
        <w:tabs>
          <w:tab w:val="clear" w:pos="567"/>
        </w:tabs>
        <w:spacing w:line="240" w:lineRule="auto"/>
        <w:rPr>
          <w:color w:val="000000"/>
          <w:lang w:val="bg-BG"/>
        </w:rPr>
      </w:pPr>
    </w:p>
    <w:p w14:paraId="3E54FB08" w14:textId="77777777" w:rsidR="001636FA" w:rsidRPr="00450FA2" w:rsidRDefault="001636FA" w:rsidP="0063575E">
      <w:pPr>
        <w:widowControl w:val="0"/>
        <w:tabs>
          <w:tab w:val="clear" w:pos="567"/>
        </w:tabs>
        <w:spacing w:line="240" w:lineRule="auto"/>
        <w:rPr>
          <w:color w:val="000000"/>
          <w:lang w:val="bg-BG"/>
        </w:rPr>
      </w:pPr>
    </w:p>
    <w:p w14:paraId="3E54FB09" w14:textId="77777777" w:rsidR="001636FA" w:rsidRPr="00450FA2" w:rsidRDefault="001636FA" w:rsidP="0063575E">
      <w:pPr>
        <w:widowControl w:val="0"/>
        <w:tabs>
          <w:tab w:val="clear" w:pos="567"/>
        </w:tabs>
        <w:spacing w:line="240" w:lineRule="auto"/>
        <w:rPr>
          <w:color w:val="000000"/>
          <w:lang w:val="bg-BG"/>
        </w:rPr>
      </w:pPr>
    </w:p>
    <w:p w14:paraId="3E54FB0A" w14:textId="77777777" w:rsidR="001636FA" w:rsidRPr="00450FA2" w:rsidRDefault="001636FA" w:rsidP="0063575E">
      <w:pPr>
        <w:widowControl w:val="0"/>
        <w:tabs>
          <w:tab w:val="clear" w:pos="567"/>
        </w:tabs>
        <w:spacing w:line="240" w:lineRule="auto"/>
        <w:rPr>
          <w:color w:val="000000"/>
          <w:lang w:val="bg-BG"/>
        </w:rPr>
      </w:pPr>
    </w:p>
    <w:p w14:paraId="3E54FB0B" w14:textId="77777777" w:rsidR="001636FA" w:rsidRPr="00450FA2" w:rsidRDefault="001636FA" w:rsidP="0063575E">
      <w:pPr>
        <w:widowControl w:val="0"/>
        <w:tabs>
          <w:tab w:val="clear" w:pos="567"/>
          <w:tab w:val="left" w:pos="-1440"/>
          <w:tab w:val="left" w:pos="-720"/>
        </w:tabs>
        <w:spacing w:line="240" w:lineRule="auto"/>
        <w:rPr>
          <w:color w:val="000000"/>
          <w:lang w:val="bg-BG"/>
        </w:rPr>
      </w:pPr>
    </w:p>
    <w:p w14:paraId="3E54FB0C" w14:textId="77777777" w:rsidR="001636FA" w:rsidRPr="00450FA2" w:rsidRDefault="001636FA" w:rsidP="0063575E">
      <w:pPr>
        <w:widowControl w:val="0"/>
        <w:tabs>
          <w:tab w:val="clear" w:pos="567"/>
          <w:tab w:val="left" w:pos="-1440"/>
          <w:tab w:val="left" w:pos="-720"/>
        </w:tabs>
        <w:spacing w:line="240" w:lineRule="auto"/>
        <w:rPr>
          <w:color w:val="000000"/>
          <w:lang w:val="bg-BG"/>
        </w:rPr>
      </w:pPr>
    </w:p>
    <w:p w14:paraId="3E54FB0D" w14:textId="77777777" w:rsidR="001636FA" w:rsidRPr="00FE6AC6" w:rsidRDefault="001636FA" w:rsidP="0063575E">
      <w:pPr>
        <w:widowControl w:val="0"/>
        <w:tabs>
          <w:tab w:val="clear" w:pos="567"/>
          <w:tab w:val="left" w:pos="-1440"/>
          <w:tab w:val="left" w:pos="-720"/>
        </w:tabs>
        <w:spacing w:line="240" w:lineRule="auto"/>
        <w:jc w:val="center"/>
        <w:rPr>
          <w:color w:val="000000"/>
          <w:lang w:val="bg-BG"/>
        </w:rPr>
      </w:pPr>
      <w:r w:rsidRPr="00FE6AC6">
        <w:rPr>
          <w:b/>
          <w:color w:val="000000"/>
          <w:lang w:val="bg-BG"/>
        </w:rPr>
        <w:t>ПРИЛОЖЕНИЕ I</w:t>
      </w:r>
    </w:p>
    <w:p w14:paraId="3E54FB0E" w14:textId="77777777" w:rsidR="001636FA" w:rsidRPr="00FE6AC6" w:rsidRDefault="001636FA" w:rsidP="0063575E">
      <w:pPr>
        <w:widowControl w:val="0"/>
        <w:tabs>
          <w:tab w:val="clear" w:pos="567"/>
          <w:tab w:val="left" w:pos="-1440"/>
          <w:tab w:val="left" w:pos="-720"/>
        </w:tabs>
        <w:spacing w:line="240" w:lineRule="auto"/>
        <w:jc w:val="center"/>
        <w:rPr>
          <w:color w:val="000000"/>
          <w:lang w:val="bg-BG"/>
        </w:rPr>
      </w:pPr>
    </w:p>
    <w:p w14:paraId="3E54FB0F" w14:textId="77777777" w:rsidR="001636FA" w:rsidRPr="00FE6AC6" w:rsidRDefault="001636FA" w:rsidP="0063575E">
      <w:pPr>
        <w:widowControl w:val="0"/>
        <w:tabs>
          <w:tab w:val="clear" w:pos="567"/>
        </w:tabs>
        <w:spacing w:line="240" w:lineRule="auto"/>
        <w:jc w:val="center"/>
        <w:rPr>
          <w:b/>
          <w:color w:val="000000"/>
          <w:lang w:val="bg-BG"/>
        </w:rPr>
      </w:pPr>
      <w:r w:rsidRPr="00FE6AC6">
        <w:rPr>
          <w:b/>
          <w:color w:val="000000"/>
          <w:lang w:val="bg-BG"/>
        </w:rPr>
        <w:t>КРАТКА ХАРАКТЕРИСТИКА НА ПРОДУКТА</w:t>
      </w:r>
    </w:p>
    <w:p w14:paraId="3E54FB10" w14:textId="77777777" w:rsidR="00736200" w:rsidRPr="00FE6AC6" w:rsidRDefault="001636FA" w:rsidP="0063575E">
      <w:pPr>
        <w:widowControl w:val="0"/>
        <w:spacing w:line="240" w:lineRule="auto"/>
        <w:rPr>
          <w:szCs w:val="22"/>
          <w:lang w:val="bg-BG"/>
        </w:rPr>
      </w:pPr>
      <w:r w:rsidRPr="00FE6AC6">
        <w:rPr>
          <w:b/>
          <w:color w:val="000000"/>
          <w:lang w:val="bg-BG"/>
        </w:rPr>
        <w:br w:type="page"/>
      </w:r>
      <w:r w:rsidR="00613193" w:rsidRPr="00FE6AC6">
        <w:rPr>
          <w:noProof/>
          <w:lang w:val="en-US"/>
        </w:rPr>
        <w:lastRenderedPageBreak/>
        <w:drawing>
          <wp:inline distT="0" distB="0" distL="0" distR="0" wp14:anchorId="3E550FC4" wp14:editId="3E550FC5">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736200" w:rsidRPr="00FE6AC6">
        <w:rPr>
          <w:szCs w:val="22"/>
          <w:lang w:val="bg-BG"/>
        </w:rPr>
        <w:t>Този лекарствен продукт подлежи на допълнително наблюдение. Това ще позволи бързото установяване на нова информация относно безопасността. От медицинските специалисти се изисква да съобщават всяка подозирана нежелана реакция. За начина на съобщаване на нежелани реакции вижте точка</w:t>
      </w:r>
      <w:r w:rsidR="00736200" w:rsidRPr="00FE6AC6">
        <w:rPr>
          <w:szCs w:val="22"/>
          <w:lang w:val="de-CH"/>
        </w:rPr>
        <w:t> </w:t>
      </w:r>
      <w:r w:rsidR="00736200" w:rsidRPr="00FE6AC6">
        <w:rPr>
          <w:szCs w:val="22"/>
          <w:lang w:val="bg-BG"/>
        </w:rPr>
        <w:t>4.8.</w:t>
      </w:r>
    </w:p>
    <w:p w14:paraId="3E54FB11" w14:textId="77777777" w:rsidR="00736200" w:rsidRPr="00FE6AC6" w:rsidRDefault="00736200" w:rsidP="0063575E">
      <w:pPr>
        <w:widowControl w:val="0"/>
        <w:spacing w:line="240" w:lineRule="auto"/>
        <w:rPr>
          <w:szCs w:val="22"/>
          <w:lang w:val="bg-BG"/>
        </w:rPr>
      </w:pPr>
    </w:p>
    <w:p w14:paraId="3E54FB12" w14:textId="77777777" w:rsidR="00736200" w:rsidRPr="00FE6AC6" w:rsidRDefault="00736200" w:rsidP="0063575E">
      <w:pPr>
        <w:widowControl w:val="0"/>
        <w:spacing w:line="240" w:lineRule="auto"/>
        <w:rPr>
          <w:szCs w:val="22"/>
          <w:lang w:val="bg-BG"/>
        </w:rPr>
      </w:pPr>
    </w:p>
    <w:p w14:paraId="3E54FB13" w14:textId="77777777" w:rsidR="001636FA" w:rsidRPr="00FE6AC6" w:rsidRDefault="001636FA" w:rsidP="0063575E">
      <w:pPr>
        <w:widowControl w:val="0"/>
        <w:tabs>
          <w:tab w:val="clear" w:pos="567"/>
        </w:tabs>
        <w:spacing w:line="240" w:lineRule="auto"/>
        <w:rPr>
          <w:color w:val="000000"/>
          <w:lang w:val="bg-BG"/>
        </w:rPr>
      </w:pPr>
      <w:r w:rsidRPr="00FE6AC6">
        <w:rPr>
          <w:b/>
          <w:color w:val="000000"/>
          <w:lang w:val="bg-BG"/>
        </w:rPr>
        <w:t>1.</w:t>
      </w:r>
      <w:r w:rsidRPr="00FE6AC6">
        <w:rPr>
          <w:b/>
          <w:color w:val="000000"/>
          <w:lang w:val="bg-BG"/>
        </w:rPr>
        <w:tab/>
        <w:t>ИМЕ НА ЛЕКАРСТВЕНИЯ ПРОДУКТ</w:t>
      </w:r>
    </w:p>
    <w:p w14:paraId="3E54FB14" w14:textId="77777777" w:rsidR="001636FA" w:rsidRPr="00FE6AC6" w:rsidRDefault="001636FA" w:rsidP="0063575E">
      <w:pPr>
        <w:widowControl w:val="0"/>
        <w:tabs>
          <w:tab w:val="clear" w:pos="567"/>
        </w:tabs>
        <w:spacing w:line="240" w:lineRule="auto"/>
        <w:rPr>
          <w:color w:val="000000"/>
          <w:lang w:val="bg-BG"/>
        </w:rPr>
      </w:pPr>
    </w:p>
    <w:p w14:paraId="3E54FB16" w14:textId="77777777" w:rsidR="00146D64" w:rsidRPr="00FE6AC6" w:rsidRDefault="00146D64" w:rsidP="0063575E">
      <w:pPr>
        <w:widowControl w:val="0"/>
        <w:tabs>
          <w:tab w:val="clear" w:pos="567"/>
        </w:tabs>
        <w:autoSpaceDE w:val="0"/>
        <w:autoSpaceDN w:val="0"/>
        <w:adjustRightInd w:val="0"/>
        <w:spacing w:line="240" w:lineRule="auto"/>
        <w:rPr>
          <w:color w:val="000000"/>
          <w:lang w:val="bg-BG"/>
        </w:rPr>
      </w:pPr>
      <w:r w:rsidRPr="00FE6AC6">
        <w:rPr>
          <w:color w:val="000000"/>
          <w:lang w:val="bg-BG"/>
        </w:rPr>
        <w:t>Glivec 100 mg</w:t>
      </w:r>
      <w:r w:rsidRPr="00FE6AC6">
        <w:rPr>
          <w:rFonts w:ascii="TimesNewRoman" w:hAnsi="TimesNewRoman"/>
          <w:color w:val="000000"/>
          <w:lang w:val="bg-BG"/>
        </w:rPr>
        <w:t xml:space="preserve"> </w:t>
      </w:r>
      <w:r w:rsidRPr="00FE6AC6">
        <w:rPr>
          <w:color w:val="000000"/>
          <w:lang w:val="bg-BG"/>
        </w:rPr>
        <w:t>твърди капсули</w:t>
      </w:r>
    </w:p>
    <w:p w14:paraId="3E54FB17" w14:textId="77777777" w:rsidR="001636FA" w:rsidRPr="00FE6AC6" w:rsidRDefault="001636FA" w:rsidP="0063575E">
      <w:pPr>
        <w:widowControl w:val="0"/>
        <w:tabs>
          <w:tab w:val="clear" w:pos="567"/>
        </w:tabs>
        <w:spacing w:line="240" w:lineRule="auto"/>
        <w:rPr>
          <w:color w:val="000000"/>
          <w:lang w:val="bg-BG"/>
        </w:rPr>
      </w:pPr>
    </w:p>
    <w:p w14:paraId="3E54FB18" w14:textId="77777777" w:rsidR="001636FA" w:rsidRPr="00FE6AC6" w:rsidRDefault="001636FA" w:rsidP="0063575E">
      <w:pPr>
        <w:widowControl w:val="0"/>
        <w:tabs>
          <w:tab w:val="clear" w:pos="567"/>
        </w:tabs>
        <w:spacing w:line="240" w:lineRule="auto"/>
        <w:rPr>
          <w:color w:val="000000"/>
          <w:lang w:val="bg-BG"/>
        </w:rPr>
      </w:pPr>
    </w:p>
    <w:p w14:paraId="3E54FB19" w14:textId="77777777" w:rsidR="001636FA" w:rsidRPr="00FE6AC6" w:rsidRDefault="001636FA" w:rsidP="0063575E">
      <w:pPr>
        <w:keepNext/>
        <w:widowControl w:val="0"/>
        <w:tabs>
          <w:tab w:val="clear" w:pos="567"/>
        </w:tabs>
        <w:spacing w:line="240" w:lineRule="auto"/>
        <w:rPr>
          <w:color w:val="000000"/>
          <w:lang w:val="bg-BG"/>
        </w:rPr>
      </w:pPr>
      <w:r w:rsidRPr="00FE6AC6">
        <w:rPr>
          <w:b/>
          <w:color w:val="000000"/>
          <w:lang w:val="bg-BG"/>
        </w:rPr>
        <w:t>2.</w:t>
      </w:r>
      <w:r w:rsidRPr="00FE6AC6">
        <w:rPr>
          <w:b/>
          <w:color w:val="000000"/>
          <w:lang w:val="bg-BG"/>
        </w:rPr>
        <w:tab/>
        <w:t>КАЧЕСТВЕН И КОЛИЧЕСТВЕН СЪСТАВ</w:t>
      </w:r>
    </w:p>
    <w:p w14:paraId="3E54FB1A" w14:textId="77777777" w:rsidR="001636FA" w:rsidRPr="00FE6AC6" w:rsidRDefault="001636FA" w:rsidP="0063575E">
      <w:pPr>
        <w:keepNext/>
        <w:widowControl w:val="0"/>
        <w:tabs>
          <w:tab w:val="clear" w:pos="567"/>
        </w:tabs>
        <w:spacing w:line="240" w:lineRule="auto"/>
        <w:rPr>
          <w:color w:val="000000"/>
          <w:lang w:val="bg-BG"/>
        </w:rPr>
      </w:pPr>
    </w:p>
    <w:p w14:paraId="3E54FB1F" w14:textId="77777777" w:rsidR="00FC353B" w:rsidRPr="00FE6AC6" w:rsidRDefault="00FC353B" w:rsidP="0063575E">
      <w:pPr>
        <w:widowControl w:val="0"/>
        <w:tabs>
          <w:tab w:val="clear" w:pos="567"/>
        </w:tabs>
        <w:autoSpaceDE w:val="0"/>
        <w:autoSpaceDN w:val="0"/>
        <w:adjustRightInd w:val="0"/>
        <w:spacing w:line="240" w:lineRule="auto"/>
        <w:rPr>
          <w:color w:val="000000"/>
          <w:lang w:val="bg-BG"/>
        </w:rPr>
      </w:pPr>
      <w:r w:rsidRPr="00FE6AC6">
        <w:rPr>
          <w:color w:val="000000"/>
          <w:lang w:val="bg-BG"/>
        </w:rPr>
        <w:t>Всяка капсула съдържа 100</w:t>
      </w:r>
      <w:r w:rsidRPr="00FE6AC6">
        <w:rPr>
          <w:color w:val="000000"/>
          <w:lang w:val="en-US"/>
        </w:rPr>
        <w:t> </w:t>
      </w:r>
      <w:r w:rsidRPr="00FE6AC6">
        <w:rPr>
          <w:color w:val="000000"/>
          <w:lang w:val="bg-BG"/>
        </w:rPr>
        <w:t>mg иматиниб (imatinib) (под формата на мезилат).</w:t>
      </w:r>
    </w:p>
    <w:p w14:paraId="3E54FB20" w14:textId="77777777" w:rsidR="001636FA" w:rsidRPr="00FE6AC6" w:rsidRDefault="001636FA" w:rsidP="0063575E">
      <w:pPr>
        <w:widowControl w:val="0"/>
        <w:spacing w:line="240" w:lineRule="auto"/>
        <w:rPr>
          <w:color w:val="000000"/>
          <w:lang w:val="bg-BG"/>
        </w:rPr>
      </w:pPr>
    </w:p>
    <w:p w14:paraId="3E54FB21" w14:textId="77777777" w:rsidR="001636FA" w:rsidRPr="00FE6AC6" w:rsidRDefault="001636FA" w:rsidP="0063575E">
      <w:pPr>
        <w:widowControl w:val="0"/>
        <w:spacing w:line="240" w:lineRule="auto"/>
        <w:rPr>
          <w:color w:val="000000"/>
          <w:lang w:val="bg-BG"/>
        </w:rPr>
      </w:pPr>
      <w:r w:rsidRPr="00FE6AC6">
        <w:rPr>
          <w:color w:val="000000"/>
          <w:lang w:val="bg-BG"/>
        </w:rPr>
        <w:t>За пълния списък на помощните вещества в</w:t>
      </w:r>
      <w:r w:rsidR="00246649" w:rsidRPr="00FE6AC6">
        <w:rPr>
          <w:color w:val="000000"/>
          <w:lang w:val="bg-BG"/>
        </w:rPr>
        <w:t>и</w:t>
      </w:r>
      <w:r w:rsidRPr="00FE6AC6">
        <w:rPr>
          <w:color w:val="000000"/>
          <w:lang w:val="bg-BG"/>
        </w:rPr>
        <w:t>ж</w:t>
      </w:r>
      <w:r w:rsidR="00246649" w:rsidRPr="00FE6AC6">
        <w:rPr>
          <w:color w:val="000000"/>
          <w:lang w:val="bg-BG"/>
        </w:rPr>
        <w:t>те</w:t>
      </w:r>
      <w:r w:rsidRPr="00FE6AC6">
        <w:rPr>
          <w:color w:val="000000"/>
          <w:lang w:val="bg-BG"/>
        </w:rPr>
        <w:t xml:space="preserve"> точка 6.1.</w:t>
      </w:r>
    </w:p>
    <w:p w14:paraId="3E54FB22" w14:textId="77777777" w:rsidR="001636FA" w:rsidRPr="00FE6AC6" w:rsidRDefault="001636FA" w:rsidP="0063575E">
      <w:pPr>
        <w:widowControl w:val="0"/>
        <w:tabs>
          <w:tab w:val="clear" w:pos="567"/>
        </w:tabs>
        <w:spacing w:line="240" w:lineRule="auto"/>
        <w:rPr>
          <w:color w:val="000000"/>
          <w:lang w:val="bg-BG"/>
        </w:rPr>
      </w:pPr>
    </w:p>
    <w:p w14:paraId="3E54FB23" w14:textId="77777777" w:rsidR="001636FA" w:rsidRPr="00FE6AC6" w:rsidRDefault="001636FA" w:rsidP="0063575E">
      <w:pPr>
        <w:widowControl w:val="0"/>
        <w:tabs>
          <w:tab w:val="clear" w:pos="567"/>
        </w:tabs>
        <w:spacing w:line="240" w:lineRule="auto"/>
        <w:rPr>
          <w:color w:val="000000"/>
          <w:lang w:val="bg-BG"/>
        </w:rPr>
      </w:pPr>
    </w:p>
    <w:p w14:paraId="3E54FB24" w14:textId="77777777" w:rsidR="001636FA" w:rsidRPr="00FE6AC6" w:rsidRDefault="001636FA" w:rsidP="0063575E">
      <w:pPr>
        <w:keepNext/>
        <w:widowControl w:val="0"/>
        <w:spacing w:line="240" w:lineRule="auto"/>
        <w:ind w:left="567" w:hanging="567"/>
        <w:rPr>
          <w:b/>
          <w:caps/>
          <w:color w:val="000000"/>
          <w:lang w:val="bg-BG"/>
        </w:rPr>
      </w:pPr>
      <w:r w:rsidRPr="00FE6AC6">
        <w:rPr>
          <w:b/>
          <w:color w:val="000000"/>
          <w:lang w:val="bg-BG"/>
        </w:rPr>
        <w:t>3.</w:t>
      </w:r>
      <w:r w:rsidRPr="00FE6AC6">
        <w:rPr>
          <w:b/>
          <w:color w:val="000000"/>
          <w:lang w:val="bg-BG"/>
        </w:rPr>
        <w:tab/>
        <w:t>ЛЕКАРСТВЕНА ФОРМА</w:t>
      </w:r>
    </w:p>
    <w:p w14:paraId="3E54FB25" w14:textId="77777777" w:rsidR="001636FA" w:rsidRPr="00FE6AC6" w:rsidRDefault="001636FA" w:rsidP="0063575E">
      <w:pPr>
        <w:keepNext/>
        <w:widowControl w:val="0"/>
        <w:spacing w:line="240" w:lineRule="auto"/>
        <w:rPr>
          <w:color w:val="000000"/>
          <w:lang w:val="bg-BG"/>
        </w:rPr>
      </w:pPr>
    </w:p>
    <w:p w14:paraId="3E54FB26" w14:textId="77777777" w:rsidR="001636FA" w:rsidRPr="00FE6AC6" w:rsidRDefault="001636FA" w:rsidP="0063575E">
      <w:pPr>
        <w:widowControl w:val="0"/>
        <w:spacing w:line="240" w:lineRule="auto"/>
        <w:rPr>
          <w:color w:val="000000"/>
          <w:lang w:val="bg-BG"/>
        </w:rPr>
      </w:pPr>
      <w:r w:rsidRPr="00FE6AC6">
        <w:rPr>
          <w:color w:val="000000"/>
          <w:lang w:val="en-US"/>
        </w:rPr>
        <w:t>T</w:t>
      </w:r>
      <w:r w:rsidRPr="00FE6AC6">
        <w:rPr>
          <w:color w:val="000000"/>
          <w:lang w:val="bg-BG"/>
        </w:rPr>
        <w:t>върд</w:t>
      </w:r>
      <w:r w:rsidR="002B01E5" w:rsidRPr="00FE6AC6">
        <w:rPr>
          <w:color w:val="000000"/>
          <w:lang w:val="bg-BG"/>
        </w:rPr>
        <w:t>а</w:t>
      </w:r>
      <w:r w:rsidRPr="00FE6AC6">
        <w:rPr>
          <w:color w:val="000000"/>
          <w:lang w:val="bg-BG"/>
        </w:rPr>
        <w:t xml:space="preserve"> капсул</w:t>
      </w:r>
      <w:r w:rsidR="002B01E5" w:rsidRPr="00FE6AC6">
        <w:rPr>
          <w:color w:val="000000"/>
          <w:lang w:val="bg-BG"/>
        </w:rPr>
        <w:t>а</w:t>
      </w:r>
    </w:p>
    <w:p w14:paraId="3E54FB27" w14:textId="77777777" w:rsidR="001636FA" w:rsidRPr="00FE6AC6" w:rsidRDefault="001636FA" w:rsidP="0063575E">
      <w:pPr>
        <w:widowControl w:val="0"/>
        <w:spacing w:line="240" w:lineRule="auto"/>
        <w:rPr>
          <w:color w:val="000000"/>
          <w:lang w:val="bg-BG"/>
        </w:rPr>
      </w:pPr>
    </w:p>
    <w:p w14:paraId="3E54FB2C" w14:textId="77777777" w:rsidR="00DC0E45" w:rsidRPr="00FE6AC6" w:rsidRDefault="00DC0E45" w:rsidP="0063575E">
      <w:pPr>
        <w:widowControl w:val="0"/>
        <w:tabs>
          <w:tab w:val="clear" w:pos="567"/>
        </w:tabs>
        <w:spacing w:line="240" w:lineRule="auto"/>
        <w:rPr>
          <w:color w:val="000000"/>
          <w:lang w:val="bg-BG"/>
        </w:rPr>
      </w:pPr>
      <w:r w:rsidRPr="00FE6AC6">
        <w:rPr>
          <w:color w:val="000000"/>
          <w:lang w:val="bg-BG"/>
        </w:rPr>
        <w:t>Бял до жълт прах в оранжева до сиво-оранжева непрозрачна капсула, с надпис “</w:t>
      </w:r>
      <w:r w:rsidRPr="00FE6AC6">
        <w:rPr>
          <w:color w:val="000000"/>
        </w:rPr>
        <w:t>NVR</w:t>
      </w:r>
      <w:r w:rsidRPr="00FE6AC6">
        <w:rPr>
          <w:color w:val="000000"/>
          <w:lang w:val="bg-BG"/>
        </w:rPr>
        <w:t xml:space="preserve"> </w:t>
      </w:r>
      <w:r w:rsidRPr="00FE6AC6">
        <w:rPr>
          <w:color w:val="000000"/>
        </w:rPr>
        <w:t>SI</w:t>
      </w:r>
      <w:r w:rsidRPr="00FE6AC6">
        <w:rPr>
          <w:color w:val="000000"/>
          <w:lang w:val="bg-BG"/>
        </w:rPr>
        <w:t>”.</w:t>
      </w:r>
    </w:p>
    <w:p w14:paraId="3E54FB2D" w14:textId="77777777" w:rsidR="00F304A9" w:rsidRPr="00FE6AC6" w:rsidRDefault="00F304A9" w:rsidP="0063575E">
      <w:pPr>
        <w:widowControl w:val="0"/>
        <w:spacing w:line="240" w:lineRule="auto"/>
        <w:rPr>
          <w:color w:val="000000"/>
          <w:lang w:val="bg-BG"/>
        </w:rPr>
      </w:pPr>
    </w:p>
    <w:p w14:paraId="3E54FB2E" w14:textId="77777777" w:rsidR="001636FA" w:rsidRPr="00FE6AC6" w:rsidRDefault="001636FA" w:rsidP="0063575E">
      <w:pPr>
        <w:widowControl w:val="0"/>
        <w:tabs>
          <w:tab w:val="clear" w:pos="567"/>
        </w:tabs>
        <w:spacing w:line="240" w:lineRule="auto"/>
        <w:rPr>
          <w:color w:val="000000"/>
          <w:lang w:val="bg-BG"/>
        </w:rPr>
      </w:pPr>
    </w:p>
    <w:p w14:paraId="3E54FB2F" w14:textId="77777777" w:rsidR="001636FA" w:rsidRPr="00FE6AC6" w:rsidRDefault="001636FA" w:rsidP="0063575E">
      <w:pPr>
        <w:keepNext/>
        <w:widowControl w:val="0"/>
        <w:spacing w:line="240" w:lineRule="auto"/>
        <w:ind w:left="567" w:hanging="567"/>
        <w:rPr>
          <w:caps/>
          <w:color w:val="000000"/>
          <w:lang w:val="bg-BG"/>
        </w:rPr>
      </w:pPr>
      <w:r w:rsidRPr="00FE6AC6">
        <w:rPr>
          <w:b/>
          <w:caps/>
          <w:color w:val="000000"/>
          <w:lang w:val="bg-BG"/>
        </w:rPr>
        <w:t>4.</w:t>
      </w:r>
      <w:r w:rsidRPr="00FE6AC6">
        <w:rPr>
          <w:b/>
          <w:caps/>
          <w:color w:val="000000"/>
          <w:lang w:val="bg-BG"/>
        </w:rPr>
        <w:tab/>
        <w:t>КЛИНИЧНИ ДАННИ</w:t>
      </w:r>
    </w:p>
    <w:p w14:paraId="3E54FB30" w14:textId="77777777" w:rsidR="001636FA" w:rsidRPr="00FE6AC6" w:rsidRDefault="001636FA" w:rsidP="0063575E">
      <w:pPr>
        <w:keepNext/>
        <w:widowControl w:val="0"/>
        <w:tabs>
          <w:tab w:val="clear" w:pos="567"/>
        </w:tabs>
        <w:spacing w:line="240" w:lineRule="auto"/>
        <w:rPr>
          <w:color w:val="000000"/>
          <w:lang w:val="bg-BG"/>
        </w:rPr>
      </w:pPr>
    </w:p>
    <w:p w14:paraId="3E54FB31" w14:textId="77777777" w:rsidR="001636FA" w:rsidRPr="00FE6AC6" w:rsidRDefault="001636FA" w:rsidP="0063575E">
      <w:pPr>
        <w:keepNext/>
        <w:widowControl w:val="0"/>
        <w:spacing w:line="240" w:lineRule="auto"/>
        <w:ind w:left="567" w:hanging="567"/>
        <w:rPr>
          <w:color w:val="000000"/>
          <w:lang w:val="bg-BG"/>
        </w:rPr>
      </w:pPr>
      <w:r w:rsidRPr="00FE6AC6">
        <w:rPr>
          <w:b/>
          <w:color w:val="000000"/>
          <w:lang w:val="bg-BG"/>
        </w:rPr>
        <w:t>4.1</w:t>
      </w:r>
      <w:r w:rsidRPr="00FE6AC6">
        <w:rPr>
          <w:b/>
          <w:color w:val="000000"/>
          <w:lang w:val="bg-BG"/>
        </w:rPr>
        <w:tab/>
        <w:t>Терапевтични показания</w:t>
      </w:r>
    </w:p>
    <w:p w14:paraId="3E54FB32" w14:textId="77777777" w:rsidR="001636FA" w:rsidRPr="00FE6AC6" w:rsidRDefault="001636FA" w:rsidP="0063575E">
      <w:pPr>
        <w:keepNext/>
        <w:widowControl w:val="0"/>
        <w:tabs>
          <w:tab w:val="clear" w:pos="567"/>
        </w:tabs>
        <w:spacing w:line="240" w:lineRule="auto"/>
        <w:rPr>
          <w:color w:val="000000"/>
          <w:lang w:val="bg-BG"/>
        </w:rPr>
      </w:pPr>
    </w:p>
    <w:p w14:paraId="3E54FB33" w14:textId="77777777" w:rsidR="001636FA" w:rsidRPr="00FE6AC6" w:rsidRDefault="001636FA" w:rsidP="0063575E">
      <w:pPr>
        <w:keepNext/>
        <w:widowControl w:val="0"/>
        <w:spacing w:line="240" w:lineRule="auto"/>
        <w:rPr>
          <w:color w:val="000000"/>
          <w:lang w:val="bg-BG"/>
        </w:rPr>
      </w:pPr>
      <w:r w:rsidRPr="00FE6AC6">
        <w:rPr>
          <w:color w:val="000000"/>
          <w:lang w:val="bg-BG"/>
        </w:rPr>
        <w:t>Glivec е показан за лечение на</w:t>
      </w:r>
    </w:p>
    <w:p w14:paraId="3E54FB34" w14:textId="77777777" w:rsidR="001636FA" w:rsidRPr="00FE6AC6" w:rsidRDefault="001636FA"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възрастни и педиатрични пациенти с новодиагностицирана, положителна </w:t>
      </w:r>
      <w:r w:rsidR="00D72B51" w:rsidRPr="00FE6AC6">
        <w:rPr>
          <w:color w:val="000000"/>
          <w:lang w:val="bg-BG"/>
        </w:rPr>
        <w:t>за</w:t>
      </w:r>
      <w:r w:rsidRPr="00FE6AC6">
        <w:rPr>
          <w:color w:val="000000"/>
          <w:lang w:val="bg-BG"/>
        </w:rPr>
        <w:t xml:space="preserve"> Филаделфийската хромозома (bcr-abl) (Ph+) хронична миелоидна левкемия (ХМЛ), при които костно-мозъчната трансплантация не се разглежда като първа линия лечение</w:t>
      </w:r>
      <w:r w:rsidR="00557852" w:rsidRPr="00FE6AC6">
        <w:rPr>
          <w:color w:val="000000"/>
          <w:lang w:val="ru-RU"/>
        </w:rPr>
        <w:t>.</w:t>
      </w:r>
    </w:p>
    <w:p w14:paraId="3E54FB35" w14:textId="77777777" w:rsidR="001636FA" w:rsidRPr="00FE6AC6" w:rsidRDefault="001636FA"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възрастни и педиатрични пациенти с Ph+ ХМЛ в хронична фаза след неуспех от лечението с интерферон-алфа или във фаза на акцелерация </w:t>
      </w:r>
      <w:r w:rsidR="00461972" w:rsidRPr="00FE6AC6">
        <w:rPr>
          <w:color w:val="000000"/>
          <w:lang w:val="bg-BG"/>
        </w:rPr>
        <w:t xml:space="preserve">(ФА) </w:t>
      </w:r>
      <w:r w:rsidRPr="00FE6AC6">
        <w:rPr>
          <w:color w:val="000000"/>
          <w:lang w:val="bg-BG"/>
        </w:rPr>
        <w:t>или бластна криза</w:t>
      </w:r>
      <w:r w:rsidR="00461972" w:rsidRPr="00FE6AC6">
        <w:rPr>
          <w:color w:val="000000"/>
          <w:lang w:val="bg-BG"/>
        </w:rPr>
        <w:t xml:space="preserve"> (БК)</w:t>
      </w:r>
      <w:r w:rsidR="00534DAC" w:rsidRPr="00FE6AC6">
        <w:rPr>
          <w:color w:val="000000"/>
          <w:lang w:val="ru-RU"/>
        </w:rPr>
        <w:t>.</w:t>
      </w:r>
    </w:p>
    <w:p w14:paraId="3E54FB36" w14:textId="77777777" w:rsidR="001636FA" w:rsidRPr="00FE6AC6" w:rsidRDefault="001636FA"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възрастни </w:t>
      </w:r>
      <w:r w:rsidR="00D72B51" w:rsidRPr="00FE6AC6">
        <w:rPr>
          <w:color w:val="000000"/>
          <w:lang w:val="bg-BG"/>
        </w:rPr>
        <w:t xml:space="preserve">и педиатрични пациенти </w:t>
      </w:r>
      <w:r w:rsidRPr="00FE6AC6">
        <w:rPr>
          <w:color w:val="000000"/>
          <w:lang w:val="bg-BG"/>
        </w:rPr>
        <w:t xml:space="preserve">с новодиагностицирана положителна </w:t>
      </w:r>
      <w:r w:rsidR="00D72B51" w:rsidRPr="00FE6AC6">
        <w:rPr>
          <w:color w:val="000000"/>
          <w:lang w:val="bg-BG"/>
        </w:rPr>
        <w:t>за</w:t>
      </w:r>
      <w:r w:rsidRPr="00FE6AC6">
        <w:rPr>
          <w:color w:val="000000"/>
          <w:lang w:val="bg-BG"/>
        </w:rPr>
        <w:t xml:space="preserve"> Филаделфийска хромозома остра лимфобластна левкемия (</w:t>
      </w:r>
      <w:r w:rsidRPr="00FE6AC6">
        <w:rPr>
          <w:color w:val="000000"/>
          <w:lang w:val="en-US"/>
        </w:rPr>
        <w:t>Ph</w:t>
      </w:r>
      <w:r w:rsidRPr="00FE6AC6">
        <w:rPr>
          <w:color w:val="000000"/>
          <w:lang w:val="ru-RU"/>
        </w:rPr>
        <w:t>+ ОЛЛ)</w:t>
      </w:r>
      <w:r w:rsidR="00461972" w:rsidRPr="00FE6AC6">
        <w:rPr>
          <w:color w:val="000000"/>
          <w:lang w:val="ru-RU"/>
        </w:rPr>
        <w:t>,</w:t>
      </w:r>
      <w:r w:rsidRPr="00FE6AC6">
        <w:rPr>
          <w:color w:val="000000"/>
          <w:lang w:val="ru-RU"/>
        </w:rPr>
        <w:t xml:space="preserve"> заедно с химиот</w:t>
      </w:r>
      <w:r w:rsidR="00534DAC" w:rsidRPr="00FE6AC6">
        <w:rPr>
          <w:color w:val="000000"/>
          <w:lang w:val="en-US"/>
        </w:rPr>
        <w:t>e</w:t>
      </w:r>
      <w:r w:rsidRPr="00FE6AC6">
        <w:rPr>
          <w:color w:val="000000"/>
          <w:lang w:val="ru-RU"/>
        </w:rPr>
        <w:t>рапия.</w:t>
      </w:r>
    </w:p>
    <w:p w14:paraId="3E54FB37" w14:textId="77777777" w:rsidR="001636FA" w:rsidRPr="00FE6AC6" w:rsidRDefault="001636FA"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ru-RU"/>
        </w:rPr>
        <w:t xml:space="preserve">възрастни с </w:t>
      </w:r>
      <w:r w:rsidRPr="00FE6AC6">
        <w:rPr>
          <w:color w:val="000000"/>
          <w:lang w:val="bg-BG"/>
        </w:rPr>
        <w:t>рецидив</w:t>
      </w:r>
      <w:r w:rsidRPr="00FE6AC6">
        <w:rPr>
          <w:color w:val="000000"/>
          <w:lang w:val="ru-RU"/>
        </w:rPr>
        <w:t xml:space="preserve"> или рефракт</w:t>
      </w:r>
      <w:r w:rsidR="00BF2E11" w:rsidRPr="00FE6AC6">
        <w:rPr>
          <w:color w:val="000000"/>
          <w:lang w:val="en-US"/>
        </w:rPr>
        <w:t>e</w:t>
      </w:r>
      <w:r w:rsidRPr="00FE6AC6">
        <w:rPr>
          <w:color w:val="000000"/>
          <w:lang w:val="ru-RU"/>
        </w:rPr>
        <w:t xml:space="preserve">рна </w:t>
      </w:r>
      <w:r w:rsidRPr="00FE6AC6">
        <w:rPr>
          <w:color w:val="000000"/>
          <w:lang w:val="en-US"/>
        </w:rPr>
        <w:t>Ph</w:t>
      </w:r>
      <w:r w:rsidRPr="00FE6AC6">
        <w:rPr>
          <w:color w:val="000000"/>
          <w:lang w:val="ru-RU"/>
        </w:rPr>
        <w:t xml:space="preserve">+ </w:t>
      </w:r>
      <w:r w:rsidRPr="00FE6AC6">
        <w:rPr>
          <w:color w:val="000000"/>
          <w:lang w:val="bg-BG"/>
        </w:rPr>
        <w:t>ОЛЛ като монотерапия.</w:t>
      </w:r>
    </w:p>
    <w:p w14:paraId="3E54FB38" w14:textId="77777777" w:rsidR="00F96C73" w:rsidRPr="00FE6AC6" w:rsidRDefault="00196BDE" w:rsidP="0063575E">
      <w:pPr>
        <w:pStyle w:val="EndnoteText"/>
        <w:widowControl w:val="0"/>
        <w:numPr>
          <w:ilvl w:val="0"/>
          <w:numId w:val="10"/>
        </w:numPr>
        <w:rPr>
          <w:snapToGrid w:val="0"/>
          <w:color w:val="000000"/>
          <w:szCs w:val="22"/>
          <w:lang w:val="bg-BG" w:eastAsia="de-DE"/>
        </w:rPr>
      </w:pPr>
      <w:r w:rsidRPr="00FE6AC6">
        <w:rPr>
          <w:snapToGrid w:val="0"/>
          <w:color w:val="000000"/>
          <w:lang w:val="bg-BG"/>
        </w:rPr>
        <w:t>в</w:t>
      </w:r>
      <w:r w:rsidR="00135447" w:rsidRPr="00FE6AC6">
        <w:rPr>
          <w:snapToGrid w:val="0"/>
          <w:color w:val="000000"/>
          <w:lang w:val="bg-BG"/>
        </w:rPr>
        <w:t>ъзрастни пациенти с миелодиспластичн</w:t>
      </w:r>
      <w:r w:rsidR="00C23AF8" w:rsidRPr="00FE6AC6">
        <w:rPr>
          <w:snapToGrid w:val="0"/>
          <w:color w:val="000000"/>
          <w:lang w:val="bg-BG"/>
        </w:rPr>
        <w:t>ен синдром</w:t>
      </w:r>
      <w:r w:rsidR="00F96C73" w:rsidRPr="00FE6AC6">
        <w:rPr>
          <w:snapToGrid w:val="0"/>
          <w:color w:val="000000"/>
          <w:lang w:val="bg-BG"/>
        </w:rPr>
        <w:t>/</w:t>
      </w:r>
      <w:r w:rsidR="00135447" w:rsidRPr="00FE6AC6">
        <w:rPr>
          <w:snapToGrid w:val="0"/>
          <w:color w:val="000000"/>
          <w:lang w:val="bg-BG"/>
        </w:rPr>
        <w:t xml:space="preserve">миелопролиферативни заболявания </w:t>
      </w:r>
      <w:r w:rsidR="00F96C73" w:rsidRPr="00FE6AC6">
        <w:rPr>
          <w:snapToGrid w:val="0"/>
          <w:color w:val="000000"/>
          <w:lang w:val="bg-BG"/>
        </w:rPr>
        <w:t>(</w:t>
      </w:r>
      <w:r w:rsidR="00135447" w:rsidRPr="00FE6AC6">
        <w:rPr>
          <w:snapToGrid w:val="0"/>
          <w:color w:val="000000"/>
          <w:lang w:val="bg-BG"/>
        </w:rPr>
        <w:t>МД</w:t>
      </w:r>
      <w:r w:rsidR="00C23AF8" w:rsidRPr="00FE6AC6">
        <w:rPr>
          <w:snapToGrid w:val="0"/>
          <w:color w:val="000000"/>
          <w:lang w:val="bg-BG"/>
        </w:rPr>
        <w:t>С</w:t>
      </w:r>
      <w:r w:rsidR="00F96C73" w:rsidRPr="00FE6AC6">
        <w:rPr>
          <w:snapToGrid w:val="0"/>
          <w:color w:val="000000"/>
          <w:lang w:val="bg-BG"/>
        </w:rPr>
        <w:t>/</w:t>
      </w:r>
      <w:r w:rsidR="00135447" w:rsidRPr="00FE6AC6">
        <w:rPr>
          <w:snapToGrid w:val="0"/>
          <w:color w:val="000000"/>
          <w:lang w:val="bg-BG"/>
        </w:rPr>
        <w:t>МПЗ</w:t>
      </w:r>
      <w:r w:rsidR="00F96C73" w:rsidRPr="00FE6AC6">
        <w:rPr>
          <w:snapToGrid w:val="0"/>
          <w:color w:val="000000"/>
          <w:lang w:val="bg-BG"/>
        </w:rPr>
        <w:t>)</w:t>
      </w:r>
      <w:r w:rsidR="00243FF9" w:rsidRPr="00FE6AC6">
        <w:rPr>
          <w:snapToGrid w:val="0"/>
          <w:color w:val="000000"/>
          <w:lang w:val="bg-BG"/>
        </w:rPr>
        <w:t>,</w:t>
      </w:r>
      <w:r w:rsidR="00F96C73" w:rsidRPr="00FE6AC6">
        <w:rPr>
          <w:snapToGrid w:val="0"/>
          <w:color w:val="000000"/>
          <w:lang w:val="bg-BG"/>
        </w:rPr>
        <w:t xml:space="preserve"> </w:t>
      </w:r>
      <w:r w:rsidR="00135447" w:rsidRPr="00FE6AC6">
        <w:rPr>
          <w:snapToGrid w:val="0"/>
          <w:color w:val="000000"/>
          <w:lang w:val="bg-BG"/>
        </w:rPr>
        <w:t xml:space="preserve">свързани с </w:t>
      </w:r>
      <w:r w:rsidR="00C23AF8" w:rsidRPr="00FE6AC6">
        <w:rPr>
          <w:snapToGrid w:val="0"/>
          <w:color w:val="000000"/>
          <w:lang w:val="bg-BG"/>
        </w:rPr>
        <w:t xml:space="preserve">генни </w:t>
      </w:r>
      <w:r w:rsidR="00933FF1" w:rsidRPr="00FE6AC6">
        <w:rPr>
          <w:snapToGrid w:val="0"/>
          <w:color w:val="000000"/>
          <w:lang w:val="bg-BG"/>
        </w:rPr>
        <w:t>пренареждания</w:t>
      </w:r>
      <w:r w:rsidR="00C23AF8" w:rsidRPr="00FE6AC6">
        <w:rPr>
          <w:snapToGrid w:val="0"/>
          <w:color w:val="000000"/>
          <w:lang w:val="bg-BG"/>
        </w:rPr>
        <w:t xml:space="preserve"> </w:t>
      </w:r>
      <w:r w:rsidR="002D34FD" w:rsidRPr="00FE6AC6">
        <w:rPr>
          <w:snapToGrid w:val="0"/>
          <w:color w:val="000000"/>
          <w:lang w:val="bg-BG"/>
        </w:rPr>
        <w:t xml:space="preserve">на рецептора на </w:t>
      </w:r>
      <w:r w:rsidR="00135447" w:rsidRPr="00FE6AC6">
        <w:rPr>
          <w:snapToGrid w:val="0"/>
          <w:color w:val="000000"/>
          <w:lang w:val="bg-BG"/>
        </w:rPr>
        <w:t>т</w:t>
      </w:r>
      <w:r w:rsidR="00CD7E65" w:rsidRPr="00FE6AC6">
        <w:rPr>
          <w:snapToGrid w:val="0"/>
          <w:color w:val="000000"/>
          <w:lang w:val="bg-BG"/>
        </w:rPr>
        <w:t xml:space="preserve">ромбоцитния </w:t>
      </w:r>
      <w:r w:rsidR="002D34FD" w:rsidRPr="00FE6AC6">
        <w:rPr>
          <w:snapToGrid w:val="0"/>
          <w:color w:val="000000"/>
          <w:lang w:val="bg-BG"/>
        </w:rPr>
        <w:t>растежен фактор (</w:t>
      </w:r>
      <w:r w:rsidR="002D34FD" w:rsidRPr="00FE6AC6">
        <w:rPr>
          <w:snapToGrid w:val="0"/>
          <w:color w:val="000000"/>
          <w:szCs w:val="22"/>
        </w:rPr>
        <w:t>PDGFR</w:t>
      </w:r>
      <w:r w:rsidR="002D34FD" w:rsidRPr="00FE6AC6">
        <w:rPr>
          <w:snapToGrid w:val="0"/>
          <w:color w:val="000000"/>
          <w:szCs w:val="22"/>
          <w:lang w:val="bg-BG"/>
        </w:rPr>
        <w:t>)</w:t>
      </w:r>
      <w:r w:rsidR="00F96C73" w:rsidRPr="00FE6AC6">
        <w:rPr>
          <w:snapToGrid w:val="0"/>
          <w:color w:val="000000"/>
          <w:lang w:val="bg-BG"/>
        </w:rPr>
        <w:t>.</w:t>
      </w:r>
    </w:p>
    <w:p w14:paraId="3E54FB39" w14:textId="77777777" w:rsidR="001636FA" w:rsidRPr="00FE6AC6" w:rsidRDefault="00196BDE"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в</w:t>
      </w:r>
      <w:r w:rsidR="000E16D3" w:rsidRPr="00FE6AC6">
        <w:rPr>
          <w:color w:val="000000"/>
          <w:lang w:val="bg-BG"/>
        </w:rPr>
        <w:t xml:space="preserve">ъзрастни пациенти с напреднал хипереозинофилен синдром </w:t>
      </w:r>
      <w:r w:rsidR="00F96C73" w:rsidRPr="00FE6AC6">
        <w:rPr>
          <w:color w:val="000000"/>
          <w:lang w:val="bg-BG"/>
        </w:rPr>
        <w:t>(</w:t>
      </w:r>
      <w:r w:rsidR="000E16D3" w:rsidRPr="00FE6AC6">
        <w:rPr>
          <w:color w:val="000000"/>
          <w:lang w:val="bg-BG"/>
        </w:rPr>
        <w:t>ХЕС</w:t>
      </w:r>
      <w:r w:rsidR="00F96C73" w:rsidRPr="00FE6AC6">
        <w:rPr>
          <w:color w:val="000000"/>
          <w:lang w:val="bg-BG"/>
        </w:rPr>
        <w:t xml:space="preserve">) </w:t>
      </w:r>
      <w:r w:rsidR="000E16D3" w:rsidRPr="00FE6AC6">
        <w:rPr>
          <w:color w:val="000000"/>
          <w:lang w:val="bg-BG"/>
        </w:rPr>
        <w:t>и</w:t>
      </w:r>
      <w:r w:rsidR="00F96C73" w:rsidRPr="00FE6AC6">
        <w:rPr>
          <w:color w:val="000000"/>
          <w:lang w:val="bg-BG"/>
        </w:rPr>
        <w:t>/</w:t>
      </w:r>
      <w:r w:rsidR="000E16D3" w:rsidRPr="00FE6AC6">
        <w:rPr>
          <w:color w:val="000000"/>
          <w:lang w:val="bg-BG"/>
        </w:rPr>
        <w:t>или</w:t>
      </w:r>
      <w:r w:rsidR="00F96C73" w:rsidRPr="00FE6AC6">
        <w:rPr>
          <w:color w:val="000000"/>
          <w:lang w:val="bg-BG"/>
        </w:rPr>
        <w:t xml:space="preserve"> </w:t>
      </w:r>
      <w:r w:rsidR="000E16D3" w:rsidRPr="00FE6AC6">
        <w:rPr>
          <w:color w:val="000000"/>
          <w:lang w:val="bg-BG"/>
        </w:rPr>
        <w:t>хронична еозинофилна левкемия</w:t>
      </w:r>
      <w:r w:rsidR="00F96C73" w:rsidRPr="00FE6AC6">
        <w:rPr>
          <w:color w:val="000000"/>
          <w:lang w:val="bg-BG"/>
        </w:rPr>
        <w:t xml:space="preserve"> (</w:t>
      </w:r>
      <w:r w:rsidR="000E16D3" w:rsidRPr="00FE6AC6">
        <w:rPr>
          <w:color w:val="000000"/>
          <w:lang w:val="bg-BG"/>
        </w:rPr>
        <w:t>ХЕЛ</w:t>
      </w:r>
      <w:r w:rsidR="00F96C73" w:rsidRPr="00FE6AC6">
        <w:rPr>
          <w:color w:val="000000"/>
          <w:lang w:val="bg-BG"/>
        </w:rPr>
        <w:t xml:space="preserve">) </w:t>
      </w:r>
      <w:r w:rsidR="000E16D3" w:rsidRPr="00FE6AC6">
        <w:rPr>
          <w:color w:val="000000"/>
          <w:lang w:val="bg-BG"/>
        </w:rPr>
        <w:t>с</w:t>
      </w:r>
      <w:r w:rsidR="00F96C73" w:rsidRPr="00FE6AC6">
        <w:rPr>
          <w:color w:val="000000"/>
          <w:lang w:val="bg-BG"/>
        </w:rPr>
        <w:t xml:space="preserve"> </w:t>
      </w:r>
      <w:r w:rsidR="00FB7103" w:rsidRPr="00FE6AC6">
        <w:rPr>
          <w:color w:val="000000"/>
          <w:lang w:val="bg-BG"/>
        </w:rPr>
        <w:t xml:space="preserve">генни </w:t>
      </w:r>
      <w:r w:rsidR="00933FF1" w:rsidRPr="00FE6AC6">
        <w:rPr>
          <w:color w:val="000000"/>
          <w:lang w:val="bg-BG"/>
        </w:rPr>
        <w:t>пренареждания</w:t>
      </w:r>
      <w:r w:rsidR="00FB7103" w:rsidRPr="00FE6AC6">
        <w:rPr>
          <w:color w:val="000000"/>
          <w:lang w:val="bg-BG"/>
        </w:rPr>
        <w:t xml:space="preserve"> на </w:t>
      </w:r>
      <w:r w:rsidR="00F96C73" w:rsidRPr="00FE6AC6">
        <w:rPr>
          <w:color w:val="000000"/>
        </w:rPr>
        <w:t>FIP</w:t>
      </w:r>
      <w:r w:rsidR="00F96C73" w:rsidRPr="00FE6AC6">
        <w:rPr>
          <w:color w:val="000000"/>
          <w:lang w:val="bg-BG"/>
        </w:rPr>
        <w:t>1</w:t>
      </w:r>
      <w:r w:rsidR="00F96C73" w:rsidRPr="00FE6AC6">
        <w:rPr>
          <w:color w:val="000000"/>
        </w:rPr>
        <w:t>L</w:t>
      </w:r>
      <w:r w:rsidR="00F96C73" w:rsidRPr="00FE6AC6">
        <w:rPr>
          <w:color w:val="000000"/>
          <w:lang w:val="bg-BG"/>
        </w:rPr>
        <w:t>1-</w:t>
      </w:r>
      <w:r w:rsidR="00F96C73" w:rsidRPr="00FE6AC6">
        <w:rPr>
          <w:color w:val="000000"/>
        </w:rPr>
        <w:t>PDGFR</w:t>
      </w:r>
      <w:r w:rsidR="00F96C73" w:rsidRPr="00FE6AC6">
        <w:rPr>
          <w:color w:val="000000"/>
        </w:rPr>
        <w:sym w:font="Symbol" w:char="F061"/>
      </w:r>
      <w:r w:rsidR="005B390E" w:rsidRPr="00FE6AC6">
        <w:rPr>
          <w:color w:val="000000"/>
          <w:lang w:val="bg-BG"/>
        </w:rPr>
        <w:t>.</w:t>
      </w:r>
    </w:p>
    <w:p w14:paraId="3E54FB3A" w14:textId="77777777" w:rsidR="00FB7103" w:rsidRPr="00FE6AC6" w:rsidRDefault="00FB7103" w:rsidP="0063575E">
      <w:pPr>
        <w:widowControl w:val="0"/>
        <w:tabs>
          <w:tab w:val="clear" w:pos="567"/>
        </w:tabs>
        <w:spacing w:line="240" w:lineRule="auto"/>
        <w:rPr>
          <w:color w:val="000000"/>
          <w:lang w:val="bg-BG"/>
        </w:rPr>
      </w:pPr>
    </w:p>
    <w:p w14:paraId="3E54FB3B" w14:textId="77777777" w:rsidR="001636FA" w:rsidRPr="00FE6AC6" w:rsidRDefault="001636FA" w:rsidP="0063575E">
      <w:pPr>
        <w:widowControl w:val="0"/>
        <w:spacing w:line="240" w:lineRule="auto"/>
        <w:rPr>
          <w:color w:val="000000"/>
          <w:lang w:val="bg-BG"/>
        </w:rPr>
      </w:pPr>
      <w:r w:rsidRPr="00FE6AC6">
        <w:rPr>
          <w:color w:val="000000"/>
          <w:lang w:val="bg-BG"/>
        </w:rPr>
        <w:t>Ефектът на Glivec върху резултата от костно-мозъчната трансплантация не е установен.</w:t>
      </w:r>
    </w:p>
    <w:p w14:paraId="3E54FB3C" w14:textId="77777777" w:rsidR="001636FA" w:rsidRPr="00FE6AC6" w:rsidRDefault="001636FA" w:rsidP="0063575E">
      <w:pPr>
        <w:widowControl w:val="0"/>
        <w:spacing w:line="240" w:lineRule="auto"/>
        <w:rPr>
          <w:color w:val="000000"/>
          <w:lang w:val="bg-BG"/>
        </w:rPr>
      </w:pPr>
    </w:p>
    <w:p w14:paraId="3E54FB3D" w14:textId="77777777" w:rsidR="007D128F" w:rsidRPr="00FE6AC6" w:rsidRDefault="007D128F" w:rsidP="0063575E">
      <w:pPr>
        <w:keepNext/>
        <w:widowControl w:val="0"/>
        <w:spacing w:line="240" w:lineRule="auto"/>
        <w:rPr>
          <w:color w:val="000000"/>
          <w:lang w:val="en-US"/>
        </w:rPr>
      </w:pPr>
      <w:r w:rsidRPr="00FE6AC6">
        <w:rPr>
          <w:color w:val="000000"/>
          <w:lang w:val="bg-BG"/>
        </w:rPr>
        <w:t>Glivec е показан за</w:t>
      </w:r>
    </w:p>
    <w:p w14:paraId="3E54FB3E" w14:textId="77777777" w:rsidR="007D128F" w:rsidRPr="00FE6AC6" w:rsidRDefault="007D128F"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лечение на възрастни с положителни за Kit (CD 117) неподлежащи на резекция и/или метастатични малигнени гастро-интестинални стромални тумори (ГИСТ).</w:t>
      </w:r>
    </w:p>
    <w:p w14:paraId="3E54FB3F" w14:textId="77777777" w:rsidR="007D128F" w:rsidRPr="00FE6AC6" w:rsidRDefault="007D128F"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адювантна терапия при възрастни пациенти с повишен риск от рецидив след резекция на </w:t>
      </w:r>
      <w:r w:rsidRPr="00FE6AC6">
        <w:rPr>
          <w:color w:val="000000"/>
          <w:lang w:val="en-US"/>
        </w:rPr>
        <w:t>Kit</w:t>
      </w:r>
      <w:r w:rsidRPr="00FE6AC6">
        <w:rPr>
          <w:color w:val="000000"/>
          <w:lang w:val="ru-RU"/>
        </w:rPr>
        <w:t xml:space="preserve"> (</w:t>
      </w:r>
      <w:r w:rsidRPr="00FE6AC6">
        <w:rPr>
          <w:color w:val="000000"/>
          <w:lang w:val="en-US"/>
        </w:rPr>
        <w:t>CD</w:t>
      </w:r>
      <w:r w:rsidRPr="00FE6AC6">
        <w:rPr>
          <w:color w:val="000000"/>
          <w:lang w:val="ru-RU"/>
        </w:rPr>
        <w:t xml:space="preserve">117)-позитивни ГИСТ. </w:t>
      </w:r>
      <w:r w:rsidR="00F7665C" w:rsidRPr="00FE6AC6">
        <w:rPr>
          <w:color w:val="000000"/>
          <w:lang w:val="ru-RU"/>
        </w:rPr>
        <w:t xml:space="preserve">Пациентите с нисък или много нисък риск от рецидив не </w:t>
      </w:r>
      <w:r w:rsidR="004B1371" w:rsidRPr="00FE6AC6">
        <w:rPr>
          <w:color w:val="000000"/>
          <w:lang w:val="ru-RU"/>
        </w:rPr>
        <w:t>трябва</w:t>
      </w:r>
      <w:r w:rsidR="00F7665C" w:rsidRPr="00FE6AC6">
        <w:rPr>
          <w:color w:val="000000"/>
          <w:lang w:val="ru-RU"/>
        </w:rPr>
        <w:t xml:space="preserve"> да провеждат </w:t>
      </w:r>
      <w:r w:rsidRPr="00FE6AC6">
        <w:rPr>
          <w:color w:val="000000"/>
          <w:lang w:val="bg-BG"/>
        </w:rPr>
        <w:t>адювантна терапия.</w:t>
      </w:r>
    </w:p>
    <w:p w14:paraId="3E54FB40" w14:textId="77777777" w:rsidR="007D128F" w:rsidRPr="00FE6AC6" w:rsidRDefault="007D128F"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лечение на възрастни с неподлежаща на резекция дерматофибросаркома протруберанс (ДФСП) и пациенти с рекурентни и/или метастатични ДФСП, които н</w:t>
      </w:r>
      <w:r w:rsidR="00461972" w:rsidRPr="00FE6AC6">
        <w:rPr>
          <w:color w:val="000000"/>
          <w:lang w:val="bg-BG"/>
        </w:rPr>
        <w:t>е</w:t>
      </w:r>
      <w:r w:rsidRPr="00FE6AC6">
        <w:rPr>
          <w:color w:val="000000"/>
          <w:lang w:val="bg-BG"/>
        </w:rPr>
        <w:t xml:space="preserve"> са подходящи за хирургично лечение.</w:t>
      </w:r>
    </w:p>
    <w:p w14:paraId="3E54FB41" w14:textId="77777777" w:rsidR="007D128F" w:rsidRPr="00FE6AC6" w:rsidRDefault="007D128F" w:rsidP="0063575E">
      <w:pPr>
        <w:widowControl w:val="0"/>
        <w:spacing w:line="240" w:lineRule="auto"/>
        <w:rPr>
          <w:color w:val="000000"/>
          <w:lang w:val="bg-BG"/>
        </w:rPr>
      </w:pPr>
    </w:p>
    <w:p w14:paraId="3E54FB42" w14:textId="77777777" w:rsidR="007D128F" w:rsidRPr="00FE6AC6" w:rsidRDefault="007D128F" w:rsidP="0063575E">
      <w:pPr>
        <w:widowControl w:val="0"/>
        <w:spacing w:line="240" w:lineRule="auto"/>
        <w:rPr>
          <w:color w:val="000000"/>
          <w:lang w:val="bg-BG"/>
        </w:rPr>
      </w:pPr>
      <w:r w:rsidRPr="00FE6AC6">
        <w:rPr>
          <w:color w:val="000000"/>
          <w:lang w:val="bg-BG"/>
        </w:rPr>
        <w:t xml:space="preserve">При възрастни и педиатрични пациенти, ефективността на Glivec се основава на общата степен на повлияване на хематологичния и цитогенетичен отговор и </w:t>
      </w:r>
      <w:r w:rsidR="00B4501D" w:rsidRPr="00FE6AC6">
        <w:rPr>
          <w:color w:val="000000"/>
          <w:lang w:val="bg-BG"/>
        </w:rPr>
        <w:t>преживяемостта без</w:t>
      </w:r>
      <w:r w:rsidRPr="00FE6AC6">
        <w:rPr>
          <w:color w:val="000000"/>
          <w:lang w:val="bg-BG"/>
        </w:rPr>
        <w:t xml:space="preserve"> прогресия при ХМЛ, на степента на повлияване на хематологичния и цитогенетичен отговор при </w:t>
      </w:r>
      <w:r w:rsidRPr="00FE6AC6">
        <w:rPr>
          <w:color w:val="000000"/>
          <w:lang w:val="en-US"/>
        </w:rPr>
        <w:t>Ph</w:t>
      </w:r>
      <w:r w:rsidRPr="00FE6AC6">
        <w:rPr>
          <w:color w:val="000000"/>
          <w:lang w:val="ru-RU"/>
        </w:rPr>
        <w:t>+ОЛЛ,</w:t>
      </w:r>
      <w:r w:rsidRPr="00FE6AC6">
        <w:rPr>
          <w:color w:val="000000"/>
          <w:szCs w:val="22"/>
          <w:lang w:val="bg-BG"/>
        </w:rPr>
        <w:t xml:space="preserve"> МДС/МПЗ, </w:t>
      </w:r>
      <w:r w:rsidRPr="00FE6AC6">
        <w:rPr>
          <w:color w:val="000000"/>
          <w:lang w:val="bg-BG"/>
        </w:rPr>
        <w:t xml:space="preserve">на степента на повлияване на хематологичния отговор при </w:t>
      </w:r>
      <w:r w:rsidRPr="00FE6AC6">
        <w:rPr>
          <w:color w:val="000000"/>
          <w:szCs w:val="22"/>
          <w:lang w:val="bg-BG"/>
        </w:rPr>
        <w:t>ХЕС/ХЕЛ</w:t>
      </w:r>
      <w:r w:rsidRPr="00FE6AC6">
        <w:rPr>
          <w:color w:val="000000"/>
          <w:lang w:val="bg-BG"/>
        </w:rPr>
        <w:t xml:space="preserve"> и обективната степен на повлияване при възрастни с неподлежащи на резекция и/или метастатични ГИСТ и ДФСП и на </w:t>
      </w:r>
      <w:r w:rsidR="00F13F66" w:rsidRPr="00FE6AC6">
        <w:rPr>
          <w:color w:val="000000"/>
          <w:lang w:val="bg-BG"/>
        </w:rPr>
        <w:t>преживяемостта без</w:t>
      </w:r>
      <w:r w:rsidRPr="00FE6AC6">
        <w:rPr>
          <w:color w:val="000000"/>
          <w:lang w:val="bg-BG"/>
        </w:rPr>
        <w:t xml:space="preserve"> рецидив при адювантна терапия на ГИСТ. </w:t>
      </w:r>
      <w:r w:rsidRPr="00FE6AC6">
        <w:rPr>
          <w:color w:val="000000"/>
          <w:szCs w:val="22"/>
          <w:lang w:val="bg-BG"/>
        </w:rPr>
        <w:t xml:space="preserve">Опитът с </w:t>
      </w:r>
      <w:r w:rsidRPr="00FE6AC6">
        <w:rPr>
          <w:color w:val="000000"/>
          <w:szCs w:val="22"/>
        </w:rPr>
        <w:t>Glivec</w:t>
      </w:r>
      <w:r w:rsidRPr="00FE6AC6">
        <w:rPr>
          <w:color w:val="000000"/>
          <w:szCs w:val="22"/>
          <w:lang w:val="bg-BG"/>
        </w:rPr>
        <w:t xml:space="preserve"> при пациенти с МДС/МПЗ свързани с генни </w:t>
      </w:r>
      <w:r w:rsidR="00933FF1" w:rsidRPr="00FE6AC6">
        <w:rPr>
          <w:color w:val="000000"/>
          <w:szCs w:val="22"/>
          <w:lang w:val="bg-BG"/>
        </w:rPr>
        <w:t>пренареждания</w:t>
      </w:r>
      <w:r w:rsidRPr="00FE6AC6">
        <w:rPr>
          <w:color w:val="000000"/>
          <w:szCs w:val="22"/>
          <w:lang w:val="bg-BG"/>
        </w:rPr>
        <w:t xml:space="preserve"> на </w:t>
      </w:r>
      <w:r w:rsidRPr="00FE6AC6">
        <w:rPr>
          <w:snapToGrid w:val="0"/>
          <w:color w:val="000000"/>
          <w:szCs w:val="22"/>
        </w:rPr>
        <w:t>PDGFR</w:t>
      </w:r>
      <w:r w:rsidR="00461972" w:rsidRPr="00FE6AC6">
        <w:rPr>
          <w:snapToGrid w:val="0"/>
          <w:color w:val="000000"/>
          <w:szCs w:val="22"/>
          <w:lang w:val="bg-BG"/>
        </w:rPr>
        <w:t>,</w:t>
      </w:r>
      <w:r w:rsidRPr="00FE6AC6">
        <w:rPr>
          <w:snapToGrid w:val="0"/>
          <w:color w:val="000000"/>
          <w:szCs w:val="22"/>
          <w:lang w:val="bg-BG"/>
        </w:rPr>
        <w:t xml:space="preserve"> </w:t>
      </w:r>
      <w:r w:rsidRPr="00FE6AC6">
        <w:rPr>
          <w:color w:val="000000"/>
          <w:szCs w:val="22"/>
          <w:lang w:val="bg-BG"/>
        </w:rPr>
        <w:t>е много ограничен (вж. точка 5.1). Освен при ново диагностицирана ХМЛ в хронична фаза, л</w:t>
      </w:r>
      <w:r w:rsidRPr="00FE6AC6">
        <w:rPr>
          <w:color w:val="000000"/>
          <w:lang w:val="bg-BG"/>
        </w:rPr>
        <w:t>ипсват контролирани клинични проучвания, показващи клинична полза или повишена преживяемост при тези заболявания.</w:t>
      </w:r>
    </w:p>
    <w:p w14:paraId="3E54FB43" w14:textId="77777777" w:rsidR="007D128F" w:rsidRPr="00FE6AC6" w:rsidRDefault="007D128F" w:rsidP="0063575E">
      <w:pPr>
        <w:widowControl w:val="0"/>
        <w:tabs>
          <w:tab w:val="clear" w:pos="567"/>
        </w:tabs>
        <w:spacing w:line="240" w:lineRule="auto"/>
        <w:rPr>
          <w:color w:val="000000"/>
          <w:lang w:val="bg-BG"/>
        </w:rPr>
      </w:pPr>
    </w:p>
    <w:p w14:paraId="3E54FB44" w14:textId="77777777" w:rsidR="001636FA" w:rsidRPr="00FE6AC6" w:rsidRDefault="001636FA" w:rsidP="0063575E">
      <w:pPr>
        <w:keepNext/>
        <w:widowControl w:val="0"/>
        <w:spacing w:line="240" w:lineRule="auto"/>
        <w:ind w:left="567" w:hanging="567"/>
        <w:rPr>
          <w:b/>
          <w:color w:val="000000"/>
          <w:lang w:val="bg-BG"/>
        </w:rPr>
      </w:pPr>
      <w:r w:rsidRPr="00FE6AC6">
        <w:rPr>
          <w:b/>
          <w:color w:val="000000"/>
          <w:lang w:val="bg-BG"/>
        </w:rPr>
        <w:t>4.2</w:t>
      </w:r>
      <w:r w:rsidRPr="00FE6AC6">
        <w:rPr>
          <w:b/>
          <w:color w:val="000000"/>
          <w:lang w:val="bg-BG"/>
        </w:rPr>
        <w:tab/>
        <w:t>Дозировка и начин на приложение</w:t>
      </w:r>
    </w:p>
    <w:p w14:paraId="3E54FB45" w14:textId="77777777" w:rsidR="001636FA" w:rsidRPr="00FE6AC6" w:rsidRDefault="001636FA" w:rsidP="0063575E">
      <w:pPr>
        <w:keepNext/>
        <w:widowControl w:val="0"/>
        <w:tabs>
          <w:tab w:val="clear" w:pos="567"/>
        </w:tabs>
        <w:spacing w:line="240" w:lineRule="auto"/>
        <w:rPr>
          <w:color w:val="000000"/>
          <w:lang w:val="bg-BG"/>
        </w:rPr>
      </w:pPr>
    </w:p>
    <w:p w14:paraId="3E54FB46" w14:textId="77777777" w:rsidR="001636FA" w:rsidRPr="00FE6AC6" w:rsidRDefault="001636FA" w:rsidP="0063575E">
      <w:pPr>
        <w:widowControl w:val="0"/>
        <w:spacing w:line="240" w:lineRule="auto"/>
        <w:rPr>
          <w:color w:val="000000"/>
          <w:lang w:val="bg-BG"/>
        </w:rPr>
      </w:pPr>
      <w:r w:rsidRPr="00FE6AC6">
        <w:rPr>
          <w:color w:val="000000"/>
          <w:lang w:val="bg-BG"/>
        </w:rPr>
        <w:t>Терапията трябва да се започне от лекар с опит в лечението на пациенти с хематологични злокачествени заболявания и малигнени саркоми, според изискванията.</w:t>
      </w:r>
    </w:p>
    <w:p w14:paraId="3E54FB47" w14:textId="77777777" w:rsidR="001636FA" w:rsidRPr="00FE6AC6" w:rsidRDefault="001636FA" w:rsidP="0063575E">
      <w:pPr>
        <w:widowControl w:val="0"/>
        <w:spacing w:line="240" w:lineRule="auto"/>
        <w:rPr>
          <w:color w:val="000000"/>
          <w:lang w:val="bg-BG"/>
        </w:rPr>
      </w:pPr>
    </w:p>
    <w:p w14:paraId="3E54FB48" w14:textId="77777777" w:rsidR="001636FA" w:rsidRPr="00FE6AC6" w:rsidRDefault="001636FA" w:rsidP="0063575E">
      <w:pPr>
        <w:widowControl w:val="0"/>
        <w:spacing w:line="240" w:lineRule="auto"/>
        <w:rPr>
          <w:color w:val="000000"/>
          <w:lang w:val="bg-BG"/>
        </w:rPr>
      </w:pPr>
      <w:r w:rsidRPr="00FE6AC6">
        <w:rPr>
          <w:color w:val="000000"/>
          <w:lang w:val="bg-BG"/>
        </w:rPr>
        <w:t>Предписаната доза трябва да се прилага перорално с храна и голяма чаша вода, за да се сведе до минимум риска от дразнене на гастро-интестиналния тракт. Дозите от 400</w:t>
      </w:r>
      <w:r w:rsidRPr="00FE6AC6">
        <w:rPr>
          <w:color w:val="000000"/>
          <w:lang w:val="en-US"/>
        </w:rPr>
        <w:t> </w:t>
      </w:r>
      <w:r w:rsidRPr="00FE6AC6">
        <w:rPr>
          <w:color w:val="000000"/>
          <w:lang w:val="bg-BG"/>
        </w:rPr>
        <w:t>mg или 600</w:t>
      </w:r>
      <w:r w:rsidRPr="00FE6AC6">
        <w:rPr>
          <w:color w:val="000000"/>
          <w:lang w:val="en-US"/>
        </w:rPr>
        <w:t> </w:t>
      </w:r>
      <w:r w:rsidRPr="00FE6AC6">
        <w:rPr>
          <w:color w:val="000000"/>
          <w:lang w:val="bg-BG"/>
        </w:rPr>
        <w:t>mg трябва да се прилагат веднъж дневно, докато дневната доза от 800</w:t>
      </w:r>
      <w:r w:rsidRPr="00FE6AC6">
        <w:rPr>
          <w:color w:val="000000"/>
          <w:lang w:val="en-US"/>
        </w:rPr>
        <w:t> </w:t>
      </w:r>
      <w:r w:rsidRPr="00FE6AC6">
        <w:rPr>
          <w:color w:val="000000"/>
          <w:lang w:val="bg-BG"/>
        </w:rPr>
        <w:t>mg трябва да се прилага като 400</w:t>
      </w:r>
      <w:r w:rsidRPr="00FE6AC6">
        <w:rPr>
          <w:color w:val="000000"/>
          <w:lang w:val="en-US"/>
        </w:rPr>
        <w:t> </w:t>
      </w:r>
      <w:r w:rsidRPr="00FE6AC6">
        <w:rPr>
          <w:color w:val="000000"/>
          <w:lang w:val="bg-BG"/>
        </w:rPr>
        <w:t>mg два пъти дневно</w:t>
      </w:r>
      <w:r w:rsidR="00461972" w:rsidRPr="00FE6AC6">
        <w:rPr>
          <w:color w:val="000000"/>
          <w:lang w:val="bg-BG"/>
        </w:rPr>
        <w:t>,</w:t>
      </w:r>
      <w:r w:rsidRPr="00FE6AC6">
        <w:rPr>
          <w:color w:val="000000"/>
          <w:lang w:val="bg-BG"/>
        </w:rPr>
        <w:t xml:space="preserve"> сутрин и вечер. За пациентите (деца), които не могат да преглътнат капсулите съдържанието им може да се разтвори в чаша </w:t>
      </w:r>
      <w:r w:rsidR="00461972" w:rsidRPr="00FE6AC6">
        <w:rPr>
          <w:color w:val="000000"/>
          <w:lang w:val="bg-BG"/>
        </w:rPr>
        <w:t xml:space="preserve">негазирана </w:t>
      </w:r>
      <w:r w:rsidRPr="00FE6AC6">
        <w:rPr>
          <w:color w:val="000000"/>
          <w:lang w:val="bg-BG"/>
        </w:rPr>
        <w:t>вода или ябълков сок. Тъй като проучванията при животни показват репродуктивна токсичност и потенциалният риск за човешкия плод не е известен, жените в детеродна възраст, които отварят капсулите, трябва да бъдат посъветвани да боравят със съдържанието предпазливо и да избягват контакта с очите и кожата или вдишването му (вж. точка 4.6). Ръцете трябва да се измиват непосредствено след боравене с отворените капсули.</w:t>
      </w:r>
    </w:p>
    <w:p w14:paraId="3E54FB49" w14:textId="77777777" w:rsidR="001636FA" w:rsidRPr="00FE6AC6" w:rsidRDefault="001636FA" w:rsidP="0063575E">
      <w:pPr>
        <w:widowControl w:val="0"/>
        <w:spacing w:line="240" w:lineRule="auto"/>
        <w:rPr>
          <w:color w:val="000000"/>
          <w:lang w:val="bg-BG"/>
        </w:rPr>
      </w:pPr>
    </w:p>
    <w:p w14:paraId="3E54FB4A"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Дозир</w:t>
      </w:r>
      <w:r w:rsidR="00F7241C" w:rsidRPr="00FE6AC6">
        <w:rPr>
          <w:color w:val="000000"/>
          <w:u w:val="single"/>
          <w:lang w:val="bg-BG"/>
        </w:rPr>
        <w:t>овка</w:t>
      </w:r>
      <w:r w:rsidRPr="00FE6AC6">
        <w:rPr>
          <w:color w:val="000000"/>
          <w:u w:val="single"/>
          <w:lang w:val="bg-BG"/>
        </w:rPr>
        <w:t xml:space="preserve"> при ХМЛ при възрастни</w:t>
      </w:r>
    </w:p>
    <w:p w14:paraId="3E54FB4B" w14:textId="77777777" w:rsidR="001636FA" w:rsidRPr="00FE6AC6" w:rsidRDefault="001636FA" w:rsidP="0063575E">
      <w:pPr>
        <w:widowControl w:val="0"/>
        <w:spacing w:line="240" w:lineRule="auto"/>
        <w:rPr>
          <w:color w:val="000000"/>
          <w:lang w:val="bg-BG"/>
        </w:rPr>
      </w:pPr>
      <w:r w:rsidRPr="00FE6AC6">
        <w:rPr>
          <w:color w:val="000000"/>
          <w:lang w:val="bg-BG"/>
        </w:rPr>
        <w:t xml:space="preserve">При </w:t>
      </w:r>
      <w:r w:rsidR="00BE7F91" w:rsidRPr="00FE6AC6">
        <w:rPr>
          <w:color w:val="000000"/>
          <w:lang w:val="bg-BG"/>
        </w:rPr>
        <w:t xml:space="preserve">възрастни </w:t>
      </w:r>
      <w:r w:rsidRPr="00FE6AC6">
        <w:rPr>
          <w:color w:val="000000"/>
          <w:lang w:val="bg-BG"/>
        </w:rPr>
        <w:t>пациенти в хронична фазa на ХМЛ препоръчваната дозировка на Glivec е 400</w:t>
      </w:r>
      <w:r w:rsidRPr="00FE6AC6">
        <w:rPr>
          <w:color w:val="000000"/>
          <w:lang w:val="en-US"/>
        </w:rPr>
        <w:t> </w:t>
      </w:r>
      <w:r w:rsidRPr="00FE6AC6">
        <w:rPr>
          <w:color w:val="000000"/>
          <w:lang w:val="bg-BG"/>
        </w:rPr>
        <w:t>mg/ден. Хроничната фаза на ХМЛ се дефинира, ако са изпълнени всички следващи критерии: бласти &lt;15% в кръвта и костния мозък, базофили в периферната кръв &lt;20%, тромбоцити &gt;100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p w14:paraId="3E54FB4C" w14:textId="77777777" w:rsidR="001636FA" w:rsidRPr="00FE6AC6" w:rsidRDefault="001636FA" w:rsidP="0063575E">
      <w:pPr>
        <w:widowControl w:val="0"/>
        <w:spacing w:line="240" w:lineRule="auto"/>
        <w:rPr>
          <w:color w:val="000000"/>
          <w:lang w:val="bg-BG"/>
        </w:rPr>
      </w:pPr>
    </w:p>
    <w:p w14:paraId="3E54FB4D" w14:textId="77777777" w:rsidR="001636FA" w:rsidRPr="00FE6AC6" w:rsidRDefault="001636FA" w:rsidP="0063575E">
      <w:pPr>
        <w:widowControl w:val="0"/>
        <w:spacing w:line="240" w:lineRule="auto"/>
        <w:rPr>
          <w:color w:val="000000"/>
          <w:lang w:val="bg-BG"/>
        </w:rPr>
      </w:pPr>
      <w:r w:rsidRPr="00FE6AC6">
        <w:rPr>
          <w:color w:val="000000"/>
          <w:lang w:val="bg-BG"/>
        </w:rPr>
        <w:t xml:space="preserve">При </w:t>
      </w:r>
      <w:r w:rsidR="00BE7F91" w:rsidRPr="00FE6AC6">
        <w:rPr>
          <w:color w:val="000000"/>
          <w:lang w:val="bg-BG"/>
        </w:rPr>
        <w:t xml:space="preserve">възрастни </w:t>
      </w:r>
      <w:r w:rsidRPr="00FE6AC6">
        <w:rPr>
          <w:color w:val="000000"/>
          <w:lang w:val="bg-BG"/>
        </w:rPr>
        <w:t>пациенти във фазa на акцелерация препоръчваната дозировка на Glivec е 600</w:t>
      </w:r>
      <w:r w:rsidRPr="00FE6AC6">
        <w:rPr>
          <w:color w:val="000000"/>
          <w:lang w:val="en-US"/>
        </w:rPr>
        <w:t> </w:t>
      </w:r>
      <w:r w:rsidRPr="00FE6AC6">
        <w:rPr>
          <w:color w:val="000000"/>
          <w:lang w:val="bg-BG"/>
        </w:rPr>
        <w:t>mg/ден. Фазата на акцелерация се дефинира от наличието на някой от следните критерии: бласти ≥15%, но &lt;30% в кръвта или костния мозък, бласти плюс промиелоцити ≥30% в кръвта или костния мозък (при &lt;30% бласти), базофили в периферната кръв ≥20%, тромбоцити &lt;100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r w:rsidR="00461972" w:rsidRPr="00FE6AC6">
        <w:rPr>
          <w:color w:val="000000"/>
          <w:lang w:val="bg-BG"/>
        </w:rPr>
        <w:t>,</w:t>
      </w:r>
      <w:r w:rsidRPr="00FE6AC6">
        <w:rPr>
          <w:color w:val="000000"/>
          <w:lang w:val="bg-BG"/>
        </w:rPr>
        <w:t xml:space="preserve"> независимо от лечението.</w:t>
      </w:r>
    </w:p>
    <w:p w14:paraId="3E54FB4E" w14:textId="77777777" w:rsidR="001636FA" w:rsidRPr="00FE6AC6" w:rsidRDefault="001636FA" w:rsidP="0063575E">
      <w:pPr>
        <w:widowControl w:val="0"/>
        <w:spacing w:line="240" w:lineRule="auto"/>
        <w:rPr>
          <w:color w:val="000000"/>
          <w:lang w:val="bg-BG"/>
        </w:rPr>
      </w:pPr>
    </w:p>
    <w:p w14:paraId="3E54FB4F" w14:textId="77777777" w:rsidR="001636FA" w:rsidRPr="00FE6AC6" w:rsidRDefault="001636FA" w:rsidP="0063575E">
      <w:pPr>
        <w:widowControl w:val="0"/>
        <w:spacing w:line="240" w:lineRule="auto"/>
        <w:rPr>
          <w:color w:val="000000"/>
          <w:lang w:val="bg-BG"/>
        </w:rPr>
      </w:pPr>
      <w:r w:rsidRPr="00FE6AC6">
        <w:rPr>
          <w:color w:val="000000"/>
          <w:lang w:val="bg-BG"/>
        </w:rPr>
        <w:t xml:space="preserve">При </w:t>
      </w:r>
      <w:r w:rsidR="0014439C" w:rsidRPr="00FE6AC6">
        <w:rPr>
          <w:color w:val="000000"/>
          <w:lang w:val="bg-BG"/>
        </w:rPr>
        <w:t xml:space="preserve">възрастни </w:t>
      </w:r>
      <w:r w:rsidRPr="00FE6AC6">
        <w:rPr>
          <w:color w:val="000000"/>
          <w:lang w:val="bg-BG"/>
        </w:rPr>
        <w:t>пациенти в бластна криза препоръчваната дозировка на Glivec е 600</w:t>
      </w:r>
      <w:r w:rsidRPr="00FE6AC6">
        <w:rPr>
          <w:color w:val="000000"/>
          <w:lang w:val="en-US"/>
        </w:rPr>
        <w:t> </w:t>
      </w:r>
      <w:r w:rsidRPr="00FE6AC6">
        <w:rPr>
          <w:color w:val="000000"/>
          <w:lang w:val="bg-BG"/>
        </w:rPr>
        <w:t>mg/ден. Бластната криза се дефинира като бласти ≥30% в кръвта или костния мозък или екстрамедуларно засягане</w:t>
      </w:r>
      <w:r w:rsidR="00461972" w:rsidRPr="00FE6AC6">
        <w:rPr>
          <w:color w:val="000000"/>
          <w:lang w:val="bg-BG"/>
        </w:rPr>
        <w:t>,</w:t>
      </w:r>
      <w:r w:rsidRPr="00FE6AC6">
        <w:rPr>
          <w:color w:val="000000"/>
          <w:lang w:val="bg-BG"/>
        </w:rPr>
        <w:t xml:space="preserve"> с изключение на хепатоспленомегалия.</w:t>
      </w:r>
    </w:p>
    <w:p w14:paraId="3E54FB50" w14:textId="77777777" w:rsidR="001636FA" w:rsidRPr="00FE6AC6" w:rsidRDefault="001636FA" w:rsidP="0063575E">
      <w:pPr>
        <w:widowControl w:val="0"/>
        <w:spacing w:line="240" w:lineRule="auto"/>
        <w:rPr>
          <w:color w:val="000000"/>
          <w:lang w:val="bg-BG"/>
        </w:rPr>
      </w:pPr>
    </w:p>
    <w:p w14:paraId="3E54FB51" w14:textId="77777777" w:rsidR="001636FA" w:rsidRPr="00FE6AC6" w:rsidRDefault="001636FA" w:rsidP="0063575E">
      <w:pPr>
        <w:widowControl w:val="0"/>
        <w:spacing w:line="240" w:lineRule="auto"/>
        <w:rPr>
          <w:color w:val="000000"/>
          <w:lang w:val="bg-BG"/>
        </w:rPr>
      </w:pPr>
      <w:r w:rsidRPr="00FE6AC6">
        <w:rPr>
          <w:color w:val="000000"/>
          <w:lang w:val="bg-BG"/>
        </w:rPr>
        <w:t>Продължителност на лечението: При клинични проучвания, лечението с Glivec е продължавано до прогресия на заболяването. Не е изследван ефектът от спиране на лечението след постигане на пълен цитогенетичен отговор.</w:t>
      </w:r>
    </w:p>
    <w:p w14:paraId="3E54FB52" w14:textId="77777777" w:rsidR="001636FA" w:rsidRPr="00FE6AC6" w:rsidRDefault="001636FA" w:rsidP="0063575E">
      <w:pPr>
        <w:widowControl w:val="0"/>
        <w:spacing w:line="240" w:lineRule="auto"/>
        <w:rPr>
          <w:color w:val="000000"/>
          <w:lang w:val="bg-BG"/>
        </w:rPr>
      </w:pPr>
    </w:p>
    <w:p w14:paraId="3E54FB53" w14:textId="77777777" w:rsidR="001636FA" w:rsidRPr="00FE6AC6" w:rsidRDefault="001636FA" w:rsidP="0063575E">
      <w:pPr>
        <w:widowControl w:val="0"/>
        <w:spacing w:line="240" w:lineRule="auto"/>
        <w:rPr>
          <w:color w:val="000000"/>
          <w:lang w:val="bg-BG"/>
        </w:rPr>
      </w:pPr>
      <w:r w:rsidRPr="00FE6AC6">
        <w:rPr>
          <w:color w:val="000000"/>
          <w:lang w:val="bg-BG"/>
        </w:rPr>
        <w:t>Повишаването на дозите от 400</w:t>
      </w:r>
      <w:r w:rsidRPr="00FE6AC6">
        <w:rPr>
          <w:color w:val="000000"/>
          <w:lang w:val="en-US"/>
        </w:rPr>
        <w:t> </w:t>
      </w:r>
      <w:r w:rsidRPr="00FE6AC6">
        <w:rPr>
          <w:color w:val="000000"/>
          <w:lang w:val="bg-BG"/>
        </w:rPr>
        <w:t>mg на 600</w:t>
      </w:r>
      <w:r w:rsidRPr="00FE6AC6">
        <w:rPr>
          <w:color w:val="000000"/>
          <w:lang w:val="en-US"/>
        </w:rPr>
        <w:t> </w:t>
      </w:r>
      <w:r w:rsidRPr="00FE6AC6">
        <w:rPr>
          <w:color w:val="000000"/>
          <w:lang w:val="bg-BG"/>
        </w:rPr>
        <w:t>mg или 800</w:t>
      </w:r>
      <w:r w:rsidRPr="00FE6AC6">
        <w:rPr>
          <w:color w:val="000000"/>
          <w:lang w:val="en-US"/>
        </w:rPr>
        <w:t> </w:t>
      </w:r>
      <w:r w:rsidRPr="00FE6AC6">
        <w:rPr>
          <w:color w:val="000000"/>
          <w:lang w:val="bg-BG"/>
        </w:rPr>
        <w:t>mg при пациенти със заболяване в хронична фаза или от 600</w:t>
      </w:r>
      <w:r w:rsidRPr="00FE6AC6">
        <w:rPr>
          <w:color w:val="000000"/>
          <w:lang w:val="en-US"/>
        </w:rPr>
        <w:t> </w:t>
      </w:r>
      <w:r w:rsidRPr="00FE6AC6">
        <w:rPr>
          <w:color w:val="000000"/>
          <w:lang w:val="bg-BG"/>
        </w:rPr>
        <w:t>mg до максимум 800</w:t>
      </w:r>
      <w:r w:rsidRPr="00FE6AC6">
        <w:rPr>
          <w:color w:val="000000"/>
          <w:lang w:val="en-US"/>
        </w:rPr>
        <w:t> </w:t>
      </w:r>
      <w:r w:rsidRPr="00FE6AC6">
        <w:rPr>
          <w:color w:val="000000"/>
          <w:lang w:val="bg-BG"/>
        </w:rPr>
        <w:t>mg (давани като 400</w:t>
      </w:r>
      <w:r w:rsidRPr="00FE6AC6">
        <w:rPr>
          <w:color w:val="000000"/>
          <w:lang w:val="en-US"/>
        </w:rPr>
        <w:t> </w:t>
      </w:r>
      <w:r w:rsidRPr="00FE6AC6">
        <w:rPr>
          <w:color w:val="000000"/>
          <w:lang w:val="bg-BG"/>
        </w:rPr>
        <w:t>mg два пъти дневно) при пациенти във фаза на акцелерация или бластна криза</w:t>
      </w:r>
      <w:r w:rsidR="00461972" w:rsidRPr="00FE6AC6">
        <w:rPr>
          <w:color w:val="000000"/>
          <w:lang w:val="bg-BG"/>
        </w:rPr>
        <w:t>,</w:t>
      </w:r>
      <w:r w:rsidRPr="00FE6AC6">
        <w:rPr>
          <w:color w:val="000000"/>
          <w:lang w:val="bg-BG"/>
        </w:rPr>
        <w:t xml:space="preserve"> може да се обсъжда при липса на тежки нежелани лекарствени реакции и тежка</w:t>
      </w:r>
      <w:r w:rsidR="00461972" w:rsidRPr="00FE6AC6">
        <w:rPr>
          <w:color w:val="000000"/>
          <w:lang w:val="bg-BG"/>
        </w:rPr>
        <w:t>,</w:t>
      </w:r>
      <w:r w:rsidRPr="00FE6AC6">
        <w:rPr>
          <w:color w:val="000000"/>
          <w:lang w:val="bg-BG"/>
        </w:rPr>
        <w:t xml:space="preserve"> несвързана с левкемията неутропения или тромбоцитопения</w:t>
      </w:r>
      <w:r w:rsidR="000A5A1D" w:rsidRPr="00FE6AC6">
        <w:rPr>
          <w:color w:val="000000"/>
          <w:lang w:val="bg-BG"/>
        </w:rPr>
        <w:t>,</w:t>
      </w:r>
      <w:r w:rsidRPr="00FE6AC6">
        <w:rPr>
          <w:color w:val="000000"/>
          <w:lang w:val="bg-BG"/>
        </w:rPr>
        <w:t xml:space="preserve"> при следните обстоятелства: прогресия на заболяването (по всяко време); неуспех да се постигне задоволителен хематологичен отговор след поне 3</w:t>
      </w:r>
      <w:r w:rsidRPr="00FE6AC6">
        <w:rPr>
          <w:color w:val="000000"/>
          <w:lang w:val="en-US"/>
        </w:rPr>
        <w:t> </w:t>
      </w:r>
      <w:r w:rsidRPr="00FE6AC6">
        <w:rPr>
          <w:color w:val="000000"/>
          <w:lang w:val="bg-BG"/>
        </w:rPr>
        <w:t>месеца лечение; неуспех да се постигне цитогенетичен отговор след 12</w:t>
      </w:r>
      <w:r w:rsidRPr="00FE6AC6">
        <w:rPr>
          <w:color w:val="000000"/>
          <w:lang w:val="en-US"/>
        </w:rPr>
        <w:t> </w:t>
      </w:r>
      <w:r w:rsidRPr="00FE6AC6">
        <w:rPr>
          <w:color w:val="000000"/>
          <w:lang w:val="bg-BG"/>
        </w:rPr>
        <w:t>месеца лечение; или загуба на постигнат преди това хематологичен и/или цитогенетичен отговор. Пациентите трябва да се проследяват внимателно след повишаване на дозата</w:t>
      </w:r>
      <w:r w:rsidR="00461972" w:rsidRPr="00FE6AC6">
        <w:rPr>
          <w:color w:val="000000"/>
          <w:lang w:val="bg-BG"/>
        </w:rPr>
        <w:t>,</w:t>
      </w:r>
      <w:r w:rsidRPr="00FE6AC6">
        <w:rPr>
          <w:color w:val="000000"/>
          <w:lang w:val="bg-BG"/>
        </w:rPr>
        <w:t xml:space="preserve"> поради възможността за повишена честота на </w:t>
      </w:r>
      <w:r w:rsidRPr="00FE6AC6">
        <w:rPr>
          <w:color w:val="000000"/>
          <w:lang w:val="bg-BG"/>
        </w:rPr>
        <w:lastRenderedPageBreak/>
        <w:t>нежеланите реакции при по-високи дози.</w:t>
      </w:r>
    </w:p>
    <w:p w14:paraId="3E54FB54" w14:textId="77777777" w:rsidR="001636FA" w:rsidRPr="00FE6AC6" w:rsidRDefault="001636FA" w:rsidP="0063575E">
      <w:pPr>
        <w:widowControl w:val="0"/>
        <w:spacing w:line="240" w:lineRule="auto"/>
        <w:rPr>
          <w:color w:val="000000"/>
          <w:lang w:val="bg-BG"/>
        </w:rPr>
      </w:pPr>
    </w:p>
    <w:p w14:paraId="3E54FB55" w14:textId="77777777" w:rsidR="001636FA" w:rsidRPr="00FE6AC6" w:rsidRDefault="001636FA" w:rsidP="0063575E">
      <w:pPr>
        <w:keepNext/>
        <w:widowControl w:val="0"/>
        <w:tabs>
          <w:tab w:val="left" w:pos="8505"/>
        </w:tabs>
        <w:spacing w:line="240" w:lineRule="auto"/>
        <w:rPr>
          <w:color w:val="000000"/>
          <w:u w:val="single"/>
          <w:lang w:val="bg-BG"/>
        </w:rPr>
      </w:pPr>
      <w:r w:rsidRPr="00FE6AC6">
        <w:rPr>
          <w:color w:val="000000"/>
          <w:u w:val="single"/>
          <w:lang w:val="bg-BG"/>
        </w:rPr>
        <w:t>Дозир</w:t>
      </w:r>
      <w:r w:rsidR="00F7241C" w:rsidRPr="00FE6AC6">
        <w:rPr>
          <w:color w:val="000000"/>
          <w:u w:val="single"/>
          <w:lang w:val="bg-BG"/>
        </w:rPr>
        <w:t>овка</w:t>
      </w:r>
      <w:r w:rsidRPr="00FE6AC6">
        <w:rPr>
          <w:color w:val="000000"/>
          <w:u w:val="single"/>
          <w:lang w:val="bg-BG"/>
        </w:rPr>
        <w:t xml:space="preserve"> при ХМЛ при деца</w:t>
      </w:r>
    </w:p>
    <w:p w14:paraId="3E54FB56" w14:textId="77777777" w:rsidR="001636FA" w:rsidRPr="00FE6AC6" w:rsidRDefault="001636FA" w:rsidP="0063575E">
      <w:pPr>
        <w:widowControl w:val="0"/>
        <w:spacing w:line="240" w:lineRule="auto"/>
        <w:rPr>
          <w:color w:val="000000"/>
          <w:lang w:val="bg-BG"/>
        </w:rPr>
      </w:pPr>
      <w:r w:rsidRPr="00FE6AC6">
        <w:rPr>
          <w:color w:val="000000"/>
          <w:lang w:val="bg-BG"/>
        </w:rPr>
        <w:t>Дозирането при деца трябва да се основава на площта на телесната повърхност (mg/m</w:t>
      </w:r>
      <w:r w:rsidRPr="00FE6AC6">
        <w:rPr>
          <w:color w:val="000000"/>
          <w:vertAlign w:val="superscript"/>
          <w:lang w:val="bg-BG"/>
        </w:rPr>
        <w:t>2</w:t>
      </w:r>
      <w:r w:rsidRPr="00FE6AC6">
        <w:rPr>
          <w:color w:val="000000"/>
          <w:lang w:val="bg-BG"/>
        </w:rPr>
        <w:t>). Препоръчва се доза от 340 mg/m</w:t>
      </w:r>
      <w:r w:rsidRPr="00FE6AC6">
        <w:rPr>
          <w:color w:val="000000"/>
          <w:vertAlign w:val="superscript"/>
          <w:lang w:val="bg-BG"/>
        </w:rPr>
        <w:t>2 </w:t>
      </w:r>
      <w:r w:rsidRPr="00FE6AC6">
        <w:rPr>
          <w:color w:val="000000"/>
          <w:lang w:val="bg-BG"/>
        </w:rPr>
        <w:t>дневно за деца в хронична фаза на ХМЛ и в авансирала фаза на ХМЛ (не трябва да превишава общата доза от 800 </w:t>
      </w:r>
      <w:r w:rsidRPr="00FE6AC6">
        <w:rPr>
          <w:color w:val="000000"/>
          <w:lang w:val="en-US"/>
        </w:rPr>
        <w:t>mg</w:t>
      </w:r>
      <w:r w:rsidRPr="00FE6AC6">
        <w:rPr>
          <w:color w:val="000000"/>
          <w:lang w:val="bg-BG"/>
        </w:rPr>
        <w:t>). Лечението може да се прилага като еднократна дневна доза или като алтернатива дневната доза да се раздели на два приема – един сутрин и един вечер. Препоръката за дозата понастоящем се основава на малък брой педиатрични пациенти (вж. точки</w:t>
      </w:r>
      <w:r w:rsidRPr="00FE6AC6">
        <w:rPr>
          <w:color w:val="000000"/>
          <w:lang w:val="en-US"/>
        </w:rPr>
        <w:t> </w:t>
      </w:r>
      <w:r w:rsidRPr="00FE6AC6">
        <w:rPr>
          <w:color w:val="000000"/>
          <w:lang w:val="bg-BG"/>
        </w:rPr>
        <w:t>5.1</w:t>
      </w:r>
      <w:r w:rsidRPr="00FE6AC6">
        <w:rPr>
          <w:rFonts w:ascii="TimesNewRoman" w:hAnsi="TimesNewRoman"/>
          <w:color w:val="000000"/>
          <w:lang w:val="en-US"/>
        </w:rPr>
        <w:t> </w:t>
      </w:r>
      <w:r w:rsidRPr="00FE6AC6">
        <w:rPr>
          <w:color w:val="000000"/>
          <w:lang w:val="bg-BG"/>
        </w:rPr>
        <w:t>и 5.2). Липсва опит с лечението на деца под 2</w:t>
      </w:r>
      <w:r w:rsidRPr="00FE6AC6">
        <w:rPr>
          <w:color w:val="000000"/>
          <w:lang w:val="en-US"/>
        </w:rPr>
        <w:t> </w:t>
      </w:r>
      <w:r w:rsidRPr="00FE6AC6">
        <w:rPr>
          <w:color w:val="000000"/>
          <w:lang w:val="bg-BG"/>
        </w:rPr>
        <w:t>годишна възраст.</w:t>
      </w:r>
    </w:p>
    <w:p w14:paraId="3E54FB57" w14:textId="77777777" w:rsidR="001636FA" w:rsidRPr="00FE6AC6" w:rsidRDefault="001636FA" w:rsidP="0063575E">
      <w:pPr>
        <w:widowControl w:val="0"/>
        <w:spacing w:line="240" w:lineRule="auto"/>
        <w:rPr>
          <w:color w:val="000000"/>
          <w:lang w:val="bg-BG"/>
        </w:rPr>
      </w:pPr>
    </w:p>
    <w:p w14:paraId="3E54FB58" w14:textId="77777777" w:rsidR="001636FA" w:rsidRPr="00FE6AC6" w:rsidRDefault="001636FA" w:rsidP="0063575E">
      <w:pPr>
        <w:widowControl w:val="0"/>
        <w:spacing w:line="240" w:lineRule="auto"/>
        <w:rPr>
          <w:color w:val="000000"/>
          <w:lang w:val="bg-BG"/>
        </w:rPr>
      </w:pPr>
      <w:r w:rsidRPr="00FE6AC6">
        <w:rPr>
          <w:color w:val="000000"/>
          <w:lang w:val="bg-BG"/>
        </w:rPr>
        <w:t>Увеличаване на дозата от 340 </w:t>
      </w:r>
      <w:r w:rsidRPr="00FE6AC6">
        <w:rPr>
          <w:color w:val="000000"/>
          <w:lang w:val="en-US"/>
        </w:rPr>
        <w:t>mg</w:t>
      </w:r>
      <w:r w:rsidRPr="00FE6AC6">
        <w:rPr>
          <w:color w:val="000000"/>
          <w:lang w:val="ru-RU"/>
        </w:rPr>
        <w:t>/</w:t>
      </w:r>
      <w:r w:rsidRPr="00FE6AC6">
        <w:rPr>
          <w:color w:val="000000"/>
          <w:lang w:val="en-US"/>
        </w:rPr>
        <w:t>m</w:t>
      </w:r>
      <w:r w:rsidRPr="00FE6AC6">
        <w:rPr>
          <w:color w:val="000000"/>
          <w:vertAlign w:val="superscript"/>
          <w:lang w:val="ru-RU"/>
        </w:rPr>
        <w:t>2 </w:t>
      </w:r>
      <w:r w:rsidRPr="00FE6AC6">
        <w:rPr>
          <w:color w:val="000000"/>
          <w:lang w:val="ru-RU"/>
        </w:rPr>
        <w:t>дневно до 570 </w:t>
      </w:r>
      <w:r w:rsidRPr="00FE6AC6">
        <w:rPr>
          <w:color w:val="000000"/>
          <w:lang w:val="en-US"/>
        </w:rPr>
        <w:t>mg</w:t>
      </w:r>
      <w:r w:rsidRPr="00FE6AC6">
        <w:rPr>
          <w:color w:val="000000"/>
          <w:lang w:val="ru-RU"/>
        </w:rPr>
        <w:t>/</w:t>
      </w:r>
      <w:r w:rsidRPr="00FE6AC6">
        <w:rPr>
          <w:color w:val="000000"/>
          <w:lang w:val="en-US"/>
        </w:rPr>
        <w:t>m</w:t>
      </w:r>
      <w:r w:rsidRPr="00FE6AC6">
        <w:rPr>
          <w:color w:val="000000"/>
          <w:vertAlign w:val="superscript"/>
          <w:lang w:val="ru-RU"/>
        </w:rPr>
        <w:t>2 </w:t>
      </w:r>
      <w:r w:rsidRPr="00FE6AC6">
        <w:rPr>
          <w:color w:val="000000"/>
          <w:lang w:val="ru-RU"/>
        </w:rPr>
        <w:t>дневно (</w:t>
      </w:r>
      <w:r w:rsidRPr="00FE6AC6">
        <w:rPr>
          <w:color w:val="000000"/>
          <w:lang w:val="bg-BG"/>
        </w:rPr>
        <w:t>не трябва да превишава общата доза от 800 </w:t>
      </w:r>
      <w:r w:rsidRPr="00FE6AC6">
        <w:rPr>
          <w:color w:val="000000"/>
          <w:lang w:val="en-US"/>
        </w:rPr>
        <w:t>mg</w:t>
      </w:r>
      <w:r w:rsidRPr="00FE6AC6">
        <w:rPr>
          <w:color w:val="000000"/>
          <w:lang w:val="bg-BG"/>
        </w:rPr>
        <w:t>) може да бъде обсъждано при деца при липса на тежки нежелани лекарствени реакции и тежка</w:t>
      </w:r>
      <w:r w:rsidR="00461972" w:rsidRPr="00FE6AC6">
        <w:rPr>
          <w:color w:val="000000"/>
          <w:lang w:val="bg-BG"/>
        </w:rPr>
        <w:t>,</w:t>
      </w:r>
      <w:r w:rsidRPr="00FE6AC6">
        <w:rPr>
          <w:color w:val="000000"/>
          <w:lang w:val="bg-BG"/>
        </w:rPr>
        <w:t xml:space="preserve"> несвързана с левкемията неутропения или тромбоцитопения, при следните обстоятелства: прогресия на заболяването (по всяко време); неуспех за постигане на задоволителен хематологичен отговор след поне 3 месеца на лечение; неуспех за постигане на цитогенетичен отговор след 12 месеца на лечение; или загуба на постигнат преди това хематологичен и/или цитогенетичен отговор. Пациентите трябва да бъдат наблюдавани внимателно след увеличаване на дозата</w:t>
      </w:r>
      <w:r w:rsidR="00461972" w:rsidRPr="00FE6AC6">
        <w:rPr>
          <w:color w:val="000000"/>
          <w:lang w:val="bg-BG"/>
        </w:rPr>
        <w:t>, като се има</w:t>
      </w:r>
      <w:r w:rsidRPr="00FE6AC6">
        <w:rPr>
          <w:color w:val="000000"/>
          <w:lang w:val="bg-BG"/>
        </w:rPr>
        <w:t xml:space="preserve"> предвид потенциала за повишена честота на нежелани лекарствени реакции при по-високи дози.</w:t>
      </w:r>
    </w:p>
    <w:p w14:paraId="3E54FB59" w14:textId="77777777" w:rsidR="001636FA" w:rsidRPr="00FE6AC6" w:rsidRDefault="001636FA" w:rsidP="0063575E">
      <w:pPr>
        <w:widowControl w:val="0"/>
        <w:spacing w:line="240" w:lineRule="auto"/>
        <w:rPr>
          <w:color w:val="000000"/>
          <w:lang w:val="bg-BG"/>
        </w:rPr>
      </w:pPr>
    </w:p>
    <w:p w14:paraId="3E54FB5A"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Дозир</w:t>
      </w:r>
      <w:r w:rsidR="00F7241C" w:rsidRPr="00FE6AC6">
        <w:rPr>
          <w:color w:val="000000"/>
          <w:u w:val="single"/>
          <w:lang w:val="bg-BG"/>
        </w:rPr>
        <w:t>овка</w:t>
      </w:r>
      <w:r w:rsidRPr="00FE6AC6">
        <w:rPr>
          <w:color w:val="000000"/>
          <w:u w:val="single"/>
          <w:lang w:val="bg-BG"/>
        </w:rPr>
        <w:t xml:space="preserve"> при </w:t>
      </w:r>
      <w:r w:rsidRPr="00FE6AC6">
        <w:rPr>
          <w:color w:val="000000"/>
          <w:u w:val="single"/>
          <w:lang w:val="en-US"/>
        </w:rPr>
        <w:t>Ph</w:t>
      </w:r>
      <w:r w:rsidRPr="00FE6AC6">
        <w:rPr>
          <w:color w:val="000000"/>
          <w:u w:val="single"/>
          <w:lang w:val="ru-RU"/>
        </w:rPr>
        <w:t>+</w:t>
      </w:r>
      <w:r w:rsidRPr="00FE6AC6">
        <w:rPr>
          <w:color w:val="000000"/>
          <w:u w:val="single"/>
          <w:lang w:val="bg-BG"/>
        </w:rPr>
        <w:t>ОЛЛ</w:t>
      </w:r>
      <w:r w:rsidR="00245289" w:rsidRPr="00FE6AC6">
        <w:rPr>
          <w:color w:val="000000"/>
          <w:u w:val="single"/>
          <w:lang w:val="bg-BG"/>
        </w:rPr>
        <w:t xml:space="preserve"> при възрастни пациенти</w:t>
      </w:r>
    </w:p>
    <w:p w14:paraId="3E54FB5B" w14:textId="77777777" w:rsidR="001636FA" w:rsidRPr="00FE6AC6" w:rsidRDefault="001636FA" w:rsidP="0063575E">
      <w:pPr>
        <w:widowControl w:val="0"/>
        <w:spacing w:line="240" w:lineRule="auto"/>
        <w:rPr>
          <w:color w:val="000000"/>
          <w:lang w:val="ru-RU"/>
        </w:rPr>
      </w:pPr>
      <w:r w:rsidRPr="00FE6AC6">
        <w:rPr>
          <w:color w:val="000000"/>
          <w:lang w:val="bg-BG"/>
        </w:rPr>
        <w:t xml:space="preserve">Препоръчваната доза Glivec е 600 mg/ден при </w:t>
      </w:r>
      <w:r w:rsidR="003347DC" w:rsidRPr="00FE6AC6">
        <w:rPr>
          <w:color w:val="000000"/>
          <w:lang w:val="bg-BG"/>
        </w:rPr>
        <w:t xml:space="preserve">възрастни </w:t>
      </w:r>
      <w:r w:rsidRPr="00FE6AC6">
        <w:rPr>
          <w:color w:val="000000"/>
          <w:lang w:val="bg-BG"/>
        </w:rPr>
        <w:t xml:space="preserve">пациенти с </w:t>
      </w:r>
      <w:r w:rsidRPr="00FE6AC6">
        <w:rPr>
          <w:color w:val="000000"/>
          <w:lang w:val="en-US"/>
        </w:rPr>
        <w:t>Ph</w:t>
      </w:r>
      <w:r w:rsidRPr="00FE6AC6">
        <w:rPr>
          <w:color w:val="000000"/>
          <w:lang w:val="ru-RU"/>
        </w:rPr>
        <w:t>+ОЛЛ. Хематолозите, експерти в лечението на това заболяване, трябва да проследяват терапията във всичките й фази.</w:t>
      </w:r>
    </w:p>
    <w:p w14:paraId="3E54FB5C" w14:textId="77777777" w:rsidR="001636FA" w:rsidRPr="00FE6AC6" w:rsidRDefault="001636FA" w:rsidP="0063575E">
      <w:pPr>
        <w:widowControl w:val="0"/>
        <w:spacing w:line="240" w:lineRule="auto"/>
        <w:rPr>
          <w:color w:val="000000"/>
          <w:lang w:val="ru-RU"/>
        </w:rPr>
      </w:pPr>
    </w:p>
    <w:p w14:paraId="3E54FB5D" w14:textId="77777777" w:rsidR="001636FA" w:rsidRPr="00FE6AC6" w:rsidRDefault="001636FA" w:rsidP="0063575E">
      <w:pPr>
        <w:widowControl w:val="0"/>
        <w:spacing w:line="240" w:lineRule="auto"/>
        <w:rPr>
          <w:color w:val="000000"/>
          <w:lang w:val="ru-RU"/>
        </w:rPr>
      </w:pPr>
      <w:r w:rsidRPr="00FE6AC6">
        <w:rPr>
          <w:color w:val="000000"/>
          <w:lang w:val="ru-RU"/>
        </w:rPr>
        <w:t xml:space="preserve">Схема на лечение: Въз основа на наличните данни, е показано, че </w:t>
      </w:r>
      <w:r w:rsidRPr="00FE6AC6">
        <w:rPr>
          <w:color w:val="000000"/>
          <w:lang w:val="en-US"/>
        </w:rPr>
        <w:t>Glivec</w:t>
      </w:r>
      <w:r w:rsidRPr="00FE6AC6">
        <w:rPr>
          <w:color w:val="000000"/>
          <w:lang w:val="ru-RU"/>
        </w:rPr>
        <w:t xml:space="preserve"> е </w:t>
      </w:r>
      <w:r w:rsidRPr="00FE6AC6">
        <w:rPr>
          <w:color w:val="000000"/>
          <w:lang w:val="bg-BG"/>
        </w:rPr>
        <w:t>ефикасен</w:t>
      </w:r>
      <w:r w:rsidRPr="00FE6AC6">
        <w:rPr>
          <w:color w:val="000000"/>
          <w:lang w:val="ru-RU"/>
        </w:rPr>
        <w:t xml:space="preserve"> и безопасен</w:t>
      </w:r>
      <w:r w:rsidR="00461972" w:rsidRPr="00FE6AC6">
        <w:rPr>
          <w:color w:val="000000"/>
          <w:lang w:val="ru-RU"/>
        </w:rPr>
        <w:t>,</w:t>
      </w:r>
      <w:r w:rsidRPr="00FE6AC6">
        <w:rPr>
          <w:color w:val="000000"/>
          <w:lang w:val="ru-RU"/>
        </w:rPr>
        <w:t xml:space="preserve"> когато е прилаган в дози от 600 </w:t>
      </w:r>
      <w:r w:rsidRPr="00FE6AC6">
        <w:rPr>
          <w:color w:val="000000"/>
          <w:lang w:val="en-US"/>
        </w:rPr>
        <w:t>mg</w:t>
      </w:r>
      <w:r w:rsidRPr="00FE6AC6">
        <w:rPr>
          <w:color w:val="000000"/>
          <w:lang w:val="ru-RU"/>
        </w:rPr>
        <w:t>/ден в комбинация с химиотерапия във фазата на индукция, фазите на консолидация и поддържане на химиотерапията (вж. точка 5.1) при възр</w:t>
      </w:r>
      <w:r w:rsidR="00101306" w:rsidRPr="00FE6AC6">
        <w:rPr>
          <w:color w:val="000000"/>
          <w:lang w:val="ru-RU"/>
        </w:rPr>
        <w:t>а</w:t>
      </w:r>
      <w:r w:rsidRPr="00FE6AC6">
        <w:rPr>
          <w:color w:val="000000"/>
          <w:lang w:val="ru-RU"/>
        </w:rPr>
        <w:t xml:space="preserve">стни с новодиагностицирана </w:t>
      </w:r>
      <w:r w:rsidRPr="00FE6AC6">
        <w:rPr>
          <w:color w:val="000000"/>
          <w:lang w:val="en-US"/>
        </w:rPr>
        <w:t>Ph</w:t>
      </w:r>
      <w:r w:rsidRPr="00FE6AC6">
        <w:rPr>
          <w:color w:val="000000"/>
          <w:lang w:val="ru-RU"/>
        </w:rPr>
        <w:t xml:space="preserve">+ </w:t>
      </w:r>
      <w:r w:rsidRPr="00FE6AC6">
        <w:rPr>
          <w:color w:val="000000"/>
          <w:lang w:val="bg-BG"/>
        </w:rPr>
        <w:t>ОЛЛ.</w:t>
      </w:r>
      <w:r w:rsidR="009F583A" w:rsidRPr="00FE6AC6">
        <w:rPr>
          <w:color w:val="000000"/>
          <w:lang w:val="ru-RU"/>
        </w:rPr>
        <w:t xml:space="preserve"> </w:t>
      </w:r>
      <w:r w:rsidRPr="00FE6AC6">
        <w:rPr>
          <w:color w:val="000000"/>
          <w:lang w:val="ru-RU"/>
        </w:rPr>
        <w:t xml:space="preserve">Продължителността на лечението с </w:t>
      </w:r>
      <w:r w:rsidRPr="00FE6AC6">
        <w:rPr>
          <w:color w:val="000000"/>
          <w:lang w:val="en-US"/>
        </w:rPr>
        <w:t>Glivec</w:t>
      </w:r>
      <w:r w:rsidRPr="00FE6AC6">
        <w:rPr>
          <w:color w:val="000000"/>
          <w:lang w:val="bg-BG"/>
        </w:rPr>
        <w:t xml:space="preserve"> може да бъде различна в зависимост от избраната програма за лечение, но като цяло по-продължителният прием на </w:t>
      </w:r>
      <w:r w:rsidRPr="00FE6AC6">
        <w:rPr>
          <w:color w:val="000000"/>
          <w:lang w:val="en-US"/>
        </w:rPr>
        <w:t>Glivec</w:t>
      </w:r>
      <w:r w:rsidRPr="00FE6AC6">
        <w:rPr>
          <w:color w:val="000000"/>
          <w:lang w:val="ru-RU"/>
        </w:rPr>
        <w:t xml:space="preserve"> </w:t>
      </w:r>
      <w:r w:rsidRPr="00FE6AC6">
        <w:rPr>
          <w:color w:val="000000"/>
          <w:lang w:val="en-US"/>
        </w:rPr>
        <w:t>e</w:t>
      </w:r>
      <w:r w:rsidRPr="00FE6AC6">
        <w:rPr>
          <w:color w:val="000000"/>
          <w:lang w:val="ru-RU"/>
        </w:rPr>
        <w:t xml:space="preserve"> дал по-добри резултати.</w:t>
      </w:r>
    </w:p>
    <w:p w14:paraId="3E54FB5E" w14:textId="77777777" w:rsidR="001636FA" w:rsidRPr="00FE6AC6" w:rsidRDefault="001636FA" w:rsidP="0063575E">
      <w:pPr>
        <w:widowControl w:val="0"/>
        <w:spacing w:line="240" w:lineRule="auto"/>
        <w:rPr>
          <w:color w:val="000000"/>
          <w:lang w:val="ru-RU"/>
        </w:rPr>
      </w:pPr>
    </w:p>
    <w:p w14:paraId="3E54FB5F" w14:textId="77777777" w:rsidR="001636FA" w:rsidRPr="00FE6AC6" w:rsidRDefault="001636FA" w:rsidP="0063575E">
      <w:pPr>
        <w:widowControl w:val="0"/>
        <w:spacing w:line="240" w:lineRule="auto"/>
        <w:rPr>
          <w:color w:val="000000"/>
          <w:lang w:val="ru-RU"/>
        </w:rPr>
      </w:pPr>
      <w:r w:rsidRPr="00FE6AC6">
        <w:rPr>
          <w:color w:val="000000"/>
          <w:lang w:val="ru-RU"/>
        </w:rPr>
        <w:t xml:space="preserve">При възрастни пациенти с </w:t>
      </w:r>
      <w:r w:rsidRPr="00FE6AC6">
        <w:rPr>
          <w:color w:val="000000"/>
          <w:lang w:val="bg-BG"/>
        </w:rPr>
        <w:t>рецидив</w:t>
      </w:r>
      <w:r w:rsidRPr="00FE6AC6">
        <w:rPr>
          <w:color w:val="000000"/>
          <w:lang w:val="ru-RU"/>
        </w:rPr>
        <w:t xml:space="preserve"> или рефрактерна </w:t>
      </w:r>
      <w:r w:rsidRPr="00FE6AC6">
        <w:rPr>
          <w:color w:val="000000"/>
          <w:lang w:val="en-US"/>
        </w:rPr>
        <w:t>Ph</w:t>
      </w:r>
      <w:r w:rsidRPr="00FE6AC6">
        <w:rPr>
          <w:color w:val="000000"/>
          <w:lang w:val="ru-RU"/>
        </w:rPr>
        <w:t>+</w:t>
      </w:r>
      <w:r w:rsidRPr="00FE6AC6">
        <w:rPr>
          <w:color w:val="000000"/>
          <w:lang w:val="bg-BG"/>
        </w:rPr>
        <w:t xml:space="preserve">ОЛЛ, монотерапията с </w:t>
      </w:r>
      <w:r w:rsidRPr="00FE6AC6">
        <w:rPr>
          <w:color w:val="000000"/>
          <w:lang w:val="en-US"/>
        </w:rPr>
        <w:t>Glivec</w:t>
      </w:r>
      <w:r w:rsidRPr="00FE6AC6">
        <w:rPr>
          <w:color w:val="000000"/>
          <w:lang w:val="bg-BG"/>
        </w:rPr>
        <w:t xml:space="preserve"> от 600 </w:t>
      </w:r>
      <w:r w:rsidRPr="00FE6AC6">
        <w:rPr>
          <w:color w:val="000000"/>
          <w:lang w:val="en-US"/>
        </w:rPr>
        <w:t>mg</w:t>
      </w:r>
      <w:r w:rsidRPr="00FE6AC6">
        <w:rPr>
          <w:color w:val="000000"/>
          <w:lang w:val="ru-RU"/>
        </w:rPr>
        <w:t xml:space="preserve">/ден </w:t>
      </w:r>
      <w:r w:rsidRPr="00FE6AC6">
        <w:rPr>
          <w:color w:val="000000"/>
          <w:lang w:val="en-US"/>
        </w:rPr>
        <w:t>e</w:t>
      </w:r>
      <w:r w:rsidRPr="00FE6AC6">
        <w:rPr>
          <w:color w:val="000000"/>
          <w:lang w:val="ru-RU"/>
        </w:rPr>
        <w:t xml:space="preserve"> </w:t>
      </w:r>
      <w:r w:rsidRPr="00FE6AC6">
        <w:rPr>
          <w:color w:val="000000"/>
          <w:lang w:val="bg-BG"/>
        </w:rPr>
        <w:t>безопасна, ефективна и може да бъде прилагана до настъпване на прогресия на заболяването.</w:t>
      </w:r>
    </w:p>
    <w:p w14:paraId="3E54FB60" w14:textId="77777777" w:rsidR="00245289" w:rsidRPr="00FE6AC6" w:rsidRDefault="00245289" w:rsidP="0063575E">
      <w:pPr>
        <w:widowControl w:val="0"/>
        <w:spacing w:line="240" w:lineRule="auto"/>
        <w:rPr>
          <w:rFonts w:eastAsia="MS Mincho"/>
          <w:color w:val="000000"/>
          <w:lang w:val="ru-RU" w:eastAsia="ja-JP"/>
        </w:rPr>
      </w:pPr>
    </w:p>
    <w:p w14:paraId="3E54FB61" w14:textId="77777777" w:rsidR="00245289" w:rsidRPr="00FE6AC6" w:rsidRDefault="00245289" w:rsidP="0063575E">
      <w:pPr>
        <w:keepNext/>
        <w:widowControl w:val="0"/>
        <w:spacing w:line="240" w:lineRule="auto"/>
        <w:rPr>
          <w:rFonts w:eastAsia="MS Mincho"/>
          <w:color w:val="000000"/>
          <w:u w:val="single"/>
          <w:lang w:val="ru-RU" w:eastAsia="ja-JP"/>
        </w:rPr>
      </w:pPr>
      <w:r w:rsidRPr="00FE6AC6">
        <w:rPr>
          <w:color w:val="000000"/>
          <w:u w:val="single"/>
          <w:lang w:val="bg-BG"/>
        </w:rPr>
        <w:t>Дозир</w:t>
      </w:r>
      <w:r w:rsidR="00F7241C" w:rsidRPr="00FE6AC6">
        <w:rPr>
          <w:color w:val="000000"/>
          <w:u w:val="single"/>
          <w:lang w:val="bg-BG"/>
        </w:rPr>
        <w:t>овка</w:t>
      </w:r>
      <w:r w:rsidRPr="00FE6AC6">
        <w:rPr>
          <w:color w:val="000000"/>
          <w:u w:val="single"/>
          <w:lang w:val="bg-BG"/>
        </w:rPr>
        <w:t xml:space="preserve"> при </w:t>
      </w:r>
      <w:r w:rsidRPr="00FE6AC6">
        <w:rPr>
          <w:color w:val="000000"/>
          <w:u w:val="single"/>
          <w:lang w:val="en-US"/>
        </w:rPr>
        <w:t>Ph</w:t>
      </w:r>
      <w:r w:rsidRPr="00FE6AC6">
        <w:rPr>
          <w:color w:val="000000"/>
          <w:u w:val="single"/>
          <w:lang w:val="ru-RU"/>
        </w:rPr>
        <w:t>+</w:t>
      </w:r>
      <w:r w:rsidRPr="00FE6AC6">
        <w:rPr>
          <w:color w:val="000000"/>
          <w:u w:val="single"/>
          <w:lang w:val="bg-BG"/>
        </w:rPr>
        <w:t>ОЛЛ при деца</w:t>
      </w:r>
    </w:p>
    <w:p w14:paraId="3E54FB62" w14:textId="77777777" w:rsidR="00245289" w:rsidRPr="00FE6AC6" w:rsidRDefault="00245289" w:rsidP="0063575E">
      <w:pPr>
        <w:widowControl w:val="0"/>
        <w:spacing w:line="240" w:lineRule="auto"/>
        <w:rPr>
          <w:color w:val="000000"/>
          <w:lang w:val="ru-RU"/>
        </w:rPr>
      </w:pPr>
      <w:r w:rsidRPr="00FE6AC6">
        <w:rPr>
          <w:color w:val="000000"/>
          <w:szCs w:val="22"/>
          <w:lang w:val="bg-BG"/>
        </w:rPr>
        <w:t xml:space="preserve">Дозата при деца </w:t>
      </w:r>
      <w:r w:rsidR="0044514D" w:rsidRPr="00FE6AC6">
        <w:rPr>
          <w:color w:val="000000"/>
          <w:szCs w:val="22"/>
          <w:lang w:val="bg-BG"/>
        </w:rPr>
        <w:t xml:space="preserve">се изчислява на базата </w:t>
      </w:r>
      <w:r w:rsidR="00512D26" w:rsidRPr="00FE6AC6">
        <w:rPr>
          <w:color w:val="000000"/>
          <w:szCs w:val="22"/>
          <w:lang w:val="bg-BG"/>
        </w:rPr>
        <w:t xml:space="preserve">на </w:t>
      </w:r>
      <w:r w:rsidR="0044514D" w:rsidRPr="00FE6AC6">
        <w:rPr>
          <w:color w:val="000000"/>
          <w:szCs w:val="22"/>
          <w:lang w:val="bg-BG"/>
        </w:rPr>
        <w:t xml:space="preserve">телесната повърхност </w:t>
      </w:r>
      <w:r w:rsidRPr="00FE6AC6">
        <w:rPr>
          <w:color w:val="000000"/>
          <w:szCs w:val="22"/>
          <w:lang w:val="ru-RU"/>
        </w:rPr>
        <w:t>(</w:t>
      </w:r>
      <w:r w:rsidRPr="00FE6AC6">
        <w:rPr>
          <w:color w:val="000000"/>
          <w:szCs w:val="22"/>
        </w:rPr>
        <w:t>mg</w:t>
      </w:r>
      <w:r w:rsidRPr="00FE6AC6">
        <w:rPr>
          <w:color w:val="000000"/>
          <w:szCs w:val="22"/>
          <w:lang w:val="ru-RU"/>
        </w:rPr>
        <w:t>/</w:t>
      </w:r>
      <w:r w:rsidRPr="00FE6AC6">
        <w:rPr>
          <w:color w:val="000000"/>
          <w:szCs w:val="22"/>
        </w:rPr>
        <w:t>m</w:t>
      </w:r>
      <w:r w:rsidRPr="00FE6AC6">
        <w:rPr>
          <w:color w:val="000000"/>
          <w:szCs w:val="22"/>
          <w:vertAlign w:val="superscript"/>
          <w:lang w:val="ru-RU"/>
        </w:rPr>
        <w:t>2</w:t>
      </w:r>
      <w:r w:rsidRPr="00FE6AC6">
        <w:rPr>
          <w:color w:val="000000"/>
          <w:szCs w:val="22"/>
          <w:lang w:val="ru-RU"/>
        </w:rPr>
        <w:t xml:space="preserve">). </w:t>
      </w:r>
      <w:r w:rsidR="00551C94" w:rsidRPr="00FE6AC6">
        <w:rPr>
          <w:color w:val="000000"/>
          <w:szCs w:val="22"/>
          <w:lang w:val="bg-BG"/>
        </w:rPr>
        <w:t>Препоръчва се доза от</w:t>
      </w:r>
      <w:r w:rsidRPr="00FE6AC6">
        <w:rPr>
          <w:color w:val="000000"/>
          <w:lang w:val="ru-RU"/>
        </w:rPr>
        <w:t xml:space="preserve"> 340</w:t>
      </w:r>
      <w:r w:rsidRPr="00FE6AC6">
        <w:rPr>
          <w:color w:val="000000"/>
        </w:rPr>
        <w:t> mg</w:t>
      </w:r>
      <w:r w:rsidRPr="00FE6AC6">
        <w:rPr>
          <w:color w:val="000000"/>
          <w:lang w:val="ru-RU"/>
        </w:rPr>
        <w:t>/</w:t>
      </w:r>
      <w:r w:rsidRPr="00FE6AC6">
        <w:rPr>
          <w:color w:val="000000"/>
        </w:rPr>
        <w:t>m</w:t>
      </w:r>
      <w:r w:rsidRPr="00FE6AC6">
        <w:rPr>
          <w:color w:val="000000"/>
          <w:vertAlign w:val="superscript"/>
          <w:lang w:val="ru-RU"/>
        </w:rPr>
        <w:t>2</w:t>
      </w:r>
      <w:r w:rsidRPr="00FE6AC6">
        <w:rPr>
          <w:color w:val="000000"/>
          <w:lang w:val="ru-RU"/>
        </w:rPr>
        <w:t xml:space="preserve"> </w:t>
      </w:r>
      <w:r w:rsidR="00551C94" w:rsidRPr="00FE6AC6">
        <w:rPr>
          <w:color w:val="000000"/>
          <w:lang w:val="bg-BG"/>
        </w:rPr>
        <w:t xml:space="preserve">дневно при деца с </w:t>
      </w:r>
      <w:r w:rsidRPr="00FE6AC6">
        <w:rPr>
          <w:color w:val="000000"/>
        </w:rPr>
        <w:t>Ph</w:t>
      </w:r>
      <w:r w:rsidRPr="00FE6AC6">
        <w:rPr>
          <w:color w:val="000000"/>
          <w:lang w:val="ru-RU"/>
        </w:rPr>
        <w:t xml:space="preserve">+ </w:t>
      </w:r>
      <w:r w:rsidR="00551C94" w:rsidRPr="00FE6AC6">
        <w:rPr>
          <w:color w:val="000000"/>
          <w:lang w:val="bg-BG"/>
        </w:rPr>
        <w:t>ОЛЛ</w:t>
      </w:r>
      <w:r w:rsidRPr="00FE6AC6">
        <w:rPr>
          <w:color w:val="000000"/>
          <w:lang w:val="ru-RU"/>
        </w:rPr>
        <w:t xml:space="preserve"> (</w:t>
      </w:r>
      <w:r w:rsidR="00551C94" w:rsidRPr="00FE6AC6">
        <w:rPr>
          <w:color w:val="000000"/>
          <w:lang w:val="bg-BG"/>
        </w:rPr>
        <w:t xml:space="preserve">не трябва да се превишава общата доза от </w:t>
      </w:r>
      <w:r w:rsidRPr="00FE6AC6">
        <w:rPr>
          <w:color w:val="000000"/>
          <w:lang w:val="ru-RU"/>
        </w:rPr>
        <w:t>600</w:t>
      </w:r>
      <w:r w:rsidRPr="00FE6AC6">
        <w:rPr>
          <w:color w:val="000000"/>
        </w:rPr>
        <w:t> mg</w:t>
      </w:r>
      <w:r w:rsidRPr="00FE6AC6">
        <w:rPr>
          <w:color w:val="000000"/>
          <w:lang w:val="ru-RU"/>
        </w:rPr>
        <w:t>).</w:t>
      </w:r>
    </w:p>
    <w:p w14:paraId="3E54FB63" w14:textId="77777777" w:rsidR="001636FA" w:rsidRPr="00FE6AC6" w:rsidRDefault="001636FA" w:rsidP="0063575E">
      <w:pPr>
        <w:widowControl w:val="0"/>
        <w:spacing w:line="240" w:lineRule="auto"/>
        <w:rPr>
          <w:color w:val="000000"/>
          <w:lang w:val="bg-BG"/>
        </w:rPr>
      </w:pPr>
    </w:p>
    <w:p w14:paraId="3E54FB64" w14:textId="77777777" w:rsidR="00F96C73" w:rsidRPr="00FE6AC6" w:rsidRDefault="003C5059" w:rsidP="0063575E">
      <w:pPr>
        <w:pStyle w:val="EndnoteText"/>
        <w:keepNext/>
        <w:widowControl w:val="0"/>
        <w:tabs>
          <w:tab w:val="clear" w:pos="567"/>
        </w:tabs>
        <w:rPr>
          <w:color w:val="000000"/>
          <w:szCs w:val="22"/>
          <w:u w:val="single"/>
          <w:lang w:val="bg-BG"/>
        </w:rPr>
      </w:pPr>
      <w:r w:rsidRPr="00FE6AC6">
        <w:rPr>
          <w:color w:val="000000"/>
          <w:u w:val="single"/>
          <w:lang w:val="bg-BG"/>
        </w:rPr>
        <w:t>Дозир</w:t>
      </w:r>
      <w:r w:rsidR="00F7241C" w:rsidRPr="00FE6AC6">
        <w:rPr>
          <w:color w:val="000000"/>
          <w:u w:val="single"/>
          <w:lang w:val="bg-BG"/>
        </w:rPr>
        <w:t>овка</w:t>
      </w:r>
      <w:r w:rsidRPr="00FE6AC6">
        <w:rPr>
          <w:color w:val="000000"/>
          <w:u w:val="single"/>
          <w:lang w:val="bg-BG"/>
        </w:rPr>
        <w:t xml:space="preserve"> при</w:t>
      </w:r>
      <w:r w:rsidR="00F96C73" w:rsidRPr="00FE6AC6">
        <w:rPr>
          <w:color w:val="000000"/>
          <w:u w:val="single"/>
          <w:lang w:val="bg-BG"/>
        </w:rPr>
        <w:t xml:space="preserve"> </w:t>
      </w:r>
      <w:r w:rsidR="00CD7E65" w:rsidRPr="00FE6AC6">
        <w:rPr>
          <w:color w:val="000000"/>
          <w:u w:val="single"/>
          <w:lang w:val="bg-BG"/>
        </w:rPr>
        <w:t>МДС/МПЗ</w:t>
      </w:r>
    </w:p>
    <w:p w14:paraId="3E54FB65" w14:textId="77777777" w:rsidR="00F96C73" w:rsidRPr="00FE6AC6" w:rsidRDefault="00321900" w:rsidP="0063575E">
      <w:pPr>
        <w:pStyle w:val="EndnoteText"/>
        <w:widowControl w:val="0"/>
        <w:tabs>
          <w:tab w:val="clear" w:pos="567"/>
        </w:tabs>
        <w:rPr>
          <w:color w:val="000000"/>
          <w:szCs w:val="22"/>
          <w:lang w:val="bg-BG"/>
        </w:rPr>
      </w:pPr>
      <w:r w:rsidRPr="00FE6AC6">
        <w:rPr>
          <w:color w:val="000000"/>
          <w:lang w:val="bg-BG"/>
        </w:rPr>
        <w:t>Препоръчваната доза</w:t>
      </w:r>
      <w:r w:rsidR="00F96C73" w:rsidRPr="00FE6AC6">
        <w:rPr>
          <w:color w:val="000000"/>
          <w:lang w:val="bg-BG"/>
        </w:rPr>
        <w:t xml:space="preserve"> </w:t>
      </w:r>
      <w:r w:rsidR="00F96C73" w:rsidRPr="00FE6AC6">
        <w:rPr>
          <w:color w:val="000000"/>
        </w:rPr>
        <w:t>Glivec</w:t>
      </w:r>
      <w:r w:rsidR="00F96C73" w:rsidRPr="00FE6AC6">
        <w:rPr>
          <w:color w:val="000000"/>
          <w:lang w:val="bg-BG"/>
        </w:rPr>
        <w:t xml:space="preserve"> </w:t>
      </w:r>
      <w:r w:rsidRPr="00FE6AC6">
        <w:rPr>
          <w:color w:val="000000"/>
          <w:lang w:val="bg-BG"/>
        </w:rPr>
        <w:t>е</w:t>
      </w:r>
      <w:r w:rsidR="00557D48" w:rsidRPr="00FE6AC6">
        <w:rPr>
          <w:color w:val="000000"/>
          <w:lang w:val="bg-BG"/>
        </w:rPr>
        <w:t> </w:t>
      </w:r>
      <w:r w:rsidR="00F96C73" w:rsidRPr="00FE6AC6">
        <w:rPr>
          <w:color w:val="000000"/>
          <w:lang w:val="bg-BG"/>
        </w:rPr>
        <w:t>400</w:t>
      </w:r>
      <w:r w:rsidR="00F96C73" w:rsidRPr="00FE6AC6">
        <w:rPr>
          <w:color w:val="000000"/>
        </w:rPr>
        <w:t> mg</w:t>
      </w:r>
      <w:r w:rsidR="00F96C73" w:rsidRPr="00FE6AC6">
        <w:rPr>
          <w:color w:val="000000"/>
          <w:lang w:val="bg-BG"/>
        </w:rPr>
        <w:t>/</w:t>
      </w:r>
      <w:r w:rsidRPr="00FE6AC6">
        <w:rPr>
          <w:color w:val="000000"/>
          <w:lang w:val="bg-BG"/>
        </w:rPr>
        <w:t>ден</w:t>
      </w:r>
      <w:r w:rsidR="00F96C73" w:rsidRPr="00FE6AC6">
        <w:rPr>
          <w:color w:val="000000"/>
          <w:lang w:val="bg-BG"/>
        </w:rPr>
        <w:t xml:space="preserve"> </w:t>
      </w:r>
      <w:r w:rsidRPr="00FE6AC6">
        <w:rPr>
          <w:color w:val="000000"/>
          <w:lang w:val="bg-BG"/>
        </w:rPr>
        <w:t xml:space="preserve">при </w:t>
      </w:r>
      <w:r w:rsidR="00A6404C" w:rsidRPr="00FE6AC6">
        <w:rPr>
          <w:color w:val="000000"/>
          <w:lang w:val="bg-BG"/>
        </w:rPr>
        <w:t xml:space="preserve">възрастни </w:t>
      </w:r>
      <w:r w:rsidRPr="00FE6AC6">
        <w:rPr>
          <w:color w:val="000000"/>
          <w:lang w:val="bg-BG"/>
        </w:rPr>
        <w:t xml:space="preserve">пациенти с </w:t>
      </w:r>
      <w:r w:rsidR="00CD7E65" w:rsidRPr="00FE6AC6">
        <w:rPr>
          <w:color w:val="000000"/>
          <w:lang w:val="bg-BG"/>
        </w:rPr>
        <w:t>МДС/МПЗ</w:t>
      </w:r>
      <w:r w:rsidR="00F96C73" w:rsidRPr="00FE6AC6">
        <w:rPr>
          <w:color w:val="000000"/>
          <w:lang w:val="bg-BG"/>
        </w:rPr>
        <w:t>.</w:t>
      </w:r>
    </w:p>
    <w:p w14:paraId="3E54FB66" w14:textId="77777777" w:rsidR="00F96C73" w:rsidRPr="00FE6AC6" w:rsidRDefault="00F96C73" w:rsidP="0063575E">
      <w:pPr>
        <w:pStyle w:val="EndnoteText"/>
        <w:widowControl w:val="0"/>
        <w:tabs>
          <w:tab w:val="clear" w:pos="567"/>
        </w:tabs>
        <w:rPr>
          <w:color w:val="000000"/>
          <w:szCs w:val="22"/>
          <w:lang w:val="bg-BG"/>
        </w:rPr>
      </w:pPr>
    </w:p>
    <w:p w14:paraId="3E54FB67" w14:textId="77777777" w:rsidR="00F96C73" w:rsidRPr="00FE6AC6" w:rsidRDefault="00321900" w:rsidP="0063575E">
      <w:pPr>
        <w:pStyle w:val="EndnoteText"/>
        <w:widowControl w:val="0"/>
        <w:tabs>
          <w:tab w:val="clear" w:pos="567"/>
        </w:tabs>
        <w:rPr>
          <w:color w:val="000000"/>
          <w:szCs w:val="22"/>
          <w:lang w:val="bg-BG"/>
        </w:rPr>
      </w:pPr>
      <w:r w:rsidRPr="00FE6AC6">
        <w:rPr>
          <w:color w:val="000000"/>
          <w:szCs w:val="22"/>
          <w:lang w:val="bg-BG"/>
        </w:rPr>
        <w:t>Продължителност на лечението</w:t>
      </w:r>
      <w:r w:rsidR="00F96C73" w:rsidRPr="00FE6AC6">
        <w:rPr>
          <w:color w:val="000000"/>
          <w:szCs w:val="22"/>
          <w:lang w:val="bg-BG"/>
        </w:rPr>
        <w:t>:</w:t>
      </w:r>
      <w:r w:rsidRPr="00FE6AC6">
        <w:rPr>
          <w:color w:val="000000"/>
          <w:szCs w:val="22"/>
          <w:lang w:val="bg-BG"/>
        </w:rPr>
        <w:t xml:space="preserve"> в единственото клинично проучване проведено досега</w:t>
      </w:r>
      <w:r w:rsidR="00F96C73" w:rsidRPr="00FE6AC6">
        <w:rPr>
          <w:color w:val="000000"/>
          <w:szCs w:val="22"/>
          <w:lang w:val="bg-BG"/>
        </w:rPr>
        <w:t xml:space="preserve">, </w:t>
      </w:r>
      <w:r w:rsidRPr="00FE6AC6">
        <w:rPr>
          <w:color w:val="000000"/>
          <w:szCs w:val="22"/>
          <w:lang w:val="bg-BG"/>
        </w:rPr>
        <w:t xml:space="preserve">лечението с </w:t>
      </w:r>
      <w:r w:rsidR="00F96C73" w:rsidRPr="00FE6AC6">
        <w:rPr>
          <w:color w:val="000000"/>
          <w:szCs w:val="22"/>
        </w:rPr>
        <w:t>Glivec</w:t>
      </w:r>
      <w:r w:rsidR="00F96C73" w:rsidRPr="00FE6AC6">
        <w:rPr>
          <w:color w:val="000000"/>
          <w:szCs w:val="22"/>
          <w:lang w:val="bg-BG"/>
        </w:rPr>
        <w:t xml:space="preserve"> </w:t>
      </w:r>
      <w:r w:rsidRPr="00FE6AC6">
        <w:rPr>
          <w:color w:val="000000"/>
          <w:szCs w:val="22"/>
          <w:lang w:val="bg-BG"/>
        </w:rPr>
        <w:t xml:space="preserve">е продължило до прогресия на заболяването </w:t>
      </w:r>
      <w:r w:rsidR="00F96C73" w:rsidRPr="00FE6AC6">
        <w:rPr>
          <w:color w:val="000000"/>
          <w:szCs w:val="22"/>
          <w:lang w:val="bg-BG"/>
        </w:rPr>
        <w:t>(</w:t>
      </w:r>
      <w:r w:rsidRPr="00FE6AC6">
        <w:rPr>
          <w:color w:val="000000"/>
          <w:szCs w:val="22"/>
          <w:lang w:val="bg-BG"/>
        </w:rPr>
        <w:t>вж. точка</w:t>
      </w:r>
      <w:r w:rsidR="00557D48" w:rsidRPr="00FE6AC6">
        <w:rPr>
          <w:color w:val="000000"/>
          <w:szCs w:val="22"/>
          <w:lang w:val="bg-BG"/>
        </w:rPr>
        <w:t> </w:t>
      </w:r>
      <w:r w:rsidR="00F96C73" w:rsidRPr="00FE6AC6">
        <w:rPr>
          <w:color w:val="000000"/>
          <w:szCs w:val="22"/>
          <w:lang w:val="bg-BG"/>
        </w:rPr>
        <w:t xml:space="preserve">5.1). </w:t>
      </w:r>
      <w:r w:rsidRPr="00FE6AC6">
        <w:rPr>
          <w:color w:val="000000"/>
          <w:szCs w:val="22"/>
          <w:lang w:val="bg-BG"/>
        </w:rPr>
        <w:t>Към момента на анализа</w:t>
      </w:r>
      <w:r w:rsidR="00F96C73" w:rsidRPr="00FE6AC6">
        <w:rPr>
          <w:color w:val="000000"/>
          <w:szCs w:val="22"/>
          <w:lang w:val="bg-BG"/>
        </w:rPr>
        <w:t xml:space="preserve">, </w:t>
      </w:r>
      <w:r w:rsidR="002E28DF" w:rsidRPr="00FE6AC6">
        <w:rPr>
          <w:color w:val="000000"/>
          <w:szCs w:val="22"/>
          <w:lang w:val="bg-BG"/>
        </w:rPr>
        <w:t>средната продължителност на лечението е била</w:t>
      </w:r>
      <w:r w:rsidR="00557D48" w:rsidRPr="00FE6AC6">
        <w:rPr>
          <w:color w:val="000000"/>
          <w:szCs w:val="22"/>
          <w:lang w:val="bg-BG"/>
        </w:rPr>
        <w:t> </w:t>
      </w:r>
      <w:r w:rsidR="00F96C73" w:rsidRPr="00FE6AC6">
        <w:rPr>
          <w:color w:val="000000"/>
          <w:szCs w:val="22"/>
          <w:lang w:val="bg-BG"/>
        </w:rPr>
        <w:t>47</w:t>
      </w:r>
      <w:r w:rsidR="00F96C73" w:rsidRPr="00FE6AC6">
        <w:rPr>
          <w:color w:val="000000"/>
          <w:szCs w:val="22"/>
        </w:rPr>
        <w:t> </w:t>
      </w:r>
      <w:r w:rsidR="002E28DF" w:rsidRPr="00FE6AC6">
        <w:rPr>
          <w:color w:val="000000"/>
          <w:szCs w:val="22"/>
          <w:lang w:val="bg-BG"/>
        </w:rPr>
        <w:t xml:space="preserve">месеца </w:t>
      </w:r>
      <w:r w:rsidR="00F96C73" w:rsidRPr="00FE6AC6">
        <w:rPr>
          <w:color w:val="000000"/>
          <w:szCs w:val="22"/>
          <w:lang w:val="bg-BG"/>
        </w:rPr>
        <w:t>(24</w:t>
      </w:r>
      <w:r w:rsidR="00F96C73" w:rsidRPr="00FE6AC6">
        <w:rPr>
          <w:color w:val="000000"/>
          <w:szCs w:val="22"/>
        </w:rPr>
        <w:t> </w:t>
      </w:r>
      <w:r w:rsidR="002E28DF" w:rsidRPr="00FE6AC6">
        <w:rPr>
          <w:color w:val="000000"/>
          <w:szCs w:val="22"/>
          <w:lang w:val="bg-BG"/>
        </w:rPr>
        <w:t>дни</w:t>
      </w:r>
      <w:r w:rsidR="00F96C73" w:rsidRPr="00FE6AC6">
        <w:rPr>
          <w:color w:val="000000"/>
          <w:szCs w:val="22"/>
          <w:lang w:val="bg-BG"/>
        </w:rPr>
        <w:t xml:space="preserve"> - 60</w:t>
      </w:r>
      <w:r w:rsidR="00F96C73" w:rsidRPr="00FE6AC6">
        <w:rPr>
          <w:color w:val="000000"/>
          <w:szCs w:val="22"/>
        </w:rPr>
        <w:t> </w:t>
      </w:r>
      <w:r w:rsidR="002E28DF" w:rsidRPr="00FE6AC6">
        <w:rPr>
          <w:color w:val="000000"/>
          <w:szCs w:val="22"/>
          <w:lang w:val="bg-BG"/>
        </w:rPr>
        <w:t>месеца</w:t>
      </w:r>
      <w:r w:rsidR="00F96C73" w:rsidRPr="00FE6AC6">
        <w:rPr>
          <w:color w:val="000000"/>
          <w:szCs w:val="22"/>
          <w:lang w:val="bg-BG"/>
        </w:rPr>
        <w:t>).</w:t>
      </w:r>
    </w:p>
    <w:p w14:paraId="3E54FB68" w14:textId="77777777" w:rsidR="00F96C73" w:rsidRPr="00FE6AC6" w:rsidRDefault="00F96C73" w:rsidP="0063575E">
      <w:pPr>
        <w:pStyle w:val="EndnoteText"/>
        <w:widowControl w:val="0"/>
        <w:tabs>
          <w:tab w:val="clear" w:pos="567"/>
        </w:tabs>
        <w:rPr>
          <w:color w:val="000000"/>
          <w:szCs w:val="22"/>
          <w:lang w:val="bg-BG"/>
        </w:rPr>
      </w:pPr>
    </w:p>
    <w:p w14:paraId="3E54FB69" w14:textId="77777777" w:rsidR="00F96C73" w:rsidRPr="00FE6AC6" w:rsidRDefault="002E28DF" w:rsidP="0063575E">
      <w:pPr>
        <w:pStyle w:val="EndnoteText"/>
        <w:keepNext/>
        <w:widowControl w:val="0"/>
        <w:tabs>
          <w:tab w:val="clear" w:pos="567"/>
        </w:tabs>
        <w:rPr>
          <w:color w:val="000000"/>
          <w:szCs w:val="22"/>
          <w:u w:val="single"/>
          <w:lang w:val="bg-BG"/>
        </w:rPr>
      </w:pPr>
      <w:r w:rsidRPr="00FE6AC6">
        <w:rPr>
          <w:color w:val="000000"/>
          <w:szCs w:val="22"/>
          <w:u w:val="single"/>
          <w:lang w:val="bg-BG"/>
        </w:rPr>
        <w:t>Дозир</w:t>
      </w:r>
      <w:r w:rsidR="00F7241C" w:rsidRPr="00FE6AC6">
        <w:rPr>
          <w:color w:val="000000"/>
          <w:szCs w:val="22"/>
          <w:u w:val="single"/>
          <w:lang w:val="bg-BG"/>
        </w:rPr>
        <w:t>овка</w:t>
      </w:r>
      <w:r w:rsidRPr="00FE6AC6">
        <w:rPr>
          <w:color w:val="000000"/>
          <w:szCs w:val="22"/>
          <w:u w:val="single"/>
          <w:lang w:val="bg-BG"/>
        </w:rPr>
        <w:t xml:space="preserve"> при</w:t>
      </w:r>
      <w:r w:rsidR="00F96C73" w:rsidRPr="00FE6AC6">
        <w:rPr>
          <w:color w:val="000000"/>
          <w:szCs w:val="22"/>
          <w:u w:val="single"/>
          <w:lang w:val="bg-BG"/>
        </w:rPr>
        <w:t xml:space="preserve"> </w:t>
      </w:r>
      <w:r w:rsidR="000E16D3" w:rsidRPr="00FE6AC6">
        <w:rPr>
          <w:color w:val="000000"/>
          <w:szCs w:val="22"/>
          <w:u w:val="single"/>
          <w:lang w:val="bg-BG"/>
        </w:rPr>
        <w:t>ХЕС/ХЕЛ</w:t>
      </w:r>
    </w:p>
    <w:p w14:paraId="3E54FB6A" w14:textId="77777777" w:rsidR="00F96C73" w:rsidRPr="00FE6AC6" w:rsidRDefault="002E28DF" w:rsidP="0063575E">
      <w:pPr>
        <w:pStyle w:val="Text"/>
        <w:widowControl w:val="0"/>
        <w:spacing w:before="0"/>
        <w:jc w:val="left"/>
        <w:rPr>
          <w:color w:val="000000"/>
          <w:sz w:val="22"/>
          <w:szCs w:val="22"/>
          <w:lang w:val="bg-BG"/>
        </w:rPr>
      </w:pPr>
      <w:r w:rsidRPr="00FE6AC6">
        <w:rPr>
          <w:color w:val="000000"/>
          <w:sz w:val="22"/>
          <w:szCs w:val="22"/>
          <w:lang w:val="bg-BG"/>
        </w:rPr>
        <w:t>Препоръчваната доза</w:t>
      </w:r>
      <w:r w:rsidR="00F96C73" w:rsidRPr="00FE6AC6">
        <w:rPr>
          <w:color w:val="000000"/>
          <w:sz w:val="22"/>
          <w:szCs w:val="22"/>
          <w:lang w:val="bg-BG"/>
        </w:rPr>
        <w:t xml:space="preserve"> </w:t>
      </w:r>
      <w:r w:rsidR="00F96C73" w:rsidRPr="00FE6AC6">
        <w:rPr>
          <w:color w:val="000000"/>
          <w:sz w:val="22"/>
          <w:szCs w:val="22"/>
          <w:lang w:val="en-GB"/>
        </w:rPr>
        <w:t>Glivec</w:t>
      </w:r>
      <w:r w:rsidR="00F96C73" w:rsidRPr="00FE6AC6">
        <w:rPr>
          <w:color w:val="000000"/>
          <w:sz w:val="22"/>
          <w:szCs w:val="22"/>
          <w:lang w:val="bg-BG"/>
        </w:rPr>
        <w:t xml:space="preserve"> </w:t>
      </w:r>
      <w:r w:rsidRPr="00FE6AC6">
        <w:rPr>
          <w:color w:val="000000"/>
          <w:sz w:val="22"/>
          <w:szCs w:val="22"/>
          <w:lang w:val="bg-BG"/>
        </w:rPr>
        <w:t>е</w:t>
      </w:r>
      <w:r w:rsidR="00557D48" w:rsidRPr="00FE6AC6">
        <w:rPr>
          <w:color w:val="000000"/>
          <w:sz w:val="22"/>
          <w:szCs w:val="22"/>
          <w:lang w:val="bg-BG"/>
        </w:rPr>
        <w:t> </w:t>
      </w:r>
      <w:r w:rsidR="00F96C73" w:rsidRPr="00FE6AC6">
        <w:rPr>
          <w:color w:val="000000"/>
          <w:sz w:val="22"/>
          <w:szCs w:val="22"/>
          <w:lang w:val="bg-BG"/>
        </w:rPr>
        <w:t>100</w:t>
      </w:r>
      <w:r w:rsidR="00F96C73" w:rsidRPr="00FE6AC6">
        <w:rPr>
          <w:color w:val="000000"/>
          <w:sz w:val="22"/>
          <w:szCs w:val="22"/>
          <w:lang w:val="en-GB"/>
        </w:rPr>
        <w:t> mg</w:t>
      </w:r>
      <w:r w:rsidR="00F96C73" w:rsidRPr="00FE6AC6">
        <w:rPr>
          <w:color w:val="000000"/>
          <w:sz w:val="22"/>
          <w:szCs w:val="22"/>
          <w:lang w:val="bg-BG"/>
        </w:rPr>
        <w:t>/</w:t>
      </w:r>
      <w:r w:rsidRPr="00FE6AC6">
        <w:rPr>
          <w:color w:val="000000"/>
          <w:sz w:val="22"/>
          <w:szCs w:val="22"/>
          <w:lang w:val="bg-BG"/>
        </w:rPr>
        <w:t>ден</w:t>
      </w:r>
      <w:r w:rsidR="00F96C73" w:rsidRPr="00FE6AC6">
        <w:rPr>
          <w:color w:val="000000"/>
          <w:sz w:val="22"/>
          <w:szCs w:val="22"/>
          <w:lang w:val="bg-BG"/>
        </w:rPr>
        <w:t xml:space="preserve"> </w:t>
      </w:r>
      <w:r w:rsidRPr="00FE6AC6">
        <w:rPr>
          <w:color w:val="000000"/>
          <w:sz w:val="22"/>
          <w:szCs w:val="22"/>
          <w:lang w:val="bg-BG"/>
        </w:rPr>
        <w:t xml:space="preserve">при </w:t>
      </w:r>
      <w:r w:rsidR="00317CF8" w:rsidRPr="00FE6AC6">
        <w:rPr>
          <w:color w:val="000000"/>
          <w:sz w:val="22"/>
          <w:szCs w:val="22"/>
          <w:lang w:val="bg-BG"/>
        </w:rPr>
        <w:t xml:space="preserve">възрастни </w:t>
      </w:r>
      <w:r w:rsidRPr="00FE6AC6">
        <w:rPr>
          <w:color w:val="000000"/>
          <w:sz w:val="22"/>
          <w:szCs w:val="22"/>
          <w:lang w:val="bg-BG"/>
        </w:rPr>
        <w:t xml:space="preserve">пациенти с </w:t>
      </w:r>
      <w:r w:rsidR="000E16D3" w:rsidRPr="00FE6AC6">
        <w:rPr>
          <w:color w:val="000000"/>
          <w:sz w:val="22"/>
          <w:szCs w:val="22"/>
          <w:lang w:val="bg-BG"/>
        </w:rPr>
        <w:t>ХЕС/ХЕЛ</w:t>
      </w:r>
      <w:r w:rsidR="00F96C73" w:rsidRPr="00FE6AC6">
        <w:rPr>
          <w:color w:val="000000"/>
          <w:sz w:val="22"/>
          <w:szCs w:val="22"/>
          <w:lang w:val="bg-BG"/>
        </w:rPr>
        <w:t>.</w:t>
      </w:r>
    </w:p>
    <w:p w14:paraId="3E54FB6B" w14:textId="77777777" w:rsidR="00F96C73" w:rsidRPr="00FE6AC6" w:rsidRDefault="00F96C73" w:rsidP="0063575E">
      <w:pPr>
        <w:pStyle w:val="Text"/>
        <w:widowControl w:val="0"/>
        <w:spacing w:before="0"/>
        <w:jc w:val="left"/>
        <w:rPr>
          <w:color w:val="000000"/>
          <w:sz w:val="22"/>
          <w:szCs w:val="22"/>
          <w:lang w:val="bg-BG"/>
        </w:rPr>
      </w:pPr>
    </w:p>
    <w:p w14:paraId="3E54FB6C" w14:textId="77777777" w:rsidR="00F96C73" w:rsidRPr="00FE6AC6" w:rsidRDefault="002E28DF" w:rsidP="0063575E">
      <w:pPr>
        <w:widowControl w:val="0"/>
        <w:spacing w:line="240" w:lineRule="auto"/>
        <w:rPr>
          <w:color w:val="000000"/>
          <w:szCs w:val="22"/>
          <w:lang w:val="bg-BG"/>
        </w:rPr>
      </w:pPr>
      <w:r w:rsidRPr="00FE6AC6">
        <w:rPr>
          <w:color w:val="000000"/>
          <w:szCs w:val="22"/>
          <w:lang w:val="bg-BG"/>
        </w:rPr>
        <w:t>Увеличаване на дозата от</w:t>
      </w:r>
      <w:r w:rsidR="00557D48" w:rsidRPr="00FE6AC6">
        <w:rPr>
          <w:color w:val="000000"/>
          <w:szCs w:val="22"/>
          <w:lang w:val="bg-BG"/>
        </w:rPr>
        <w:t> </w:t>
      </w:r>
      <w:r w:rsidR="00F96C73" w:rsidRPr="00FE6AC6">
        <w:rPr>
          <w:color w:val="000000"/>
          <w:szCs w:val="22"/>
          <w:lang w:val="bg-BG"/>
        </w:rPr>
        <w:t>100</w:t>
      </w:r>
      <w:r w:rsidR="00F96C73" w:rsidRPr="00FE6AC6">
        <w:rPr>
          <w:color w:val="000000"/>
          <w:szCs w:val="22"/>
        </w:rPr>
        <w:t> mg</w:t>
      </w:r>
      <w:r w:rsidR="00F96C73" w:rsidRPr="00FE6AC6">
        <w:rPr>
          <w:color w:val="000000"/>
          <w:szCs w:val="22"/>
          <w:lang w:val="bg-BG"/>
        </w:rPr>
        <w:t xml:space="preserve"> </w:t>
      </w:r>
      <w:r w:rsidRPr="00FE6AC6">
        <w:rPr>
          <w:color w:val="000000"/>
          <w:szCs w:val="22"/>
          <w:lang w:val="bg-BG"/>
        </w:rPr>
        <w:t>на</w:t>
      </w:r>
      <w:r w:rsidR="00557D48" w:rsidRPr="00FE6AC6">
        <w:rPr>
          <w:color w:val="000000"/>
          <w:szCs w:val="22"/>
          <w:lang w:val="bg-BG"/>
        </w:rPr>
        <w:t> </w:t>
      </w:r>
      <w:r w:rsidR="00F96C73" w:rsidRPr="00FE6AC6">
        <w:rPr>
          <w:color w:val="000000"/>
          <w:szCs w:val="22"/>
          <w:lang w:val="bg-BG"/>
        </w:rPr>
        <w:t>400</w:t>
      </w:r>
      <w:r w:rsidR="00F96C73" w:rsidRPr="00FE6AC6">
        <w:rPr>
          <w:color w:val="000000"/>
          <w:szCs w:val="22"/>
        </w:rPr>
        <w:t> mg</w:t>
      </w:r>
      <w:r w:rsidR="00F96C73" w:rsidRPr="00FE6AC6">
        <w:rPr>
          <w:color w:val="000000"/>
          <w:szCs w:val="22"/>
          <w:lang w:val="bg-BG"/>
        </w:rPr>
        <w:t xml:space="preserve"> </w:t>
      </w:r>
      <w:r w:rsidRPr="00FE6AC6">
        <w:rPr>
          <w:color w:val="000000"/>
          <w:szCs w:val="22"/>
          <w:lang w:val="bg-BG"/>
        </w:rPr>
        <w:t>може да се има предвид при лип</w:t>
      </w:r>
      <w:r w:rsidR="009F583A" w:rsidRPr="00FE6AC6">
        <w:rPr>
          <w:color w:val="000000"/>
          <w:szCs w:val="22"/>
          <w:lang w:val="ru-RU"/>
        </w:rPr>
        <w:t>с</w:t>
      </w:r>
      <w:r w:rsidRPr="00FE6AC6">
        <w:rPr>
          <w:color w:val="000000"/>
          <w:szCs w:val="22"/>
          <w:lang w:val="bg-BG"/>
        </w:rPr>
        <w:t>а на нежелани лекарствени реакции</w:t>
      </w:r>
      <w:r w:rsidR="00101306" w:rsidRPr="00FE6AC6">
        <w:rPr>
          <w:color w:val="000000"/>
          <w:szCs w:val="22"/>
          <w:lang w:val="bg-BG"/>
        </w:rPr>
        <w:t>, ако</w:t>
      </w:r>
      <w:r w:rsidRPr="00FE6AC6">
        <w:rPr>
          <w:color w:val="000000"/>
          <w:szCs w:val="22"/>
          <w:lang w:val="bg-BG"/>
        </w:rPr>
        <w:t xml:space="preserve"> оценката св</w:t>
      </w:r>
      <w:r w:rsidR="006917E5" w:rsidRPr="00FE6AC6">
        <w:rPr>
          <w:color w:val="000000"/>
          <w:szCs w:val="22"/>
          <w:lang w:val="bg-BG"/>
        </w:rPr>
        <w:t>и</w:t>
      </w:r>
      <w:r w:rsidRPr="00FE6AC6">
        <w:rPr>
          <w:color w:val="000000"/>
          <w:szCs w:val="22"/>
          <w:lang w:val="bg-BG"/>
        </w:rPr>
        <w:t>детелства за незадоволителен терапевтичен отговор</w:t>
      </w:r>
      <w:r w:rsidR="00F96C73" w:rsidRPr="00FE6AC6">
        <w:rPr>
          <w:color w:val="000000"/>
          <w:szCs w:val="22"/>
          <w:lang w:val="bg-BG"/>
        </w:rPr>
        <w:t>.</w:t>
      </w:r>
    </w:p>
    <w:p w14:paraId="3E54FB6D" w14:textId="77777777" w:rsidR="009B2DCF" w:rsidRPr="00FE6AC6" w:rsidRDefault="009B2DCF" w:rsidP="0063575E">
      <w:pPr>
        <w:widowControl w:val="0"/>
        <w:spacing w:line="240" w:lineRule="auto"/>
        <w:rPr>
          <w:color w:val="000000"/>
          <w:lang w:val="bg-BG"/>
        </w:rPr>
      </w:pPr>
    </w:p>
    <w:p w14:paraId="3E54FB6E" w14:textId="77777777" w:rsidR="000941F6" w:rsidRPr="00FE6AC6" w:rsidRDefault="000941F6" w:rsidP="0063575E">
      <w:pPr>
        <w:widowControl w:val="0"/>
        <w:spacing w:line="240" w:lineRule="auto"/>
        <w:rPr>
          <w:color w:val="000000"/>
          <w:lang w:val="bg-BG"/>
        </w:rPr>
      </w:pPr>
      <w:r w:rsidRPr="00FE6AC6">
        <w:rPr>
          <w:color w:val="000000"/>
          <w:lang w:val="bg-BG"/>
        </w:rPr>
        <w:t>Лечението трябва да се продължи</w:t>
      </w:r>
      <w:r w:rsidR="00461972" w:rsidRPr="00FE6AC6">
        <w:rPr>
          <w:color w:val="000000"/>
          <w:lang w:val="bg-BG"/>
        </w:rPr>
        <w:t>,</w:t>
      </w:r>
      <w:r w:rsidRPr="00FE6AC6">
        <w:rPr>
          <w:color w:val="000000"/>
          <w:lang w:val="bg-BG"/>
        </w:rPr>
        <w:t xml:space="preserve"> докато пациен</w:t>
      </w:r>
      <w:r w:rsidR="00E900A3" w:rsidRPr="00FE6AC6">
        <w:rPr>
          <w:color w:val="000000"/>
          <w:lang w:val="bg-BG"/>
        </w:rPr>
        <w:t>т</w:t>
      </w:r>
      <w:r w:rsidRPr="00FE6AC6">
        <w:rPr>
          <w:color w:val="000000"/>
          <w:lang w:val="bg-BG"/>
        </w:rPr>
        <w:t>ът се повлиява от него.</w:t>
      </w:r>
    </w:p>
    <w:p w14:paraId="3E54FB6F" w14:textId="77777777" w:rsidR="000941F6" w:rsidRPr="00FE6AC6" w:rsidRDefault="000941F6" w:rsidP="0063575E">
      <w:pPr>
        <w:widowControl w:val="0"/>
        <w:spacing w:line="240" w:lineRule="auto"/>
        <w:rPr>
          <w:color w:val="000000"/>
          <w:lang w:val="bg-BG"/>
        </w:rPr>
      </w:pPr>
    </w:p>
    <w:p w14:paraId="3E54FB70" w14:textId="77777777" w:rsidR="007D128F" w:rsidRPr="00FE6AC6" w:rsidRDefault="007D128F" w:rsidP="0063575E">
      <w:pPr>
        <w:keepNext/>
        <w:widowControl w:val="0"/>
        <w:spacing w:line="240" w:lineRule="auto"/>
        <w:rPr>
          <w:color w:val="000000"/>
          <w:u w:val="single"/>
          <w:lang w:val="bg-BG"/>
        </w:rPr>
      </w:pPr>
      <w:r w:rsidRPr="00FE6AC6">
        <w:rPr>
          <w:color w:val="000000"/>
          <w:u w:val="single"/>
          <w:lang w:val="bg-BG"/>
        </w:rPr>
        <w:t>Дозир</w:t>
      </w:r>
      <w:r w:rsidR="00F7241C" w:rsidRPr="00FE6AC6">
        <w:rPr>
          <w:color w:val="000000"/>
          <w:u w:val="single"/>
          <w:lang w:val="bg-BG"/>
        </w:rPr>
        <w:t>овка</w:t>
      </w:r>
      <w:r w:rsidRPr="00FE6AC6">
        <w:rPr>
          <w:color w:val="000000"/>
          <w:u w:val="single"/>
          <w:lang w:val="bg-BG"/>
        </w:rPr>
        <w:t xml:space="preserve"> при ГИСТ</w:t>
      </w:r>
    </w:p>
    <w:p w14:paraId="3E54FB71" w14:textId="77777777" w:rsidR="007D128F" w:rsidRPr="00FE6AC6" w:rsidRDefault="007D128F" w:rsidP="0063575E">
      <w:pPr>
        <w:widowControl w:val="0"/>
        <w:spacing w:line="240" w:lineRule="auto"/>
        <w:rPr>
          <w:color w:val="000000"/>
          <w:lang w:val="bg-BG"/>
        </w:rPr>
      </w:pPr>
      <w:r w:rsidRPr="00FE6AC6">
        <w:rPr>
          <w:color w:val="000000"/>
          <w:lang w:val="bg-BG"/>
        </w:rPr>
        <w:t xml:space="preserve">При </w:t>
      </w:r>
      <w:r w:rsidR="00576C86" w:rsidRPr="00FE6AC6">
        <w:rPr>
          <w:color w:val="000000"/>
          <w:lang w:val="bg-BG"/>
        </w:rPr>
        <w:t xml:space="preserve">възрастни </w:t>
      </w:r>
      <w:r w:rsidRPr="00FE6AC6">
        <w:rPr>
          <w:color w:val="000000"/>
          <w:lang w:val="bg-BG"/>
        </w:rPr>
        <w:t xml:space="preserve">пациенти с неподлежащи на резекция и/или метастатични малигнени ГИСТ </w:t>
      </w:r>
      <w:r w:rsidRPr="00FE6AC6">
        <w:rPr>
          <w:color w:val="000000"/>
          <w:lang w:val="bg-BG"/>
        </w:rPr>
        <w:lastRenderedPageBreak/>
        <w:t>препоръчваната доза на Glivec е 400</w:t>
      </w:r>
      <w:r w:rsidRPr="00FE6AC6">
        <w:rPr>
          <w:color w:val="000000"/>
          <w:lang w:val="en-US"/>
        </w:rPr>
        <w:t> </w:t>
      </w:r>
      <w:r w:rsidRPr="00FE6AC6">
        <w:rPr>
          <w:color w:val="000000"/>
          <w:lang w:val="bg-BG"/>
        </w:rPr>
        <w:t>mg/ден.</w:t>
      </w:r>
    </w:p>
    <w:p w14:paraId="3E54FB72" w14:textId="77777777" w:rsidR="007D128F" w:rsidRPr="00FE6AC6" w:rsidRDefault="007D128F" w:rsidP="0063575E">
      <w:pPr>
        <w:widowControl w:val="0"/>
        <w:spacing w:line="240" w:lineRule="auto"/>
        <w:rPr>
          <w:color w:val="000000"/>
          <w:lang w:val="bg-BG"/>
        </w:rPr>
      </w:pPr>
    </w:p>
    <w:p w14:paraId="3E54FB73" w14:textId="77777777" w:rsidR="007D128F" w:rsidRPr="00FE6AC6" w:rsidRDefault="007D128F" w:rsidP="0063575E">
      <w:pPr>
        <w:widowControl w:val="0"/>
        <w:spacing w:line="240" w:lineRule="auto"/>
        <w:rPr>
          <w:color w:val="000000"/>
          <w:lang w:val="bg-BG"/>
        </w:rPr>
      </w:pPr>
      <w:r w:rsidRPr="00FE6AC6">
        <w:rPr>
          <w:color w:val="000000"/>
          <w:lang w:val="bg-BG"/>
        </w:rPr>
        <w:t>Известни са ограничени данни за ефекта на повишението на дозата от 400</w:t>
      </w:r>
      <w:r w:rsidRPr="00FE6AC6">
        <w:rPr>
          <w:color w:val="000000"/>
          <w:lang w:val="en-US"/>
        </w:rPr>
        <w:t> </w:t>
      </w:r>
      <w:r w:rsidRPr="00FE6AC6">
        <w:rPr>
          <w:color w:val="000000"/>
          <w:lang w:val="bg-BG"/>
        </w:rPr>
        <w:t>mg до 600</w:t>
      </w:r>
      <w:r w:rsidRPr="00FE6AC6">
        <w:rPr>
          <w:color w:val="000000"/>
          <w:lang w:val="en-US"/>
        </w:rPr>
        <w:t> </w:t>
      </w:r>
      <w:r w:rsidRPr="00FE6AC6">
        <w:rPr>
          <w:color w:val="000000"/>
          <w:lang w:val="bg-BG"/>
        </w:rPr>
        <w:t>mg или 800</w:t>
      </w:r>
      <w:r w:rsidRPr="00FE6AC6">
        <w:rPr>
          <w:color w:val="000000"/>
          <w:lang w:val="en-US"/>
        </w:rPr>
        <w:t> </w:t>
      </w:r>
      <w:r w:rsidRPr="00FE6AC6">
        <w:rPr>
          <w:color w:val="000000"/>
          <w:lang w:val="bg-BG"/>
        </w:rPr>
        <w:t>mg при пациенти с прогресия при по-ниската доза (вж. точка 5.1).</w:t>
      </w:r>
    </w:p>
    <w:p w14:paraId="3E54FB74" w14:textId="77777777" w:rsidR="007D128F" w:rsidRPr="00FE6AC6" w:rsidRDefault="007D128F" w:rsidP="0063575E">
      <w:pPr>
        <w:widowControl w:val="0"/>
        <w:spacing w:line="240" w:lineRule="auto"/>
        <w:rPr>
          <w:color w:val="000000"/>
          <w:lang w:val="bg-BG"/>
        </w:rPr>
      </w:pPr>
    </w:p>
    <w:p w14:paraId="3E54FB75" w14:textId="77777777" w:rsidR="007D128F" w:rsidRPr="00FE6AC6" w:rsidRDefault="007D128F" w:rsidP="0063575E">
      <w:pPr>
        <w:widowControl w:val="0"/>
        <w:spacing w:line="240" w:lineRule="auto"/>
        <w:rPr>
          <w:color w:val="000000"/>
          <w:lang w:val="bg-BG"/>
        </w:rPr>
      </w:pPr>
      <w:r w:rsidRPr="00FE6AC6">
        <w:rPr>
          <w:color w:val="000000"/>
          <w:lang w:val="bg-BG"/>
        </w:rPr>
        <w:t>Продължителност на лечението: При клиничните проучвания при пациенти с ГИСТ</w:t>
      </w:r>
      <w:r w:rsidR="00461972" w:rsidRPr="00FE6AC6">
        <w:rPr>
          <w:color w:val="000000"/>
          <w:lang w:val="bg-BG"/>
        </w:rPr>
        <w:t>,</w:t>
      </w:r>
      <w:r w:rsidRPr="00FE6AC6">
        <w:rPr>
          <w:color w:val="000000"/>
          <w:lang w:val="bg-BG"/>
        </w:rPr>
        <w:t xml:space="preserve"> лечението с Glivec продължава до прогресиране на заболяването. Към момента на анализа продължителността на лечението е средно 7</w:t>
      </w:r>
      <w:r w:rsidRPr="00FE6AC6">
        <w:rPr>
          <w:color w:val="000000"/>
          <w:lang w:val="en-US"/>
        </w:rPr>
        <w:t> </w:t>
      </w:r>
      <w:r w:rsidRPr="00FE6AC6">
        <w:rPr>
          <w:color w:val="000000"/>
          <w:lang w:val="bg-BG"/>
        </w:rPr>
        <w:t>месеца (7</w:t>
      </w:r>
      <w:r w:rsidRPr="00FE6AC6">
        <w:rPr>
          <w:color w:val="000000"/>
          <w:lang w:val="en-US"/>
        </w:rPr>
        <w:t> </w:t>
      </w:r>
      <w:r w:rsidRPr="00FE6AC6">
        <w:rPr>
          <w:color w:val="000000"/>
          <w:lang w:val="bg-BG"/>
        </w:rPr>
        <w:t>дни до 13</w:t>
      </w:r>
      <w:r w:rsidRPr="00FE6AC6">
        <w:rPr>
          <w:color w:val="000000"/>
          <w:lang w:val="en-US"/>
        </w:rPr>
        <w:t> </w:t>
      </w:r>
      <w:r w:rsidRPr="00FE6AC6">
        <w:rPr>
          <w:color w:val="000000"/>
          <w:lang w:val="bg-BG"/>
        </w:rPr>
        <w:t>месеца). Не е изследван ефектът от спирането на лечението след постигане на отговор.</w:t>
      </w:r>
    </w:p>
    <w:p w14:paraId="3E54FB76" w14:textId="77777777" w:rsidR="007D128F" w:rsidRPr="00FE6AC6" w:rsidRDefault="007D128F" w:rsidP="0063575E">
      <w:pPr>
        <w:widowControl w:val="0"/>
        <w:spacing w:line="240" w:lineRule="auto"/>
        <w:rPr>
          <w:color w:val="000000"/>
          <w:lang w:val="bg-BG"/>
        </w:rPr>
      </w:pPr>
    </w:p>
    <w:p w14:paraId="3E54FB77" w14:textId="77777777" w:rsidR="007D128F" w:rsidRPr="00FE6AC6" w:rsidRDefault="007D128F" w:rsidP="0063575E">
      <w:pPr>
        <w:widowControl w:val="0"/>
        <w:spacing w:line="240" w:lineRule="auto"/>
        <w:rPr>
          <w:color w:val="000000"/>
          <w:lang w:val="bg-BG"/>
        </w:rPr>
      </w:pPr>
      <w:r w:rsidRPr="00FE6AC6">
        <w:rPr>
          <w:color w:val="000000"/>
          <w:lang w:val="bg-BG"/>
        </w:rPr>
        <w:t xml:space="preserve">Препоръчваната доза </w:t>
      </w:r>
      <w:r w:rsidRPr="00FE6AC6">
        <w:rPr>
          <w:color w:val="000000"/>
          <w:lang w:val="en-US"/>
        </w:rPr>
        <w:t>Glivec</w:t>
      </w:r>
      <w:r w:rsidRPr="00FE6AC6">
        <w:rPr>
          <w:color w:val="000000"/>
          <w:lang w:val="bg-BG"/>
        </w:rPr>
        <w:t xml:space="preserve">, прилаган като адювантна терапия при възрастни пациенти след резекция на ГИСТ, е </w:t>
      </w:r>
      <w:r w:rsidRPr="00FE6AC6">
        <w:rPr>
          <w:color w:val="000000"/>
          <w:lang w:val="ru-RU"/>
        </w:rPr>
        <w:t>400</w:t>
      </w:r>
      <w:r w:rsidRPr="00FE6AC6">
        <w:rPr>
          <w:color w:val="000000"/>
          <w:lang w:val="en-US"/>
        </w:rPr>
        <w:t> mg</w:t>
      </w:r>
      <w:r w:rsidRPr="00FE6AC6">
        <w:rPr>
          <w:color w:val="000000"/>
          <w:lang w:val="ru-RU"/>
        </w:rPr>
        <w:t>/ден. Оптималната продължителност на лечението</w:t>
      </w:r>
      <w:r w:rsidR="00CE369B" w:rsidRPr="00FE6AC6">
        <w:rPr>
          <w:color w:val="000000"/>
          <w:lang w:val="ru-RU"/>
        </w:rPr>
        <w:t xml:space="preserve"> все още не е установена. Продължителността на лечението по време на клиничните изпитвания в подкрепа на тази индикация е била </w:t>
      </w:r>
      <w:r w:rsidR="00581651" w:rsidRPr="00FE6AC6">
        <w:rPr>
          <w:color w:val="000000"/>
          <w:lang w:val="bg-BG"/>
        </w:rPr>
        <w:t>36</w:t>
      </w:r>
      <w:r w:rsidR="00CE369B" w:rsidRPr="00FE6AC6">
        <w:rPr>
          <w:color w:val="000000"/>
          <w:lang w:val="ru-RU"/>
        </w:rPr>
        <w:t> месеца</w:t>
      </w:r>
      <w:r w:rsidR="00581651" w:rsidRPr="00FE6AC6">
        <w:rPr>
          <w:color w:val="000000"/>
          <w:lang w:val="ru-RU"/>
        </w:rPr>
        <w:t xml:space="preserve"> (вж. точка 5.1)</w:t>
      </w:r>
      <w:r w:rsidRPr="00FE6AC6">
        <w:rPr>
          <w:color w:val="000000"/>
          <w:lang w:val="bg-BG"/>
        </w:rPr>
        <w:t>.</w:t>
      </w:r>
    </w:p>
    <w:p w14:paraId="3E54FB78" w14:textId="77777777" w:rsidR="007D128F" w:rsidRPr="00FE6AC6" w:rsidRDefault="007D128F" w:rsidP="0063575E">
      <w:pPr>
        <w:widowControl w:val="0"/>
        <w:spacing w:line="240" w:lineRule="auto"/>
        <w:rPr>
          <w:color w:val="000000"/>
          <w:lang w:val="bg-BG"/>
        </w:rPr>
      </w:pPr>
    </w:p>
    <w:p w14:paraId="3E54FB79"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Дозир</w:t>
      </w:r>
      <w:r w:rsidR="00F7241C" w:rsidRPr="00FE6AC6">
        <w:rPr>
          <w:color w:val="000000"/>
          <w:u w:val="single"/>
          <w:lang w:val="bg-BG"/>
        </w:rPr>
        <w:t>овка</w:t>
      </w:r>
      <w:r w:rsidRPr="00FE6AC6">
        <w:rPr>
          <w:color w:val="000000"/>
          <w:u w:val="single"/>
          <w:lang w:val="bg-BG"/>
        </w:rPr>
        <w:t xml:space="preserve"> при ДФСП</w:t>
      </w:r>
    </w:p>
    <w:p w14:paraId="3E54FB7A" w14:textId="77777777" w:rsidR="001636FA" w:rsidRPr="00FE6AC6" w:rsidRDefault="001636FA" w:rsidP="0063575E">
      <w:pPr>
        <w:widowControl w:val="0"/>
        <w:spacing w:line="240" w:lineRule="auto"/>
        <w:rPr>
          <w:color w:val="000000"/>
          <w:lang w:val="bg-BG"/>
        </w:rPr>
      </w:pPr>
      <w:r w:rsidRPr="00FE6AC6">
        <w:rPr>
          <w:color w:val="000000"/>
          <w:lang w:val="bg-BG"/>
        </w:rPr>
        <w:t xml:space="preserve">При </w:t>
      </w:r>
      <w:r w:rsidR="00705318" w:rsidRPr="00FE6AC6">
        <w:rPr>
          <w:color w:val="000000"/>
          <w:lang w:val="bg-BG"/>
        </w:rPr>
        <w:t xml:space="preserve">възрастни </w:t>
      </w:r>
      <w:r w:rsidRPr="00FE6AC6">
        <w:rPr>
          <w:color w:val="000000"/>
          <w:lang w:val="bg-BG"/>
        </w:rPr>
        <w:t>пациенти с ДФСП</w:t>
      </w:r>
      <w:r w:rsidR="00461972" w:rsidRPr="00FE6AC6">
        <w:rPr>
          <w:color w:val="000000"/>
          <w:lang w:val="bg-BG"/>
        </w:rPr>
        <w:t>,</w:t>
      </w:r>
      <w:r w:rsidRPr="00FE6AC6">
        <w:rPr>
          <w:color w:val="000000"/>
          <w:lang w:val="bg-BG"/>
        </w:rPr>
        <w:t xml:space="preserve"> препоръчваната доза на </w:t>
      </w:r>
      <w:r w:rsidRPr="00FE6AC6">
        <w:rPr>
          <w:color w:val="000000"/>
          <w:lang w:val="en-US"/>
        </w:rPr>
        <w:t>Glivec</w:t>
      </w:r>
      <w:r w:rsidRPr="00FE6AC6">
        <w:rPr>
          <w:color w:val="000000"/>
          <w:lang w:val="ru-RU"/>
        </w:rPr>
        <w:t xml:space="preserve"> </w:t>
      </w:r>
      <w:r w:rsidRPr="00FE6AC6">
        <w:rPr>
          <w:color w:val="000000"/>
          <w:lang w:val="en-US"/>
        </w:rPr>
        <w:t>e</w:t>
      </w:r>
      <w:r w:rsidRPr="00FE6AC6">
        <w:rPr>
          <w:color w:val="000000"/>
          <w:lang w:val="ru-RU"/>
        </w:rPr>
        <w:t> 800 </w:t>
      </w:r>
      <w:r w:rsidRPr="00FE6AC6">
        <w:rPr>
          <w:color w:val="000000"/>
          <w:lang w:val="en-US"/>
        </w:rPr>
        <w:t>mg</w:t>
      </w:r>
      <w:r w:rsidRPr="00FE6AC6">
        <w:rPr>
          <w:color w:val="000000"/>
          <w:lang w:val="bg-BG"/>
        </w:rPr>
        <w:t>/ден.</w:t>
      </w:r>
    </w:p>
    <w:p w14:paraId="3E54FB7B" w14:textId="77777777" w:rsidR="001636FA" w:rsidRPr="00FE6AC6" w:rsidRDefault="001636FA" w:rsidP="0063575E">
      <w:pPr>
        <w:widowControl w:val="0"/>
        <w:spacing w:line="240" w:lineRule="auto"/>
        <w:rPr>
          <w:color w:val="000000"/>
          <w:lang w:val="bg-BG"/>
        </w:rPr>
      </w:pPr>
    </w:p>
    <w:p w14:paraId="3E54FB7C"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Промяна на дозата при нежелани реакции</w:t>
      </w:r>
    </w:p>
    <w:p w14:paraId="3E54FB7D" w14:textId="77777777" w:rsidR="001636FA" w:rsidRPr="00FE6AC6" w:rsidRDefault="001636FA" w:rsidP="0063575E">
      <w:pPr>
        <w:keepNext/>
        <w:widowControl w:val="0"/>
        <w:spacing w:line="240" w:lineRule="auto"/>
        <w:rPr>
          <w:i/>
          <w:color w:val="000000"/>
          <w:u w:val="single"/>
          <w:lang w:val="bg-BG"/>
        </w:rPr>
      </w:pPr>
      <w:r w:rsidRPr="00FE6AC6">
        <w:rPr>
          <w:i/>
          <w:color w:val="000000"/>
          <w:lang w:val="bg-BG"/>
        </w:rPr>
        <w:t>Нехематологични нежелани реакции</w:t>
      </w:r>
    </w:p>
    <w:p w14:paraId="3E54FB7E" w14:textId="77777777" w:rsidR="001636FA" w:rsidRPr="00FE6AC6" w:rsidRDefault="001636FA" w:rsidP="0063575E">
      <w:pPr>
        <w:widowControl w:val="0"/>
        <w:spacing w:line="240" w:lineRule="auto"/>
        <w:rPr>
          <w:color w:val="000000"/>
          <w:lang w:val="bg-BG"/>
        </w:rPr>
      </w:pPr>
      <w:r w:rsidRPr="00FE6AC6">
        <w:rPr>
          <w:color w:val="000000"/>
          <w:lang w:val="bg-BG"/>
        </w:rPr>
        <w:t>Ако при употреба на Glivec се развие сериозна нехематологична нежелана реакция, лечението трябва да се спре</w:t>
      </w:r>
      <w:r w:rsidR="00101306" w:rsidRPr="00FE6AC6">
        <w:rPr>
          <w:color w:val="000000"/>
          <w:lang w:val="bg-BG"/>
        </w:rPr>
        <w:t>, докато</w:t>
      </w:r>
      <w:r w:rsidRPr="00FE6AC6">
        <w:rPr>
          <w:color w:val="000000"/>
          <w:lang w:val="bg-BG"/>
        </w:rPr>
        <w:t xml:space="preserve"> реакцията отзвучи. След това лечението може да се възобнови</w:t>
      </w:r>
      <w:r w:rsidR="00461972" w:rsidRPr="00FE6AC6">
        <w:rPr>
          <w:color w:val="000000"/>
          <w:lang w:val="bg-BG"/>
        </w:rPr>
        <w:t>,</w:t>
      </w:r>
      <w:r w:rsidRPr="00FE6AC6">
        <w:rPr>
          <w:color w:val="000000"/>
          <w:lang w:val="bg-BG"/>
        </w:rPr>
        <w:t xml:space="preserve"> в зависимост от началната тежест на реакцията.</w:t>
      </w:r>
    </w:p>
    <w:p w14:paraId="3E54FB7F" w14:textId="77777777" w:rsidR="001636FA" w:rsidRPr="00FE6AC6" w:rsidRDefault="001636FA" w:rsidP="0063575E">
      <w:pPr>
        <w:widowControl w:val="0"/>
        <w:spacing w:line="240" w:lineRule="auto"/>
        <w:rPr>
          <w:color w:val="000000"/>
          <w:lang w:val="bg-BG"/>
        </w:rPr>
      </w:pPr>
    </w:p>
    <w:p w14:paraId="3E54FB80" w14:textId="77777777" w:rsidR="001636FA" w:rsidRPr="00FE6AC6" w:rsidRDefault="001636FA" w:rsidP="0063575E">
      <w:pPr>
        <w:widowControl w:val="0"/>
        <w:spacing w:line="240" w:lineRule="auto"/>
        <w:rPr>
          <w:color w:val="000000"/>
          <w:lang w:val="bg-BG"/>
        </w:rPr>
      </w:pPr>
      <w:r w:rsidRPr="00FE6AC6">
        <w:rPr>
          <w:color w:val="000000"/>
          <w:lang w:val="bg-BG"/>
        </w:rPr>
        <w:t>При повишение на билирубина &gt;3</w:t>
      </w:r>
      <w:r w:rsidRPr="00FE6AC6">
        <w:rPr>
          <w:color w:val="000000"/>
          <w:lang w:val="en-US"/>
        </w:rPr>
        <w:t> </w:t>
      </w:r>
      <w:r w:rsidRPr="00FE6AC6">
        <w:rPr>
          <w:color w:val="000000"/>
          <w:lang w:val="bg-BG"/>
        </w:rPr>
        <w:t>пъти над горната референтна граница на нормата за лечебното заведение (IULN) или на чернодробните трансаминази &gt;5</w:t>
      </w:r>
      <w:r w:rsidRPr="00FE6AC6">
        <w:rPr>
          <w:color w:val="000000"/>
          <w:lang w:val="en-US"/>
        </w:rPr>
        <w:t> </w:t>
      </w:r>
      <w:r w:rsidRPr="00FE6AC6">
        <w:rPr>
          <w:color w:val="000000"/>
          <w:lang w:val="bg-BG"/>
        </w:rPr>
        <w:t>пъти спрямо IULN Glivec трябва да се спре</w:t>
      </w:r>
      <w:r w:rsidR="00461972" w:rsidRPr="00FE6AC6">
        <w:rPr>
          <w:color w:val="000000"/>
          <w:lang w:val="bg-BG"/>
        </w:rPr>
        <w:t>,</w:t>
      </w:r>
      <w:r w:rsidRPr="00FE6AC6">
        <w:rPr>
          <w:color w:val="000000"/>
          <w:lang w:val="bg-BG"/>
        </w:rPr>
        <w:t xml:space="preserve"> докато нивата на билирубина се върнат до &lt;1,5</w:t>
      </w:r>
      <w:r w:rsidRPr="00FE6AC6">
        <w:rPr>
          <w:rFonts w:ascii="TimesNewRoman" w:hAnsi="TimesNewRoman"/>
          <w:color w:val="000000"/>
          <w:lang w:val="en-US"/>
        </w:rPr>
        <w:t> </w:t>
      </w:r>
      <w:r w:rsidRPr="00FE6AC6">
        <w:rPr>
          <w:color w:val="000000"/>
          <w:lang w:val="bg-BG"/>
        </w:rPr>
        <w:t>пъти спрямо IULN, а нивата на трансаминазите до &lt;2,5</w:t>
      </w:r>
      <w:r w:rsidRPr="00FE6AC6">
        <w:rPr>
          <w:color w:val="000000"/>
          <w:lang w:val="en-US"/>
        </w:rPr>
        <w:t> </w:t>
      </w:r>
      <w:r w:rsidRPr="00FE6AC6">
        <w:rPr>
          <w:color w:val="000000"/>
          <w:lang w:val="bg-BG"/>
        </w:rPr>
        <w:t>пъти спрямо IULN. Лечението с Glivec след това може да се продължи с намалена дневна доза. При възрастни дозата</w:t>
      </w:r>
      <w:r w:rsidR="00461972" w:rsidRPr="00FE6AC6">
        <w:rPr>
          <w:color w:val="000000"/>
          <w:lang w:val="bg-BG"/>
        </w:rPr>
        <w:t>,</w:t>
      </w:r>
      <w:r w:rsidRPr="00FE6AC6">
        <w:rPr>
          <w:color w:val="000000"/>
          <w:lang w:val="bg-BG"/>
        </w:rPr>
        <w:t xml:space="preserve"> трябва да се намали от</w:t>
      </w:r>
      <w:r w:rsidRPr="00FE6AC6">
        <w:rPr>
          <w:color w:val="000000"/>
          <w:lang w:val="en-US"/>
        </w:rPr>
        <w:t> </w:t>
      </w:r>
      <w:r w:rsidRPr="00FE6AC6">
        <w:rPr>
          <w:color w:val="000000"/>
          <w:lang w:val="bg-BG"/>
        </w:rPr>
        <w:t>400</w:t>
      </w:r>
      <w:r w:rsidRPr="00FE6AC6">
        <w:rPr>
          <w:color w:val="000000"/>
          <w:lang w:val="en-US"/>
        </w:rPr>
        <w:t> </w:t>
      </w:r>
      <w:r w:rsidRPr="00FE6AC6">
        <w:rPr>
          <w:color w:val="000000"/>
          <w:lang w:val="bg-BG"/>
        </w:rPr>
        <w:t>на</w:t>
      </w:r>
      <w:r w:rsidRPr="00FE6AC6">
        <w:rPr>
          <w:color w:val="000000"/>
          <w:lang w:val="en-US"/>
        </w:rPr>
        <w:t> </w:t>
      </w:r>
      <w:r w:rsidRPr="00FE6AC6">
        <w:rPr>
          <w:color w:val="000000"/>
          <w:lang w:val="bg-BG"/>
        </w:rPr>
        <w:t>300</w:t>
      </w:r>
      <w:r w:rsidRPr="00FE6AC6">
        <w:rPr>
          <w:color w:val="000000"/>
          <w:lang w:val="en-US"/>
        </w:rPr>
        <w:t> </w:t>
      </w:r>
      <w:r w:rsidRPr="00FE6AC6">
        <w:rPr>
          <w:color w:val="000000"/>
          <w:lang w:val="bg-BG"/>
        </w:rPr>
        <w:t>mg или от</w:t>
      </w:r>
      <w:r w:rsidRPr="00FE6AC6">
        <w:rPr>
          <w:color w:val="000000"/>
          <w:lang w:val="en-US"/>
        </w:rPr>
        <w:t> </w:t>
      </w:r>
      <w:r w:rsidRPr="00FE6AC6">
        <w:rPr>
          <w:color w:val="000000"/>
          <w:lang w:val="bg-BG"/>
        </w:rPr>
        <w:t>600</w:t>
      </w:r>
      <w:r w:rsidRPr="00FE6AC6">
        <w:rPr>
          <w:color w:val="000000"/>
          <w:lang w:val="en-US"/>
        </w:rPr>
        <w:t> </w:t>
      </w:r>
      <w:r w:rsidRPr="00FE6AC6">
        <w:rPr>
          <w:color w:val="000000"/>
          <w:lang w:val="bg-BG"/>
        </w:rPr>
        <w:t>на</w:t>
      </w:r>
      <w:r w:rsidRPr="00FE6AC6">
        <w:rPr>
          <w:color w:val="000000"/>
          <w:lang w:val="en-US"/>
        </w:rPr>
        <w:t> </w:t>
      </w:r>
      <w:r w:rsidRPr="00FE6AC6">
        <w:rPr>
          <w:color w:val="000000"/>
          <w:lang w:val="bg-BG"/>
        </w:rPr>
        <w:t>400</w:t>
      </w:r>
      <w:r w:rsidRPr="00FE6AC6">
        <w:rPr>
          <w:color w:val="000000"/>
          <w:lang w:val="en-US"/>
        </w:rPr>
        <w:t> </w:t>
      </w:r>
      <w:r w:rsidRPr="00FE6AC6">
        <w:rPr>
          <w:color w:val="000000"/>
          <w:lang w:val="bg-BG"/>
        </w:rPr>
        <w:t>mg, или от</w:t>
      </w:r>
      <w:r w:rsidRPr="00FE6AC6">
        <w:rPr>
          <w:color w:val="000000"/>
          <w:lang w:val="en-US"/>
        </w:rPr>
        <w:t> </w:t>
      </w:r>
      <w:r w:rsidRPr="00FE6AC6">
        <w:rPr>
          <w:color w:val="000000"/>
          <w:lang w:val="bg-BG"/>
        </w:rPr>
        <w:t>800</w:t>
      </w:r>
      <w:r w:rsidRPr="00FE6AC6">
        <w:rPr>
          <w:color w:val="000000"/>
          <w:lang w:val="en-US"/>
        </w:rPr>
        <w:t> mg</w:t>
      </w:r>
      <w:r w:rsidRPr="00FE6AC6">
        <w:rPr>
          <w:color w:val="000000"/>
          <w:lang w:val="bg-BG"/>
        </w:rPr>
        <w:t xml:space="preserve"> на</w:t>
      </w:r>
      <w:r w:rsidRPr="00FE6AC6">
        <w:rPr>
          <w:color w:val="000000"/>
          <w:lang w:val="en-US"/>
        </w:rPr>
        <w:t> </w:t>
      </w:r>
      <w:r w:rsidRPr="00FE6AC6">
        <w:rPr>
          <w:color w:val="000000"/>
          <w:lang w:val="bg-BG"/>
        </w:rPr>
        <w:t>600</w:t>
      </w:r>
      <w:r w:rsidRPr="00FE6AC6">
        <w:rPr>
          <w:color w:val="000000"/>
          <w:lang w:val="en-US"/>
        </w:rPr>
        <w:t> mg</w:t>
      </w:r>
      <w:r w:rsidRPr="00FE6AC6">
        <w:rPr>
          <w:color w:val="000000"/>
          <w:lang w:val="bg-BG"/>
        </w:rPr>
        <w:t>, а при деца от</w:t>
      </w:r>
      <w:r w:rsidRPr="00FE6AC6">
        <w:rPr>
          <w:color w:val="000000"/>
          <w:lang w:val="en-US"/>
        </w:rPr>
        <w:t> </w:t>
      </w:r>
      <w:r w:rsidRPr="00FE6AC6">
        <w:rPr>
          <w:color w:val="000000"/>
          <w:lang w:val="bg-BG"/>
        </w:rPr>
        <w:t>340 на</w:t>
      </w:r>
      <w:r w:rsidRPr="00FE6AC6">
        <w:rPr>
          <w:color w:val="000000"/>
          <w:lang w:val="en-US"/>
        </w:rPr>
        <w:t> </w:t>
      </w:r>
      <w:r w:rsidRPr="00FE6AC6">
        <w:rPr>
          <w:color w:val="000000"/>
          <w:lang w:val="bg-BG"/>
        </w:rPr>
        <w:t>260 mg/m</w:t>
      </w:r>
      <w:r w:rsidRPr="00FE6AC6">
        <w:rPr>
          <w:color w:val="000000"/>
          <w:vertAlign w:val="superscript"/>
          <w:lang w:val="bg-BG"/>
        </w:rPr>
        <w:t>2</w:t>
      </w:r>
      <w:r w:rsidRPr="00FE6AC6">
        <w:rPr>
          <w:color w:val="000000"/>
          <w:lang w:val="bg-BG"/>
        </w:rPr>
        <w:t>/ден.</w:t>
      </w:r>
    </w:p>
    <w:p w14:paraId="3E54FB81" w14:textId="77777777" w:rsidR="001636FA" w:rsidRPr="00FE6AC6" w:rsidRDefault="001636FA" w:rsidP="0063575E">
      <w:pPr>
        <w:widowControl w:val="0"/>
        <w:spacing w:line="240" w:lineRule="auto"/>
        <w:rPr>
          <w:color w:val="000000"/>
          <w:lang w:val="bg-BG"/>
        </w:rPr>
      </w:pPr>
    </w:p>
    <w:p w14:paraId="3E54FB82" w14:textId="77777777" w:rsidR="001636FA" w:rsidRPr="00FE6AC6" w:rsidRDefault="001636FA" w:rsidP="0063575E">
      <w:pPr>
        <w:keepNext/>
        <w:widowControl w:val="0"/>
        <w:spacing w:line="240" w:lineRule="auto"/>
        <w:rPr>
          <w:i/>
          <w:color w:val="000000"/>
          <w:lang w:val="bg-BG"/>
        </w:rPr>
      </w:pPr>
      <w:r w:rsidRPr="00FE6AC6">
        <w:rPr>
          <w:i/>
          <w:color w:val="000000"/>
          <w:lang w:val="bg-BG"/>
        </w:rPr>
        <w:t>Хематологични нежелани реакции</w:t>
      </w:r>
    </w:p>
    <w:p w14:paraId="3E54FB83" w14:textId="77777777" w:rsidR="001636FA" w:rsidRPr="00FE6AC6" w:rsidRDefault="001636FA" w:rsidP="0063575E">
      <w:pPr>
        <w:widowControl w:val="0"/>
        <w:spacing w:line="240" w:lineRule="auto"/>
        <w:rPr>
          <w:color w:val="000000"/>
          <w:lang w:val="bg-BG"/>
        </w:rPr>
      </w:pPr>
      <w:r w:rsidRPr="00FE6AC6">
        <w:rPr>
          <w:color w:val="000000"/>
          <w:lang w:val="bg-BG"/>
        </w:rPr>
        <w:t>Понижаването на дозата или прекъсването на лечението</w:t>
      </w:r>
      <w:r w:rsidR="00461972" w:rsidRPr="00FE6AC6">
        <w:rPr>
          <w:color w:val="000000"/>
          <w:lang w:val="bg-BG"/>
        </w:rPr>
        <w:t>,</w:t>
      </w:r>
      <w:r w:rsidRPr="00FE6AC6">
        <w:rPr>
          <w:color w:val="000000"/>
          <w:lang w:val="bg-BG"/>
        </w:rPr>
        <w:t xml:space="preserve"> поради тежка неутропения и тромбоцитопения се препоръчват</w:t>
      </w:r>
      <w:r w:rsidR="00101306" w:rsidRPr="00FE6AC6">
        <w:rPr>
          <w:color w:val="000000"/>
          <w:lang w:val="bg-BG"/>
        </w:rPr>
        <w:t>, както</w:t>
      </w:r>
      <w:r w:rsidRPr="00FE6AC6">
        <w:rPr>
          <w:color w:val="000000"/>
          <w:lang w:val="bg-BG"/>
        </w:rPr>
        <w:t xml:space="preserve"> е посочено в таблицата по-долу.</w:t>
      </w:r>
    </w:p>
    <w:p w14:paraId="3E54FB84" w14:textId="77777777" w:rsidR="001636FA" w:rsidRPr="00FE6AC6" w:rsidRDefault="001636FA" w:rsidP="0063575E">
      <w:pPr>
        <w:widowControl w:val="0"/>
        <w:spacing w:line="240" w:lineRule="auto"/>
        <w:rPr>
          <w:color w:val="000000"/>
          <w:lang w:val="bg-BG"/>
        </w:rPr>
      </w:pPr>
    </w:p>
    <w:p w14:paraId="3E54FB85" w14:textId="77777777" w:rsidR="001636FA" w:rsidRPr="00FE6AC6" w:rsidRDefault="001636FA" w:rsidP="0063575E">
      <w:pPr>
        <w:keepNext/>
        <w:keepLines/>
        <w:widowControl w:val="0"/>
        <w:spacing w:line="240" w:lineRule="auto"/>
        <w:rPr>
          <w:color w:val="000000"/>
          <w:lang w:val="bg-BG"/>
        </w:rPr>
      </w:pPr>
      <w:r w:rsidRPr="00FE6AC6">
        <w:rPr>
          <w:color w:val="000000"/>
          <w:lang w:val="bg-BG"/>
        </w:rPr>
        <w:t>Промени в дозата при неутропения и тромбоцитопения:</w:t>
      </w:r>
    </w:p>
    <w:p w14:paraId="3E54FB86" w14:textId="77777777" w:rsidR="001636FA" w:rsidRPr="00FE6AC6" w:rsidRDefault="001636FA" w:rsidP="0063575E">
      <w:pPr>
        <w:keepNext/>
        <w:keepLines/>
        <w:widowControl w:val="0"/>
        <w:spacing w:line="240" w:lineRule="auto"/>
        <w:rPr>
          <w:color w:val="000000"/>
          <w:lang w:val="bg-BG"/>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2459"/>
        <w:gridCol w:w="4804"/>
      </w:tblGrid>
      <w:tr w:rsidR="008B42C7" w:rsidRPr="004015AA" w14:paraId="3E54FB8D" w14:textId="77777777" w:rsidTr="00F40727">
        <w:trPr>
          <w:cantSplit/>
        </w:trPr>
        <w:tc>
          <w:tcPr>
            <w:tcW w:w="2059" w:type="dxa"/>
          </w:tcPr>
          <w:p w14:paraId="3E54FB87" w14:textId="77777777" w:rsidR="008B42C7" w:rsidRPr="00FE6AC6" w:rsidRDefault="000E16D3" w:rsidP="0063575E">
            <w:pPr>
              <w:keepNext/>
              <w:keepLines/>
              <w:widowControl w:val="0"/>
              <w:spacing w:line="240" w:lineRule="auto"/>
              <w:rPr>
                <w:color w:val="000000"/>
                <w:lang w:val="bg-BG"/>
              </w:rPr>
            </w:pPr>
            <w:r w:rsidRPr="00FE6AC6">
              <w:rPr>
                <w:color w:val="000000"/>
                <w:szCs w:val="22"/>
                <w:lang w:val="bg-BG"/>
              </w:rPr>
              <w:t>ХЕС/ХЕЛ</w:t>
            </w:r>
            <w:r w:rsidR="008B42C7" w:rsidRPr="00FE6AC6">
              <w:rPr>
                <w:color w:val="000000"/>
                <w:szCs w:val="22"/>
                <w:lang w:val="bg-BG"/>
              </w:rPr>
              <w:t xml:space="preserve"> (</w:t>
            </w:r>
            <w:r w:rsidR="002E28DF" w:rsidRPr="00FE6AC6">
              <w:rPr>
                <w:color w:val="000000"/>
                <w:szCs w:val="22"/>
                <w:lang w:val="bg-BG"/>
              </w:rPr>
              <w:t>начална доза</w:t>
            </w:r>
            <w:r w:rsidR="008B42C7" w:rsidRPr="00FE6AC6">
              <w:rPr>
                <w:color w:val="000000"/>
                <w:szCs w:val="22"/>
                <w:lang w:val="bg-BG"/>
              </w:rPr>
              <w:t xml:space="preserve"> 100</w:t>
            </w:r>
            <w:r w:rsidR="008B42C7" w:rsidRPr="00FE6AC6">
              <w:rPr>
                <w:color w:val="000000"/>
                <w:szCs w:val="22"/>
                <w:lang w:val="nb-NO"/>
              </w:rPr>
              <w:t> mg</w:t>
            </w:r>
            <w:r w:rsidR="008B42C7" w:rsidRPr="00FE6AC6">
              <w:rPr>
                <w:color w:val="000000"/>
                <w:szCs w:val="22"/>
                <w:lang w:val="bg-BG"/>
              </w:rPr>
              <w:t>)</w:t>
            </w:r>
          </w:p>
        </w:tc>
        <w:tc>
          <w:tcPr>
            <w:tcW w:w="2459" w:type="dxa"/>
          </w:tcPr>
          <w:p w14:paraId="3E54FB88" w14:textId="77777777" w:rsidR="008B42C7" w:rsidRPr="00FE6AC6" w:rsidRDefault="008B42C7" w:rsidP="0063575E">
            <w:pPr>
              <w:pStyle w:val="Table"/>
              <w:widowControl w:val="0"/>
              <w:suppressLineNumbers/>
              <w:spacing w:before="0" w:after="0"/>
              <w:rPr>
                <w:rFonts w:ascii="Times New Roman" w:hAnsi="Times New Roman"/>
                <w:color w:val="000000"/>
                <w:sz w:val="22"/>
                <w:szCs w:val="22"/>
                <w:lang w:val="bg-BG"/>
              </w:rPr>
            </w:pPr>
            <w:r w:rsidRPr="00FE6AC6">
              <w:rPr>
                <w:rFonts w:ascii="Times New Roman" w:hAnsi="Times New Roman"/>
                <w:color w:val="000000"/>
                <w:sz w:val="22"/>
                <w:szCs w:val="22"/>
                <w:lang w:val="en-GB"/>
              </w:rPr>
              <w:t>ANC</w:t>
            </w:r>
            <w:r w:rsidRPr="00FE6AC6">
              <w:rPr>
                <w:rFonts w:ascii="Times New Roman" w:hAnsi="Times New Roman"/>
                <w:color w:val="000000"/>
                <w:sz w:val="22"/>
                <w:szCs w:val="22"/>
                <w:lang w:val="bg-BG"/>
              </w:rPr>
              <w:t xml:space="preserve"> &lt;1</w:t>
            </w:r>
            <w:r w:rsidR="00196BDE" w:rsidRPr="00FE6AC6">
              <w:rPr>
                <w:rFonts w:ascii="Times New Roman" w:hAnsi="Times New Roman"/>
                <w:color w:val="000000"/>
                <w:sz w:val="22"/>
                <w:szCs w:val="22"/>
                <w:lang w:val="bg-BG"/>
              </w:rPr>
              <w:t>,</w:t>
            </w:r>
            <w:r w:rsidRPr="00FE6AC6">
              <w:rPr>
                <w:rFonts w:ascii="Times New Roman" w:hAnsi="Times New Roman"/>
                <w:color w:val="000000"/>
                <w:sz w:val="22"/>
                <w:szCs w:val="22"/>
                <w:lang w:val="bg-BG"/>
              </w:rPr>
              <w:t>0</w:t>
            </w:r>
            <w:r w:rsidRPr="00FE6AC6">
              <w:rPr>
                <w:rFonts w:ascii="Times New Roman" w:hAnsi="Times New Roman"/>
                <w:color w:val="000000"/>
                <w:sz w:val="22"/>
                <w:szCs w:val="22"/>
                <w:lang w:val="en-GB"/>
              </w:rPr>
              <w:t> x </w:t>
            </w:r>
            <w:r w:rsidRPr="00FE6AC6">
              <w:rPr>
                <w:rFonts w:ascii="Times New Roman" w:hAnsi="Times New Roman"/>
                <w:color w:val="000000"/>
                <w:sz w:val="22"/>
                <w:szCs w:val="22"/>
                <w:lang w:val="bg-BG"/>
              </w:rPr>
              <w:t>10</w:t>
            </w:r>
            <w:r w:rsidRPr="00FE6AC6">
              <w:rPr>
                <w:rFonts w:ascii="Times New Roman" w:hAnsi="Times New Roman"/>
                <w:color w:val="000000"/>
                <w:sz w:val="22"/>
                <w:szCs w:val="22"/>
                <w:vertAlign w:val="superscript"/>
                <w:lang w:val="bg-BG"/>
              </w:rPr>
              <w:t>9</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l</w:t>
            </w:r>
          </w:p>
          <w:p w14:paraId="3E54FB89" w14:textId="77777777" w:rsidR="008B42C7" w:rsidRPr="00FE6AC6" w:rsidRDefault="00901A78" w:rsidP="0063575E">
            <w:pPr>
              <w:pStyle w:val="Table"/>
              <w:widowControl w:val="0"/>
              <w:suppressLineNumbers/>
              <w:spacing w:before="0" w:after="0"/>
              <w:rPr>
                <w:rFonts w:ascii="Times New Roman" w:hAnsi="Times New Roman"/>
                <w:color w:val="000000"/>
                <w:sz w:val="22"/>
                <w:szCs w:val="22"/>
                <w:lang w:val="bg-BG"/>
              </w:rPr>
            </w:pPr>
            <w:r w:rsidRPr="00FE6AC6">
              <w:rPr>
                <w:rFonts w:ascii="Times New Roman" w:hAnsi="Times New Roman"/>
                <w:color w:val="000000"/>
                <w:sz w:val="22"/>
                <w:szCs w:val="22"/>
                <w:lang w:val="bg-BG"/>
              </w:rPr>
              <w:t>и/или</w:t>
            </w:r>
          </w:p>
          <w:p w14:paraId="3E54FB8A" w14:textId="77777777" w:rsidR="008B42C7" w:rsidRPr="00FE6AC6" w:rsidRDefault="00901A78" w:rsidP="0063575E">
            <w:pPr>
              <w:keepNext/>
              <w:keepLines/>
              <w:widowControl w:val="0"/>
              <w:spacing w:line="240" w:lineRule="auto"/>
              <w:rPr>
                <w:color w:val="000000"/>
                <w:lang w:val="bg-BG"/>
              </w:rPr>
            </w:pPr>
            <w:r w:rsidRPr="00FE6AC6">
              <w:rPr>
                <w:color w:val="000000"/>
                <w:szCs w:val="22"/>
                <w:lang w:val="bg-BG"/>
              </w:rPr>
              <w:t>тромбоцити</w:t>
            </w:r>
            <w:r w:rsidR="008B42C7" w:rsidRPr="00FE6AC6">
              <w:rPr>
                <w:color w:val="000000"/>
                <w:szCs w:val="22"/>
                <w:lang w:val="bg-BG"/>
              </w:rPr>
              <w:t xml:space="preserve"> &lt;50</w:t>
            </w:r>
            <w:r w:rsidR="008B42C7" w:rsidRPr="00FE6AC6">
              <w:rPr>
                <w:color w:val="000000"/>
                <w:szCs w:val="22"/>
              </w:rPr>
              <w:t> x </w:t>
            </w:r>
            <w:r w:rsidR="008B42C7" w:rsidRPr="00FE6AC6">
              <w:rPr>
                <w:color w:val="000000"/>
                <w:szCs w:val="22"/>
                <w:lang w:val="bg-BG"/>
              </w:rPr>
              <w:t>10</w:t>
            </w:r>
            <w:r w:rsidR="008B42C7" w:rsidRPr="00FE6AC6">
              <w:rPr>
                <w:color w:val="000000"/>
                <w:szCs w:val="22"/>
                <w:vertAlign w:val="superscript"/>
                <w:lang w:val="bg-BG"/>
              </w:rPr>
              <w:t>9</w:t>
            </w:r>
            <w:r w:rsidR="008B42C7" w:rsidRPr="00FE6AC6">
              <w:rPr>
                <w:color w:val="000000"/>
                <w:szCs w:val="22"/>
                <w:lang w:val="bg-BG"/>
              </w:rPr>
              <w:t>/</w:t>
            </w:r>
            <w:r w:rsidR="008B42C7" w:rsidRPr="00FE6AC6">
              <w:rPr>
                <w:color w:val="000000"/>
                <w:szCs w:val="22"/>
              </w:rPr>
              <w:t>l</w:t>
            </w:r>
          </w:p>
        </w:tc>
        <w:tc>
          <w:tcPr>
            <w:tcW w:w="4804" w:type="dxa"/>
          </w:tcPr>
          <w:p w14:paraId="3E54FB8B" w14:textId="77777777" w:rsidR="008B42C7" w:rsidRPr="00FE6AC6" w:rsidRDefault="00461FF0" w:rsidP="0063575E">
            <w:pPr>
              <w:pStyle w:val="Table"/>
              <w:widowControl w:val="0"/>
              <w:suppressLineNumbers/>
              <w:tabs>
                <w:tab w:val="clear" w:pos="284"/>
              </w:tabs>
              <w:spacing w:before="0" w:after="0"/>
              <w:ind w:left="444" w:hanging="444"/>
              <w:rPr>
                <w:rFonts w:ascii="Times New Roman" w:hAnsi="Times New Roman"/>
                <w:color w:val="000000"/>
                <w:sz w:val="22"/>
                <w:szCs w:val="22"/>
                <w:lang w:val="bg-BG"/>
              </w:rPr>
            </w:pPr>
            <w:r w:rsidRPr="00FE6AC6">
              <w:rPr>
                <w:rFonts w:ascii="Times New Roman" w:hAnsi="Times New Roman"/>
                <w:color w:val="000000"/>
                <w:sz w:val="22"/>
                <w:szCs w:val="22"/>
                <w:lang w:val="bg-BG"/>
              </w:rPr>
              <w:t>1.</w:t>
            </w:r>
            <w:r w:rsidRPr="00FE6AC6">
              <w:rPr>
                <w:rFonts w:ascii="Times New Roman" w:hAnsi="Times New Roman"/>
                <w:color w:val="000000"/>
                <w:sz w:val="22"/>
                <w:szCs w:val="22"/>
                <w:lang w:val="bg-BG"/>
              </w:rPr>
              <w:tab/>
            </w:r>
            <w:r w:rsidR="00901A78" w:rsidRPr="00FE6AC6">
              <w:rPr>
                <w:rFonts w:ascii="Times New Roman" w:hAnsi="Times New Roman"/>
                <w:color w:val="000000"/>
                <w:sz w:val="22"/>
                <w:szCs w:val="22"/>
                <w:lang w:val="bg-BG"/>
              </w:rPr>
              <w:t xml:space="preserve">Прекратете приема на </w:t>
            </w:r>
            <w:r w:rsidR="008B42C7" w:rsidRPr="00FE6AC6">
              <w:rPr>
                <w:rFonts w:ascii="Times New Roman" w:hAnsi="Times New Roman"/>
                <w:color w:val="000000"/>
                <w:sz w:val="22"/>
                <w:szCs w:val="22"/>
                <w:lang w:val="de-CH"/>
              </w:rPr>
              <w:t>Glivec</w:t>
            </w:r>
            <w:r w:rsidR="00461972" w:rsidRPr="00FE6AC6">
              <w:rPr>
                <w:rFonts w:ascii="Times New Roman" w:hAnsi="Times New Roman"/>
                <w:color w:val="000000"/>
                <w:sz w:val="22"/>
                <w:szCs w:val="22"/>
                <w:lang w:val="bg-BG"/>
              </w:rPr>
              <w:t>,</w:t>
            </w:r>
            <w:r w:rsidR="008B42C7" w:rsidRPr="00FE6AC6">
              <w:rPr>
                <w:rFonts w:ascii="Times New Roman" w:hAnsi="Times New Roman"/>
                <w:color w:val="000000"/>
                <w:sz w:val="22"/>
                <w:szCs w:val="22"/>
                <w:lang w:val="bg-BG"/>
              </w:rPr>
              <w:t xml:space="preserve"> </w:t>
            </w:r>
            <w:r w:rsidR="00901A78" w:rsidRPr="00FE6AC6">
              <w:rPr>
                <w:rFonts w:ascii="Times New Roman" w:hAnsi="Times New Roman"/>
                <w:color w:val="000000"/>
                <w:sz w:val="22"/>
                <w:szCs w:val="22"/>
                <w:lang w:val="bg-BG"/>
              </w:rPr>
              <w:t>до</w:t>
            </w:r>
            <w:r w:rsidR="00461972" w:rsidRPr="00FE6AC6">
              <w:rPr>
                <w:rFonts w:ascii="Times New Roman" w:hAnsi="Times New Roman"/>
                <w:color w:val="000000"/>
                <w:sz w:val="22"/>
                <w:szCs w:val="22"/>
                <w:lang w:val="bg-BG"/>
              </w:rPr>
              <w:t xml:space="preserve"> </w:t>
            </w:r>
            <w:r w:rsidR="001F679F" w:rsidRPr="00FE6AC6">
              <w:rPr>
                <w:rFonts w:ascii="Times New Roman" w:hAnsi="Times New Roman"/>
                <w:color w:val="000000"/>
                <w:sz w:val="22"/>
                <w:szCs w:val="22"/>
                <w:lang w:val="bg-BG"/>
              </w:rPr>
              <w:t xml:space="preserve">възстановяването на </w:t>
            </w:r>
            <w:r w:rsidR="008B42C7" w:rsidRPr="00FE6AC6">
              <w:rPr>
                <w:rFonts w:ascii="Times New Roman" w:hAnsi="Times New Roman"/>
                <w:color w:val="000000"/>
                <w:sz w:val="22"/>
                <w:szCs w:val="22"/>
                <w:lang w:val="de-CH"/>
              </w:rPr>
              <w:t>ANC</w:t>
            </w:r>
            <w:r w:rsidR="008B42C7" w:rsidRPr="00FE6AC6">
              <w:rPr>
                <w:rFonts w:ascii="Times New Roman" w:hAnsi="Times New Roman"/>
                <w:color w:val="000000"/>
                <w:sz w:val="22"/>
                <w:szCs w:val="22"/>
                <w:lang w:val="bg-BG"/>
              </w:rPr>
              <w:t xml:space="preserve"> </w:t>
            </w:r>
            <w:r w:rsidR="008B42C7" w:rsidRPr="00FE6AC6">
              <w:rPr>
                <w:rFonts w:ascii="Times New Roman" w:hAnsi="Times New Roman"/>
                <w:color w:val="000000"/>
                <w:sz w:val="22"/>
                <w:szCs w:val="22"/>
                <w:lang w:val="en-GB"/>
              </w:rPr>
              <w:sym w:font="Symbol" w:char="F0B3"/>
            </w:r>
            <w:r w:rsidR="008B42C7" w:rsidRPr="00FE6AC6">
              <w:rPr>
                <w:rFonts w:ascii="Times New Roman" w:hAnsi="Times New Roman"/>
                <w:color w:val="000000"/>
                <w:sz w:val="22"/>
                <w:szCs w:val="22"/>
                <w:lang w:val="bg-BG"/>
              </w:rPr>
              <w:t>1</w:t>
            </w:r>
            <w:r w:rsidR="00196BDE" w:rsidRPr="00FE6AC6">
              <w:rPr>
                <w:rFonts w:ascii="Times New Roman" w:hAnsi="Times New Roman"/>
                <w:color w:val="000000"/>
                <w:sz w:val="22"/>
                <w:szCs w:val="22"/>
                <w:lang w:val="bg-BG"/>
              </w:rPr>
              <w:t>,</w:t>
            </w:r>
            <w:r w:rsidR="008B42C7" w:rsidRPr="00FE6AC6">
              <w:rPr>
                <w:rFonts w:ascii="Times New Roman" w:hAnsi="Times New Roman"/>
                <w:color w:val="000000"/>
                <w:sz w:val="22"/>
                <w:szCs w:val="22"/>
                <w:lang w:val="bg-BG"/>
              </w:rPr>
              <w:t>5</w:t>
            </w:r>
            <w:r w:rsidR="008B42C7" w:rsidRPr="00FE6AC6">
              <w:rPr>
                <w:rFonts w:ascii="Times New Roman" w:hAnsi="Times New Roman"/>
                <w:color w:val="000000"/>
                <w:sz w:val="22"/>
                <w:szCs w:val="22"/>
                <w:lang w:val="de-CH"/>
              </w:rPr>
              <w:t> x </w:t>
            </w:r>
            <w:r w:rsidR="008B42C7" w:rsidRPr="00FE6AC6">
              <w:rPr>
                <w:rFonts w:ascii="Times New Roman" w:hAnsi="Times New Roman"/>
                <w:color w:val="000000"/>
                <w:sz w:val="22"/>
                <w:szCs w:val="22"/>
                <w:lang w:val="bg-BG"/>
              </w:rPr>
              <w:t>10</w:t>
            </w:r>
            <w:r w:rsidR="008B42C7" w:rsidRPr="00FE6AC6">
              <w:rPr>
                <w:rFonts w:ascii="Times New Roman" w:hAnsi="Times New Roman"/>
                <w:color w:val="000000"/>
                <w:sz w:val="22"/>
                <w:szCs w:val="22"/>
                <w:vertAlign w:val="superscript"/>
                <w:lang w:val="bg-BG"/>
              </w:rPr>
              <w:t>9</w:t>
            </w:r>
            <w:r w:rsidR="008B42C7" w:rsidRPr="00FE6AC6">
              <w:rPr>
                <w:rFonts w:ascii="Times New Roman" w:hAnsi="Times New Roman"/>
                <w:color w:val="000000"/>
                <w:sz w:val="22"/>
                <w:szCs w:val="22"/>
                <w:lang w:val="bg-BG"/>
              </w:rPr>
              <w:t>/</w:t>
            </w:r>
            <w:r w:rsidR="008B42C7" w:rsidRPr="00FE6AC6">
              <w:rPr>
                <w:rFonts w:ascii="Times New Roman" w:hAnsi="Times New Roman"/>
                <w:color w:val="000000"/>
                <w:sz w:val="22"/>
                <w:szCs w:val="22"/>
                <w:lang w:val="de-CH"/>
              </w:rPr>
              <w:t>l</w:t>
            </w:r>
            <w:r w:rsidR="008B42C7" w:rsidRPr="00FE6AC6">
              <w:rPr>
                <w:rFonts w:ascii="Times New Roman" w:hAnsi="Times New Roman"/>
                <w:color w:val="000000"/>
                <w:sz w:val="22"/>
                <w:szCs w:val="22"/>
                <w:lang w:val="bg-BG"/>
              </w:rPr>
              <w:t xml:space="preserve"> </w:t>
            </w:r>
            <w:r w:rsidR="00901A78" w:rsidRPr="00FE6AC6">
              <w:rPr>
                <w:rFonts w:ascii="Times New Roman" w:hAnsi="Times New Roman"/>
                <w:color w:val="000000"/>
                <w:sz w:val="22"/>
                <w:szCs w:val="22"/>
                <w:lang w:val="bg-BG"/>
              </w:rPr>
              <w:t>и тромбоцитите</w:t>
            </w:r>
            <w:r w:rsidR="008B42C7" w:rsidRPr="00FE6AC6">
              <w:rPr>
                <w:rFonts w:ascii="Times New Roman" w:hAnsi="Times New Roman"/>
                <w:color w:val="000000"/>
                <w:sz w:val="22"/>
                <w:szCs w:val="22"/>
                <w:lang w:val="bg-BG"/>
              </w:rPr>
              <w:t xml:space="preserve"> </w:t>
            </w:r>
            <w:r w:rsidR="008B42C7" w:rsidRPr="00FE6AC6">
              <w:rPr>
                <w:rFonts w:ascii="Times New Roman" w:hAnsi="Times New Roman"/>
                <w:color w:val="000000"/>
                <w:sz w:val="22"/>
                <w:szCs w:val="22"/>
                <w:lang w:val="en-GB"/>
              </w:rPr>
              <w:sym w:font="Symbol" w:char="F0B3"/>
            </w:r>
            <w:r w:rsidR="008B42C7" w:rsidRPr="00FE6AC6">
              <w:rPr>
                <w:rFonts w:ascii="Times New Roman" w:hAnsi="Times New Roman"/>
                <w:color w:val="000000"/>
                <w:sz w:val="22"/>
                <w:szCs w:val="22"/>
                <w:lang w:val="bg-BG"/>
              </w:rPr>
              <w:t>75</w:t>
            </w:r>
            <w:r w:rsidR="008B42C7" w:rsidRPr="00FE6AC6">
              <w:rPr>
                <w:rFonts w:ascii="Times New Roman" w:hAnsi="Times New Roman"/>
                <w:color w:val="000000"/>
                <w:sz w:val="22"/>
                <w:szCs w:val="22"/>
                <w:lang w:val="de-CH"/>
              </w:rPr>
              <w:t> x </w:t>
            </w:r>
            <w:r w:rsidR="008B42C7" w:rsidRPr="00FE6AC6">
              <w:rPr>
                <w:rFonts w:ascii="Times New Roman" w:hAnsi="Times New Roman"/>
                <w:color w:val="000000"/>
                <w:sz w:val="22"/>
                <w:szCs w:val="22"/>
                <w:lang w:val="bg-BG"/>
              </w:rPr>
              <w:t>10</w:t>
            </w:r>
            <w:r w:rsidR="008B42C7" w:rsidRPr="00FE6AC6">
              <w:rPr>
                <w:rFonts w:ascii="Times New Roman" w:hAnsi="Times New Roman"/>
                <w:color w:val="000000"/>
                <w:sz w:val="22"/>
                <w:szCs w:val="22"/>
                <w:vertAlign w:val="superscript"/>
                <w:lang w:val="bg-BG"/>
              </w:rPr>
              <w:t>9</w:t>
            </w:r>
            <w:r w:rsidR="008B42C7" w:rsidRPr="00FE6AC6">
              <w:rPr>
                <w:rFonts w:ascii="Times New Roman" w:hAnsi="Times New Roman"/>
                <w:color w:val="000000"/>
                <w:sz w:val="22"/>
                <w:szCs w:val="22"/>
                <w:lang w:val="bg-BG"/>
              </w:rPr>
              <w:t>/</w:t>
            </w:r>
            <w:r w:rsidR="008B42C7" w:rsidRPr="00FE6AC6">
              <w:rPr>
                <w:rFonts w:ascii="Times New Roman" w:hAnsi="Times New Roman"/>
                <w:color w:val="000000"/>
                <w:sz w:val="22"/>
                <w:szCs w:val="22"/>
                <w:lang w:val="de-CH"/>
              </w:rPr>
              <w:t>l</w:t>
            </w:r>
            <w:r w:rsidR="008B42C7" w:rsidRPr="00FE6AC6">
              <w:rPr>
                <w:rFonts w:ascii="Times New Roman" w:hAnsi="Times New Roman"/>
                <w:color w:val="000000"/>
                <w:sz w:val="22"/>
                <w:szCs w:val="22"/>
                <w:lang w:val="bg-BG"/>
              </w:rPr>
              <w:t>.</w:t>
            </w:r>
          </w:p>
          <w:p w14:paraId="3E54FB8C" w14:textId="77777777" w:rsidR="008B42C7" w:rsidRPr="00FE6AC6" w:rsidRDefault="00461FF0" w:rsidP="0063575E">
            <w:pPr>
              <w:keepNext/>
              <w:keepLines/>
              <w:widowControl w:val="0"/>
              <w:tabs>
                <w:tab w:val="clear" w:pos="567"/>
                <w:tab w:val="left" w:pos="585"/>
              </w:tabs>
              <w:spacing w:line="240" w:lineRule="auto"/>
              <w:ind w:left="444" w:hanging="444"/>
              <w:rPr>
                <w:color w:val="000000"/>
                <w:lang w:val="bg-BG"/>
              </w:rPr>
            </w:pPr>
            <w:r w:rsidRPr="00FE6AC6">
              <w:rPr>
                <w:color w:val="000000"/>
                <w:szCs w:val="22"/>
                <w:lang w:val="bg-BG"/>
              </w:rPr>
              <w:t>2.</w:t>
            </w:r>
            <w:r w:rsidRPr="00FE6AC6">
              <w:rPr>
                <w:color w:val="000000"/>
                <w:szCs w:val="22"/>
                <w:lang w:val="bg-BG"/>
              </w:rPr>
              <w:tab/>
            </w:r>
            <w:r w:rsidR="00901A78" w:rsidRPr="00FE6AC6">
              <w:rPr>
                <w:color w:val="000000"/>
                <w:szCs w:val="22"/>
                <w:lang w:val="bg-BG"/>
              </w:rPr>
              <w:t>Възобновете лечението с</w:t>
            </w:r>
            <w:r w:rsidR="008B42C7" w:rsidRPr="00FE6AC6">
              <w:rPr>
                <w:color w:val="000000"/>
                <w:szCs w:val="22"/>
                <w:lang w:val="bg-BG"/>
              </w:rPr>
              <w:t xml:space="preserve"> </w:t>
            </w:r>
            <w:r w:rsidR="008B42C7" w:rsidRPr="00FE6AC6">
              <w:rPr>
                <w:color w:val="000000"/>
                <w:szCs w:val="22"/>
                <w:lang w:val="de-CH"/>
              </w:rPr>
              <w:t>Glivec</w:t>
            </w:r>
            <w:r w:rsidR="001F679F" w:rsidRPr="00FE6AC6">
              <w:rPr>
                <w:color w:val="000000"/>
                <w:szCs w:val="22"/>
                <w:lang w:val="bg-BG"/>
              </w:rPr>
              <w:t xml:space="preserve"> на</w:t>
            </w:r>
            <w:r w:rsidR="00901A78" w:rsidRPr="00FE6AC6">
              <w:rPr>
                <w:color w:val="000000"/>
                <w:szCs w:val="22"/>
                <w:lang w:val="bg-BG"/>
              </w:rPr>
              <w:t xml:space="preserve"> предишната доза</w:t>
            </w:r>
            <w:r w:rsidR="008B42C7" w:rsidRPr="00FE6AC6">
              <w:rPr>
                <w:color w:val="000000"/>
                <w:szCs w:val="22"/>
                <w:lang w:val="bg-BG"/>
              </w:rPr>
              <w:t xml:space="preserve"> (</w:t>
            </w:r>
            <w:r w:rsidR="00901A78" w:rsidRPr="00FE6AC6">
              <w:rPr>
                <w:color w:val="000000"/>
                <w:szCs w:val="22"/>
                <w:lang w:val="bg-BG"/>
              </w:rPr>
              <w:t>т.е.</w:t>
            </w:r>
            <w:r w:rsidR="008B42C7" w:rsidRPr="00FE6AC6">
              <w:rPr>
                <w:color w:val="000000"/>
                <w:szCs w:val="22"/>
                <w:lang w:val="bg-BG"/>
              </w:rPr>
              <w:t xml:space="preserve"> </w:t>
            </w:r>
            <w:r w:rsidR="00901A78" w:rsidRPr="00FE6AC6">
              <w:rPr>
                <w:color w:val="000000"/>
                <w:szCs w:val="22"/>
                <w:lang w:val="bg-BG"/>
              </w:rPr>
              <w:t>тази</w:t>
            </w:r>
            <w:r w:rsidR="001F679F" w:rsidRPr="00FE6AC6">
              <w:rPr>
                <w:color w:val="000000"/>
                <w:szCs w:val="22"/>
                <w:lang w:val="bg-BG"/>
              </w:rPr>
              <w:t>,</w:t>
            </w:r>
            <w:r w:rsidR="00901A78" w:rsidRPr="00FE6AC6">
              <w:rPr>
                <w:color w:val="000000"/>
                <w:szCs w:val="22"/>
                <w:lang w:val="bg-BG"/>
              </w:rPr>
              <w:t xml:space="preserve"> преди </w:t>
            </w:r>
            <w:r w:rsidR="001F679F" w:rsidRPr="00FE6AC6">
              <w:rPr>
                <w:color w:val="000000"/>
                <w:szCs w:val="22"/>
                <w:lang w:val="bg-BG"/>
              </w:rPr>
              <w:t>тежката</w:t>
            </w:r>
            <w:r w:rsidR="00901A78" w:rsidRPr="00FE6AC6">
              <w:rPr>
                <w:color w:val="000000"/>
                <w:szCs w:val="22"/>
                <w:lang w:val="bg-BG"/>
              </w:rPr>
              <w:t xml:space="preserve"> нежелана лекарствена реакция</w:t>
            </w:r>
            <w:r w:rsidR="008B42C7" w:rsidRPr="00FE6AC6">
              <w:rPr>
                <w:color w:val="000000"/>
                <w:szCs w:val="22"/>
                <w:lang w:val="bg-BG"/>
              </w:rPr>
              <w:t>).</w:t>
            </w:r>
          </w:p>
        </w:tc>
      </w:tr>
      <w:tr w:rsidR="008B42C7" w:rsidRPr="004015AA" w14:paraId="3E54FB95" w14:textId="77777777" w:rsidTr="00F40727">
        <w:trPr>
          <w:cantSplit/>
        </w:trPr>
        <w:tc>
          <w:tcPr>
            <w:tcW w:w="2059" w:type="dxa"/>
          </w:tcPr>
          <w:p w14:paraId="3E54FB8E" w14:textId="77777777" w:rsidR="008B42C7" w:rsidRPr="00FE6AC6" w:rsidRDefault="008B42C7" w:rsidP="0063575E">
            <w:pPr>
              <w:pStyle w:val="EndnoteText"/>
              <w:widowControl w:val="0"/>
              <w:tabs>
                <w:tab w:val="clear" w:pos="567"/>
              </w:tabs>
              <w:rPr>
                <w:color w:val="000000"/>
                <w:szCs w:val="22"/>
                <w:lang w:val="bg-BG"/>
              </w:rPr>
            </w:pPr>
            <w:r w:rsidRPr="00FE6AC6">
              <w:rPr>
                <w:color w:val="000000"/>
                <w:lang w:val="bg-BG"/>
              </w:rPr>
              <w:t>Хронична фаза на ХМЛ</w:t>
            </w:r>
            <w:r w:rsidRPr="00FE6AC6">
              <w:rPr>
                <w:color w:val="000000"/>
                <w:szCs w:val="22"/>
                <w:lang w:val="bg-BG"/>
              </w:rPr>
              <w:t xml:space="preserve">, </w:t>
            </w:r>
            <w:r w:rsidR="00CD7E65" w:rsidRPr="00FE6AC6">
              <w:rPr>
                <w:color w:val="000000"/>
                <w:szCs w:val="22"/>
                <w:lang w:val="bg-BG"/>
              </w:rPr>
              <w:t>МДС/МПЗ</w:t>
            </w:r>
            <w:r w:rsidRPr="00FE6AC6">
              <w:rPr>
                <w:color w:val="000000"/>
                <w:lang w:val="bg-BG"/>
              </w:rPr>
              <w:t xml:space="preserve"> и ГИСТ (начална доза</w:t>
            </w:r>
            <w:r w:rsidRPr="00FE6AC6">
              <w:rPr>
                <w:color w:val="000000"/>
                <w:lang w:val="en-US"/>
              </w:rPr>
              <w:t> </w:t>
            </w:r>
            <w:r w:rsidRPr="00FE6AC6">
              <w:rPr>
                <w:color w:val="000000"/>
                <w:lang w:val="bg-BG"/>
              </w:rPr>
              <w:t xml:space="preserve">400 mg) </w:t>
            </w:r>
            <w:r w:rsidR="000E16D3" w:rsidRPr="00FE6AC6">
              <w:rPr>
                <w:color w:val="000000"/>
                <w:szCs w:val="22"/>
                <w:lang w:val="bg-BG"/>
              </w:rPr>
              <w:t>ХЕС/ХЕЛ</w:t>
            </w:r>
          </w:p>
          <w:p w14:paraId="3E54FB8F" w14:textId="77777777" w:rsidR="008B42C7" w:rsidRPr="00FE6AC6" w:rsidRDefault="008B42C7" w:rsidP="0063575E">
            <w:pPr>
              <w:widowControl w:val="0"/>
              <w:spacing w:line="240" w:lineRule="auto"/>
              <w:rPr>
                <w:color w:val="000000"/>
                <w:lang w:val="bg-BG"/>
              </w:rPr>
            </w:pPr>
            <w:r w:rsidRPr="00FE6AC6">
              <w:rPr>
                <w:color w:val="000000"/>
                <w:szCs w:val="22"/>
              </w:rPr>
              <w:t>(</w:t>
            </w:r>
            <w:r w:rsidR="00557D48" w:rsidRPr="00FE6AC6">
              <w:rPr>
                <w:color w:val="000000"/>
                <w:szCs w:val="22"/>
                <w:lang w:val="bg-BG"/>
              </w:rPr>
              <w:t>в доза от</w:t>
            </w:r>
            <w:r w:rsidRPr="00FE6AC6">
              <w:rPr>
                <w:color w:val="000000"/>
                <w:szCs w:val="22"/>
              </w:rPr>
              <w:t xml:space="preserve"> 400 mg)</w:t>
            </w:r>
          </w:p>
        </w:tc>
        <w:tc>
          <w:tcPr>
            <w:tcW w:w="2459" w:type="dxa"/>
          </w:tcPr>
          <w:p w14:paraId="3E54FB90" w14:textId="77777777" w:rsidR="008B42C7" w:rsidRPr="00FE6AC6" w:rsidRDefault="008B42C7" w:rsidP="0063575E">
            <w:pPr>
              <w:widowControl w:val="0"/>
              <w:spacing w:line="240" w:lineRule="auto"/>
              <w:rPr>
                <w:color w:val="000000"/>
                <w:lang w:val="bg-BG"/>
              </w:rPr>
            </w:pPr>
            <w:r w:rsidRPr="00FE6AC6">
              <w:rPr>
                <w:color w:val="000000"/>
                <w:lang w:val="bg-BG"/>
              </w:rPr>
              <w:t>ANC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w:t>
            </w:r>
          </w:p>
          <w:p w14:paraId="3E54FB91" w14:textId="77777777" w:rsidR="008B42C7" w:rsidRPr="00FE6AC6" w:rsidRDefault="008B42C7" w:rsidP="0063575E">
            <w:pPr>
              <w:widowControl w:val="0"/>
              <w:spacing w:line="240" w:lineRule="auto"/>
              <w:rPr>
                <w:color w:val="000000"/>
                <w:lang w:val="bg-BG"/>
              </w:rPr>
            </w:pPr>
            <w:r w:rsidRPr="00FE6AC6">
              <w:rPr>
                <w:color w:val="000000"/>
                <w:lang w:val="bg-BG"/>
              </w:rPr>
              <w:t>тромбоцити &lt;50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tc>
        <w:tc>
          <w:tcPr>
            <w:tcW w:w="4804" w:type="dxa"/>
          </w:tcPr>
          <w:p w14:paraId="3E54FB92" w14:textId="77777777" w:rsidR="008B42C7" w:rsidRPr="00FE6AC6" w:rsidRDefault="00461FF0" w:rsidP="0063575E">
            <w:pPr>
              <w:widowControl w:val="0"/>
              <w:tabs>
                <w:tab w:val="clear" w:pos="567"/>
              </w:tabs>
              <w:spacing w:line="240" w:lineRule="auto"/>
              <w:ind w:left="444" w:hanging="444"/>
              <w:rPr>
                <w:color w:val="000000"/>
                <w:lang w:val="bg-BG"/>
              </w:rPr>
            </w:pPr>
            <w:r w:rsidRPr="00FE6AC6">
              <w:rPr>
                <w:color w:val="000000"/>
                <w:lang w:val="bg-BG"/>
              </w:rPr>
              <w:t>1.</w:t>
            </w:r>
            <w:r w:rsidRPr="00FE6AC6">
              <w:rPr>
                <w:color w:val="000000"/>
                <w:lang w:val="bg-BG"/>
              </w:rPr>
              <w:tab/>
            </w:r>
            <w:r w:rsidR="008B42C7" w:rsidRPr="00FE6AC6">
              <w:rPr>
                <w:color w:val="000000"/>
                <w:lang w:val="bg-BG"/>
              </w:rPr>
              <w:t>Прекратете приема на Glivec</w:t>
            </w:r>
            <w:r w:rsidR="001F679F" w:rsidRPr="00FE6AC6">
              <w:rPr>
                <w:color w:val="000000"/>
                <w:lang w:val="bg-BG"/>
              </w:rPr>
              <w:t>,</w:t>
            </w:r>
            <w:r w:rsidR="008B42C7" w:rsidRPr="00FE6AC6">
              <w:rPr>
                <w:color w:val="000000"/>
                <w:lang w:val="bg-BG"/>
              </w:rPr>
              <w:t xml:space="preserve"> до </w:t>
            </w:r>
            <w:r w:rsidR="001F679F" w:rsidRPr="00FE6AC6">
              <w:rPr>
                <w:color w:val="000000"/>
                <w:lang w:val="bg-BG"/>
              </w:rPr>
              <w:t xml:space="preserve">възстановяването на </w:t>
            </w:r>
            <w:r w:rsidR="008B42C7" w:rsidRPr="00FE6AC6">
              <w:rPr>
                <w:color w:val="000000"/>
                <w:lang w:val="bg-BG"/>
              </w:rPr>
              <w:t>ANC ≥1,5 x</w:t>
            </w:r>
            <w:r w:rsidR="008B42C7" w:rsidRPr="00FE6AC6">
              <w:rPr>
                <w:color w:val="000000"/>
                <w:lang w:val="de-CH"/>
              </w:rPr>
              <w:t> </w:t>
            </w:r>
            <w:r w:rsidR="008B42C7" w:rsidRPr="00FE6AC6">
              <w:rPr>
                <w:color w:val="000000"/>
                <w:lang w:val="bg-BG"/>
              </w:rPr>
              <w:t>10</w:t>
            </w:r>
            <w:r w:rsidR="008B42C7" w:rsidRPr="00FE6AC6">
              <w:rPr>
                <w:color w:val="000000"/>
                <w:vertAlign w:val="superscript"/>
                <w:lang w:val="bg-BG"/>
              </w:rPr>
              <w:t>9</w:t>
            </w:r>
            <w:r w:rsidR="008B42C7" w:rsidRPr="00FE6AC6">
              <w:rPr>
                <w:color w:val="000000"/>
                <w:lang w:val="bg-BG"/>
              </w:rPr>
              <w:t>/l и тромбоцитите ≥</w:t>
            </w:r>
            <w:r w:rsidR="008B42C7" w:rsidRPr="00FE6AC6">
              <w:rPr>
                <w:color w:val="000000"/>
                <w:lang w:val="ru-RU"/>
              </w:rPr>
              <w:t>75</w:t>
            </w:r>
            <w:r w:rsidR="008B42C7" w:rsidRPr="00FE6AC6">
              <w:rPr>
                <w:color w:val="000000"/>
                <w:lang w:val="de-CH"/>
              </w:rPr>
              <w:t> </w:t>
            </w:r>
            <w:r w:rsidR="008B42C7" w:rsidRPr="00FE6AC6">
              <w:rPr>
                <w:color w:val="000000"/>
                <w:lang w:val="bg-BG"/>
              </w:rPr>
              <w:t>x</w:t>
            </w:r>
            <w:r w:rsidR="008B42C7" w:rsidRPr="00FE6AC6">
              <w:rPr>
                <w:color w:val="000000"/>
                <w:lang w:val="de-CH"/>
              </w:rPr>
              <w:t> </w:t>
            </w:r>
            <w:r w:rsidR="008B42C7" w:rsidRPr="00FE6AC6">
              <w:rPr>
                <w:color w:val="000000"/>
                <w:lang w:val="bg-BG"/>
              </w:rPr>
              <w:t>10</w:t>
            </w:r>
            <w:r w:rsidR="008B42C7" w:rsidRPr="00FE6AC6">
              <w:rPr>
                <w:color w:val="000000"/>
                <w:vertAlign w:val="superscript"/>
                <w:lang w:val="bg-BG"/>
              </w:rPr>
              <w:t>9</w:t>
            </w:r>
            <w:r w:rsidR="008B42C7" w:rsidRPr="00FE6AC6">
              <w:rPr>
                <w:color w:val="000000"/>
                <w:lang w:val="bg-BG"/>
              </w:rPr>
              <w:t>/l.</w:t>
            </w:r>
          </w:p>
          <w:p w14:paraId="3E54FB93" w14:textId="77777777" w:rsidR="008B42C7" w:rsidRPr="00FE6AC6" w:rsidRDefault="00461FF0" w:rsidP="0063575E">
            <w:pPr>
              <w:widowControl w:val="0"/>
              <w:tabs>
                <w:tab w:val="clear" w:pos="567"/>
              </w:tabs>
              <w:spacing w:line="240" w:lineRule="auto"/>
              <w:ind w:left="444" w:hanging="444"/>
              <w:rPr>
                <w:color w:val="000000"/>
                <w:lang w:val="bg-BG"/>
              </w:rPr>
            </w:pPr>
            <w:r w:rsidRPr="00FE6AC6">
              <w:rPr>
                <w:color w:val="000000"/>
                <w:lang w:val="bg-BG"/>
              </w:rPr>
              <w:t>2.</w:t>
            </w:r>
            <w:r w:rsidRPr="00FE6AC6">
              <w:rPr>
                <w:color w:val="000000"/>
                <w:lang w:val="bg-BG"/>
              </w:rPr>
              <w:tab/>
            </w:r>
            <w:r w:rsidR="008B42C7" w:rsidRPr="00FE6AC6">
              <w:rPr>
                <w:color w:val="000000"/>
                <w:lang w:val="bg-BG"/>
              </w:rPr>
              <w:t xml:space="preserve">Възобновете лечението с Glivec </w:t>
            </w:r>
            <w:r w:rsidR="001F679F" w:rsidRPr="00FE6AC6">
              <w:rPr>
                <w:color w:val="000000"/>
                <w:lang w:val="bg-BG"/>
              </w:rPr>
              <w:t>на</w:t>
            </w:r>
            <w:r w:rsidR="008B42C7" w:rsidRPr="00FE6AC6">
              <w:rPr>
                <w:color w:val="000000"/>
                <w:lang w:val="bg-BG"/>
              </w:rPr>
              <w:t xml:space="preserve"> предишната доза (т.е. преди тежката нежелана реакция).</w:t>
            </w:r>
          </w:p>
          <w:p w14:paraId="3E54FB94" w14:textId="77777777" w:rsidR="008B42C7" w:rsidRPr="00FE6AC6" w:rsidRDefault="00461FF0" w:rsidP="0063575E">
            <w:pPr>
              <w:widowControl w:val="0"/>
              <w:tabs>
                <w:tab w:val="clear" w:pos="567"/>
              </w:tabs>
              <w:spacing w:line="240" w:lineRule="auto"/>
              <w:ind w:left="444" w:hanging="444"/>
              <w:rPr>
                <w:color w:val="000000"/>
                <w:lang w:val="bg-BG"/>
              </w:rPr>
            </w:pPr>
            <w:r w:rsidRPr="00FE6AC6">
              <w:rPr>
                <w:color w:val="000000"/>
                <w:lang w:val="bg-BG"/>
              </w:rPr>
              <w:t>3.</w:t>
            </w:r>
            <w:r w:rsidRPr="00FE6AC6">
              <w:rPr>
                <w:color w:val="000000"/>
                <w:lang w:val="bg-BG"/>
              </w:rPr>
              <w:tab/>
            </w:r>
            <w:r w:rsidR="008B42C7" w:rsidRPr="00FE6AC6">
              <w:rPr>
                <w:color w:val="000000"/>
                <w:lang w:val="bg-BG"/>
              </w:rPr>
              <w:t>В случай на повторно понижение на ANC &lt;1,0 x</w:t>
            </w:r>
            <w:r w:rsidR="008B42C7" w:rsidRPr="00FE6AC6">
              <w:rPr>
                <w:color w:val="000000"/>
                <w:lang w:val="de-CH"/>
              </w:rPr>
              <w:t> </w:t>
            </w:r>
            <w:r w:rsidR="008B42C7" w:rsidRPr="00FE6AC6">
              <w:rPr>
                <w:color w:val="000000"/>
                <w:lang w:val="bg-BG"/>
              </w:rPr>
              <w:t>10</w:t>
            </w:r>
            <w:r w:rsidR="008B42C7" w:rsidRPr="00FE6AC6">
              <w:rPr>
                <w:color w:val="000000"/>
                <w:vertAlign w:val="superscript"/>
                <w:lang w:val="bg-BG"/>
              </w:rPr>
              <w:t>9</w:t>
            </w:r>
            <w:r w:rsidR="008B42C7" w:rsidRPr="00FE6AC6">
              <w:rPr>
                <w:color w:val="000000"/>
                <w:lang w:val="bg-BG"/>
              </w:rPr>
              <w:t>/l и/или тромбоцити &lt;50 x</w:t>
            </w:r>
            <w:r w:rsidR="008B42C7" w:rsidRPr="00FE6AC6">
              <w:rPr>
                <w:color w:val="000000"/>
                <w:lang w:val="de-CH"/>
              </w:rPr>
              <w:t> </w:t>
            </w:r>
            <w:r w:rsidR="008B42C7" w:rsidRPr="00FE6AC6">
              <w:rPr>
                <w:color w:val="000000"/>
                <w:lang w:val="bg-BG"/>
              </w:rPr>
              <w:t>10</w:t>
            </w:r>
            <w:r w:rsidR="008B42C7" w:rsidRPr="00FE6AC6">
              <w:rPr>
                <w:color w:val="000000"/>
                <w:vertAlign w:val="superscript"/>
                <w:lang w:val="bg-BG"/>
              </w:rPr>
              <w:t>9</w:t>
            </w:r>
            <w:r w:rsidR="008B42C7" w:rsidRPr="00FE6AC6">
              <w:rPr>
                <w:color w:val="000000"/>
                <w:lang w:val="bg-BG"/>
              </w:rPr>
              <w:t>/l, повторете стъпка</w:t>
            </w:r>
            <w:r w:rsidR="008B42C7" w:rsidRPr="00FE6AC6">
              <w:rPr>
                <w:color w:val="000000"/>
                <w:lang w:val="de-CH"/>
              </w:rPr>
              <w:t> </w:t>
            </w:r>
            <w:r w:rsidR="008B42C7" w:rsidRPr="00FE6AC6">
              <w:rPr>
                <w:color w:val="000000"/>
                <w:lang w:val="bg-BG"/>
              </w:rPr>
              <w:t>1 и възобновете лечението с Glivec с намалена доза от</w:t>
            </w:r>
            <w:r w:rsidR="008B42C7" w:rsidRPr="00FE6AC6">
              <w:rPr>
                <w:color w:val="000000"/>
                <w:lang w:val="de-CH"/>
              </w:rPr>
              <w:t> </w:t>
            </w:r>
            <w:r w:rsidR="008B42C7" w:rsidRPr="00FE6AC6">
              <w:rPr>
                <w:color w:val="000000"/>
                <w:lang w:val="bg-BG"/>
              </w:rPr>
              <w:t>300 mg.</w:t>
            </w:r>
          </w:p>
        </w:tc>
      </w:tr>
      <w:tr w:rsidR="008B42C7" w:rsidRPr="004015AA" w14:paraId="3E54FB9B" w14:textId="77777777" w:rsidTr="00F40727">
        <w:trPr>
          <w:cantSplit/>
        </w:trPr>
        <w:tc>
          <w:tcPr>
            <w:tcW w:w="2059" w:type="dxa"/>
          </w:tcPr>
          <w:p w14:paraId="3E54FB96" w14:textId="77777777" w:rsidR="008B42C7" w:rsidRPr="00FE6AC6" w:rsidRDefault="008B42C7" w:rsidP="0063575E">
            <w:pPr>
              <w:widowControl w:val="0"/>
              <w:spacing w:line="240" w:lineRule="auto"/>
              <w:rPr>
                <w:color w:val="000000"/>
                <w:lang w:val="ru-RU"/>
              </w:rPr>
            </w:pPr>
            <w:r w:rsidRPr="00FE6AC6">
              <w:rPr>
                <w:color w:val="000000"/>
                <w:lang w:val="bg-BG"/>
              </w:rPr>
              <w:lastRenderedPageBreak/>
              <w:t>Хронична фаза на ХМЛ в детска възраст (в доза от 340 </w:t>
            </w:r>
            <w:r w:rsidRPr="00FE6AC6">
              <w:rPr>
                <w:color w:val="000000"/>
                <w:lang w:val="en-US"/>
              </w:rPr>
              <w:t>mg</w:t>
            </w:r>
            <w:r w:rsidRPr="00FE6AC6">
              <w:rPr>
                <w:color w:val="000000"/>
                <w:lang w:val="ru-RU"/>
              </w:rPr>
              <w:t>/</w:t>
            </w:r>
            <w:r w:rsidRPr="00FE6AC6">
              <w:rPr>
                <w:color w:val="000000"/>
                <w:lang w:val="en-US"/>
              </w:rPr>
              <w:t>m</w:t>
            </w:r>
            <w:r w:rsidRPr="00FE6AC6">
              <w:rPr>
                <w:color w:val="000000"/>
                <w:vertAlign w:val="superscript"/>
                <w:lang w:val="ru-RU"/>
              </w:rPr>
              <w:t>2</w:t>
            </w:r>
            <w:r w:rsidRPr="00FE6AC6">
              <w:rPr>
                <w:color w:val="000000"/>
                <w:lang w:val="ru-RU"/>
              </w:rPr>
              <w:t>)</w:t>
            </w:r>
          </w:p>
        </w:tc>
        <w:tc>
          <w:tcPr>
            <w:tcW w:w="2459" w:type="dxa"/>
          </w:tcPr>
          <w:p w14:paraId="3E54FB97" w14:textId="77777777" w:rsidR="008B42C7" w:rsidRPr="00FE6AC6" w:rsidRDefault="008B42C7" w:rsidP="0063575E">
            <w:pPr>
              <w:widowControl w:val="0"/>
              <w:spacing w:line="240" w:lineRule="auto"/>
              <w:rPr>
                <w:color w:val="000000"/>
                <w:lang w:val="bg-BG"/>
              </w:rPr>
            </w:pPr>
            <w:r w:rsidRPr="00FE6AC6">
              <w:rPr>
                <w:color w:val="000000"/>
                <w:lang w:val="en-US"/>
              </w:rPr>
              <w:t>ANC</w:t>
            </w:r>
            <w:r w:rsidRPr="00FE6AC6">
              <w:rPr>
                <w:color w:val="000000"/>
                <w:lang w:val="bg-BG"/>
              </w:rPr>
              <w:t xml:space="preserve"> &lt;1,0 х 10</w:t>
            </w:r>
            <w:r w:rsidRPr="00FE6AC6">
              <w:rPr>
                <w:color w:val="000000"/>
                <w:vertAlign w:val="superscript"/>
                <w:lang w:val="bg-BG"/>
              </w:rPr>
              <w:t>9</w:t>
            </w:r>
            <w:r w:rsidRPr="00FE6AC6">
              <w:rPr>
                <w:color w:val="000000"/>
                <w:lang w:val="bg-BG"/>
              </w:rPr>
              <w:t>/</w:t>
            </w:r>
            <w:r w:rsidRPr="00FE6AC6">
              <w:rPr>
                <w:color w:val="000000"/>
                <w:lang w:val="en-US"/>
              </w:rPr>
              <w:t>l</w:t>
            </w:r>
            <w:r w:rsidRPr="00FE6AC6">
              <w:rPr>
                <w:color w:val="000000"/>
                <w:lang w:val="ru-RU"/>
              </w:rPr>
              <w:t xml:space="preserve"> </w:t>
            </w:r>
            <w:r w:rsidRPr="00FE6AC6">
              <w:rPr>
                <w:color w:val="000000"/>
                <w:lang w:val="bg-BG"/>
              </w:rPr>
              <w:t>и/или тромбоцити &lt; 50 х</w:t>
            </w:r>
            <w:r w:rsidRPr="00FE6AC6">
              <w:rPr>
                <w:color w:val="000000"/>
                <w:lang w:val="en-US"/>
              </w:rPr>
              <w:t> </w:t>
            </w:r>
            <w:r w:rsidRPr="00FE6AC6">
              <w:rPr>
                <w:color w:val="000000"/>
                <w:lang w:val="ru-RU"/>
              </w:rPr>
              <w:t>10</w:t>
            </w:r>
            <w:r w:rsidRPr="00FE6AC6">
              <w:rPr>
                <w:color w:val="000000"/>
                <w:vertAlign w:val="superscript"/>
                <w:lang w:val="ru-RU"/>
              </w:rPr>
              <w:t>9</w:t>
            </w:r>
            <w:r w:rsidRPr="00FE6AC6">
              <w:rPr>
                <w:color w:val="000000"/>
                <w:lang w:val="ru-RU"/>
              </w:rPr>
              <w:t>/</w:t>
            </w:r>
            <w:r w:rsidRPr="00FE6AC6">
              <w:rPr>
                <w:color w:val="000000"/>
                <w:lang w:val="en-US"/>
              </w:rPr>
              <w:t>l</w:t>
            </w:r>
          </w:p>
        </w:tc>
        <w:tc>
          <w:tcPr>
            <w:tcW w:w="4804" w:type="dxa"/>
          </w:tcPr>
          <w:p w14:paraId="3E54FB98" w14:textId="77777777" w:rsidR="008B42C7" w:rsidRPr="00FE6AC6" w:rsidRDefault="00461FF0" w:rsidP="0063575E">
            <w:pPr>
              <w:widowControl w:val="0"/>
              <w:tabs>
                <w:tab w:val="clear" w:pos="567"/>
              </w:tabs>
              <w:spacing w:line="240" w:lineRule="auto"/>
              <w:ind w:left="444" w:hanging="444"/>
              <w:rPr>
                <w:color w:val="000000"/>
                <w:lang w:val="bg-BG"/>
              </w:rPr>
            </w:pPr>
            <w:r w:rsidRPr="00FE6AC6">
              <w:rPr>
                <w:color w:val="000000"/>
                <w:lang w:val="bg-BG"/>
              </w:rPr>
              <w:t>1.</w:t>
            </w:r>
            <w:r w:rsidRPr="00FE6AC6">
              <w:rPr>
                <w:color w:val="000000"/>
                <w:lang w:val="bg-BG"/>
              </w:rPr>
              <w:tab/>
            </w:r>
            <w:r w:rsidR="008B42C7" w:rsidRPr="00FE6AC6">
              <w:rPr>
                <w:color w:val="000000"/>
                <w:lang w:val="bg-BG"/>
              </w:rPr>
              <w:t xml:space="preserve">Прекратете приема на </w:t>
            </w:r>
            <w:r w:rsidR="008B42C7" w:rsidRPr="00FE6AC6">
              <w:rPr>
                <w:color w:val="000000"/>
                <w:lang w:val="de-CH"/>
              </w:rPr>
              <w:t>Glivec</w:t>
            </w:r>
            <w:r w:rsidR="00101306" w:rsidRPr="00FE6AC6">
              <w:rPr>
                <w:color w:val="000000"/>
                <w:lang w:val="bg-BG"/>
              </w:rPr>
              <w:t>,</w:t>
            </w:r>
            <w:r w:rsidR="008B42C7" w:rsidRPr="00FE6AC6">
              <w:rPr>
                <w:color w:val="000000"/>
                <w:lang w:val="bg-BG"/>
              </w:rPr>
              <w:t xml:space="preserve"> </w:t>
            </w:r>
            <w:r w:rsidR="001F679F" w:rsidRPr="00FE6AC6">
              <w:rPr>
                <w:color w:val="000000"/>
                <w:lang w:val="bg-BG"/>
              </w:rPr>
              <w:t>до възстановяването на</w:t>
            </w:r>
            <w:r w:rsidR="008B42C7" w:rsidRPr="00FE6AC6">
              <w:rPr>
                <w:color w:val="000000"/>
                <w:lang w:val="bg-BG"/>
              </w:rPr>
              <w:t xml:space="preserve"> </w:t>
            </w:r>
            <w:r w:rsidR="008B42C7" w:rsidRPr="00FE6AC6">
              <w:rPr>
                <w:color w:val="000000"/>
                <w:lang w:val="de-CH"/>
              </w:rPr>
              <w:t>ANC </w:t>
            </w:r>
            <w:r w:rsidR="008B42C7" w:rsidRPr="00FE6AC6">
              <w:rPr>
                <w:color w:val="000000"/>
              </w:rPr>
              <w:sym w:font="Symbol" w:char="F0B3"/>
            </w:r>
            <w:r w:rsidR="008B42C7" w:rsidRPr="00FE6AC6">
              <w:rPr>
                <w:color w:val="000000"/>
                <w:lang w:val="de-CH"/>
              </w:rPr>
              <w:t> </w:t>
            </w:r>
            <w:r w:rsidR="008B42C7" w:rsidRPr="00FE6AC6">
              <w:rPr>
                <w:color w:val="000000"/>
                <w:lang w:val="bg-BG"/>
              </w:rPr>
              <w:t>1</w:t>
            </w:r>
            <w:r w:rsidR="008B42C7" w:rsidRPr="00FE6AC6">
              <w:rPr>
                <w:color w:val="000000"/>
                <w:lang w:val="ru-RU"/>
              </w:rPr>
              <w:t>,5 </w:t>
            </w:r>
            <w:r w:rsidR="008B42C7" w:rsidRPr="00FE6AC6">
              <w:rPr>
                <w:color w:val="000000"/>
                <w:lang w:val="bg-BG"/>
              </w:rPr>
              <w:t>х 10</w:t>
            </w:r>
            <w:r w:rsidR="008B42C7" w:rsidRPr="00FE6AC6">
              <w:rPr>
                <w:color w:val="000000"/>
                <w:vertAlign w:val="superscript"/>
                <w:lang w:val="bg-BG"/>
              </w:rPr>
              <w:t>9</w:t>
            </w:r>
            <w:r w:rsidR="008B42C7" w:rsidRPr="00FE6AC6">
              <w:rPr>
                <w:color w:val="000000"/>
                <w:lang w:val="bg-BG"/>
              </w:rPr>
              <w:t>/</w:t>
            </w:r>
            <w:r w:rsidR="008B42C7" w:rsidRPr="00FE6AC6">
              <w:rPr>
                <w:color w:val="000000"/>
                <w:lang w:val="de-CH"/>
              </w:rPr>
              <w:t>l</w:t>
            </w:r>
            <w:r w:rsidR="008B42C7" w:rsidRPr="00FE6AC6">
              <w:rPr>
                <w:color w:val="000000"/>
                <w:lang w:val="ru-RU"/>
              </w:rPr>
              <w:t xml:space="preserve"> и тромбоцити</w:t>
            </w:r>
            <w:r w:rsidR="001F679F" w:rsidRPr="00FE6AC6">
              <w:rPr>
                <w:color w:val="000000"/>
                <w:lang w:val="ru-RU"/>
              </w:rPr>
              <w:t>те</w:t>
            </w:r>
            <w:r w:rsidR="008B42C7" w:rsidRPr="00FE6AC6">
              <w:rPr>
                <w:color w:val="000000"/>
                <w:lang w:val="ru-RU"/>
              </w:rPr>
              <w:t> </w:t>
            </w:r>
            <w:r w:rsidR="008B42C7" w:rsidRPr="00FE6AC6">
              <w:rPr>
                <w:color w:val="000000"/>
              </w:rPr>
              <w:sym w:font="Symbol" w:char="F0B3"/>
            </w:r>
            <w:r w:rsidR="008B42C7" w:rsidRPr="00FE6AC6">
              <w:rPr>
                <w:color w:val="000000"/>
                <w:lang w:val="bg-BG"/>
              </w:rPr>
              <w:t> 75 х 10</w:t>
            </w:r>
            <w:r w:rsidR="008B42C7" w:rsidRPr="00FE6AC6">
              <w:rPr>
                <w:color w:val="000000"/>
                <w:vertAlign w:val="superscript"/>
                <w:lang w:val="bg-BG"/>
              </w:rPr>
              <w:t>9</w:t>
            </w:r>
            <w:r w:rsidR="008B42C7" w:rsidRPr="00FE6AC6">
              <w:rPr>
                <w:color w:val="000000"/>
                <w:lang w:val="bg-BG"/>
              </w:rPr>
              <w:t>/</w:t>
            </w:r>
            <w:r w:rsidR="008B42C7" w:rsidRPr="00FE6AC6">
              <w:rPr>
                <w:color w:val="000000"/>
                <w:lang w:val="de-CH"/>
              </w:rPr>
              <w:t>l</w:t>
            </w:r>
            <w:r w:rsidR="008B42C7" w:rsidRPr="00FE6AC6">
              <w:rPr>
                <w:color w:val="000000"/>
                <w:lang w:val="ru-RU"/>
              </w:rPr>
              <w:t>.</w:t>
            </w:r>
          </w:p>
          <w:p w14:paraId="3E54FB99" w14:textId="77777777" w:rsidR="008B42C7" w:rsidRPr="00FE6AC6" w:rsidRDefault="00461FF0" w:rsidP="0063575E">
            <w:pPr>
              <w:widowControl w:val="0"/>
              <w:tabs>
                <w:tab w:val="clear" w:pos="567"/>
              </w:tabs>
              <w:spacing w:line="240" w:lineRule="auto"/>
              <w:ind w:left="444" w:hanging="444"/>
              <w:rPr>
                <w:color w:val="000000"/>
                <w:lang w:val="bg-BG"/>
              </w:rPr>
            </w:pPr>
            <w:r w:rsidRPr="00FE6AC6">
              <w:rPr>
                <w:color w:val="000000"/>
                <w:lang w:val="bg-BG"/>
              </w:rPr>
              <w:t>2.</w:t>
            </w:r>
            <w:r w:rsidRPr="00FE6AC6">
              <w:rPr>
                <w:color w:val="000000"/>
                <w:lang w:val="bg-BG"/>
              </w:rPr>
              <w:tab/>
            </w:r>
            <w:r w:rsidR="008B42C7" w:rsidRPr="00FE6AC6">
              <w:rPr>
                <w:color w:val="000000"/>
                <w:lang w:val="ru-RU"/>
              </w:rPr>
              <w:t>Възобновете</w:t>
            </w:r>
            <w:r w:rsidR="008B42C7" w:rsidRPr="00FE6AC6">
              <w:rPr>
                <w:color w:val="000000"/>
                <w:lang w:val="bg-BG"/>
              </w:rPr>
              <w:t xml:space="preserve"> лечението с </w:t>
            </w:r>
            <w:r w:rsidR="008B42C7" w:rsidRPr="00FE6AC6">
              <w:rPr>
                <w:color w:val="000000"/>
                <w:lang w:val="de-CH"/>
              </w:rPr>
              <w:t>Glivec</w:t>
            </w:r>
            <w:r w:rsidR="008B42C7" w:rsidRPr="00FE6AC6">
              <w:rPr>
                <w:color w:val="000000"/>
                <w:lang w:val="bg-BG"/>
              </w:rPr>
              <w:t xml:space="preserve"> </w:t>
            </w:r>
            <w:r w:rsidR="001F679F" w:rsidRPr="00FE6AC6">
              <w:rPr>
                <w:color w:val="000000"/>
                <w:lang w:val="bg-BG"/>
              </w:rPr>
              <w:t>на</w:t>
            </w:r>
            <w:r w:rsidR="008B42C7" w:rsidRPr="00FE6AC6">
              <w:rPr>
                <w:color w:val="000000"/>
                <w:lang w:val="bg-BG"/>
              </w:rPr>
              <w:t xml:space="preserve"> предишната доза (т.е. преди тежката нежелана реакция).</w:t>
            </w:r>
          </w:p>
          <w:p w14:paraId="3E54FB9A" w14:textId="77777777" w:rsidR="008B42C7" w:rsidRPr="00FE6AC6" w:rsidRDefault="00461FF0" w:rsidP="0063575E">
            <w:pPr>
              <w:widowControl w:val="0"/>
              <w:tabs>
                <w:tab w:val="clear" w:pos="567"/>
              </w:tabs>
              <w:spacing w:line="240" w:lineRule="auto"/>
              <w:ind w:left="444" w:hanging="444"/>
              <w:rPr>
                <w:color w:val="000000"/>
                <w:lang w:val="bg-BG"/>
              </w:rPr>
            </w:pPr>
            <w:r w:rsidRPr="00FE6AC6">
              <w:rPr>
                <w:color w:val="000000"/>
                <w:lang w:val="bg-BG"/>
              </w:rPr>
              <w:t>3.</w:t>
            </w:r>
            <w:r w:rsidRPr="00FE6AC6">
              <w:rPr>
                <w:color w:val="000000"/>
                <w:lang w:val="bg-BG"/>
              </w:rPr>
              <w:tab/>
            </w:r>
            <w:r w:rsidR="008B42C7" w:rsidRPr="00FE6AC6">
              <w:rPr>
                <w:color w:val="000000"/>
                <w:lang w:val="bg-BG"/>
              </w:rPr>
              <w:t>В случай на повторно понижение на ANC &lt;1,0 x</w:t>
            </w:r>
            <w:r w:rsidR="008B42C7" w:rsidRPr="00FE6AC6">
              <w:rPr>
                <w:color w:val="000000"/>
                <w:lang w:val="de-CH"/>
              </w:rPr>
              <w:t> </w:t>
            </w:r>
            <w:r w:rsidR="008B42C7" w:rsidRPr="00FE6AC6">
              <w:rPr>
                <w:color w:val="000000"/>
                <w:lang w:val="bg-BG"/>
              </w:rPr>
              <w:t>10</w:t>
            </w:r>
            <w:r w:rsidR="008B42C7" w:rsidRPr="00FE6AC6">
              <w:rPr>
                <w:color w:val="000000"/>
                <w:vertAlign w:val="superscript"/>
                <w:lang w:val="bg-BG"/>
              </w:rPr>
              <w:t>9</w:t>
            </w:r>
            <w:r w:rsidR="008B42C7" w:rsidRPr="00FE6AC6">
              <w:rPr>
                <w:color w:val="000000"/>
                <w:lang w:val="bg-BG"/>
              </w:rPr>
              <w:t>/l и/или тромбоцити &lt;50 x</w:t>
            </w:r>
            <w:r w:rsidR="008B42C7" w:rsidRPr="00FE6AC6">
              <w:rPr>
                <w:color w:val="000000"/>
                <w:lang w:val="de-CH"/>
              </w:rPr>
              <w:t> </w:t>
            </w:r>
            <w:r w:rsidR="008B42C7" w:rsidRPr="00FE6AC6">
              <w:rPr>
                <w:color w:val="000000"/>
                <w:lang w:val="bg-BG"/>
              </w:rPr>
              <w:t>10</w:t>
            </w:r>
            <w:r w:rsidR="008B42C7" w:rsidRPr="00FE6AC6">
              <w:rPr>
                <w:color w:val="000000"/>
                <w:vertAlign w:val="superscript"/>
                <w:lang w:val="bg-BG"/>
              </w:rPr>
              <w:t>9</w:t>
            </w:r>
            <w:r w:rsidR="008B42C7" w:rsidRPr="00FE6AC6">
              <w:rPr>
                <w:color w:val="000000"/>
                <w:lang w:val="bg-BG"/>
              </w:rPr>
              <w:t>/l, повторете стъпка</w:t>
            </w:r>
            <w:r w:rsidR="008B42C7" w:rsidRPr="00FE6AC6">
              <w:rPr>
                <w:color w:val="000000"/>
                <w:lang w:val="de-CH"/>
              </w:rPr>
              <w:t> </w:t>
            </w:r>
            <w:r w:rsidR="008B42C7" w:rsidRPr="00FE6AC6">
              <w:rPr>
                <w:color w:val="000000"/>
                <w:lang w:val="bg-BG"/>
              </w:rPr>
              <w:t>1 и възобновете лечението с Glivec с намалена доза от</w:t>
            </w:r>
            <w:r w:rsidR="008B42C7" w:rsidRPr="00FE6AC6">
              <w:rPr>
                <w:color w:val="000000"/>
                <w:lang w:val="de-CH"/>
              </w:rPr>
              <w:t> </w:t>
            </w:r>
            <w:r w:rsidR="008B42C7" w:rsidRPr="00FE6AC6">
              <w:rPr>
                <w:color w:val="000000"/>
                <w:lang w:val="bg-BG"/>
              </w:rPr>
              <w:t>260 mg/</w:t>
            </w:r>
            <w:r w:rsidR="008B42C7" w:rsidRPr="00FE6AC6">
              <w:rPr>
                <w:color w:val="000000"/>
                <w:lang w:val="de-CH"/>
              </w:rPr>
              <w:t>m</w:t>
            </w:r>
            <w:r w:rsidR="008B42C7" w:rsidRPr="00FE6AC6">
              <w:rPr>
                <w:color w:val="000000"/>
                <w:vertAlign w:val="superscript"/>
                <w:lang w:val="bg-BG"/>
              </w:rPr>
              <w:t>2</w:t>
            </w:r>
            <w:r w:rsidR="008B42C7" w:rsidRPr="00FE6AC6">
              <w:rPr>
                <w:color w:val="000000"/>
                <w:lang w:val="bg-BG"/>
              </w:rPr>
              <w:t>.</w:t>
            </w:r>
          </w:p>
        </w:tc>
      </w:tr>
      <w:tr w:rsidR="008B42C7" w:rsidRPr="004015AA" w14:paraId="3E54FBA3" w14:textId="77777777" w:rsidTr="00F40727">
        <w:trPr>
          <w:cantSplit/>
        </w:trPr>
        <w:tc>
          <w:tcPr>
            <w:tcW w:w="2059" w:type="dxa"/>
          </w:tcPr>
          <w:p w14:paraId="3E54FB9C" w14:textId="77777777" w:rsidR="008B42C7" w:rsidRPr="00FE6AC6" w:rsidRDefault="008B42C7" w:rsidP="0063575E">
            <w:pPr>
              <w:widowControl w:val="0"/>
              <w:spacing w:line="240" w:lineRule="auto"/>
              <w:rPr>
                <w:color w:val="000000"/>
                <w:lang w:val="bg-BG"/>
              </w:rPr>
            </w:pPr>
            <w:r w:rsidRPr="00FE6AC6">
              <w:rPr>
                <w:color w:val="000000"/>
                <w:lang w:val="bg-BG"/>
              </w:rPr>
              <w:t>Фаза на акц</w:t>
            </w:r>
            <w:r w:rsidR="001F679F" w:rsidRPr="00FE6AC6">
              <w:rPr>
                <w:color w:val="000000"/>
                <w:lang w:val="bg-BG"/>
              </w:rPr>
              <w:t>елерация на ХМЛ и бластна криза</w:t>
            </w:r>
            <w:r w:rsidRPr="00FE6AC6">
              <w:rPr>
                <w:color w:val="000000"/>
                <w:lang w:val="bg-BG"/>
              </w:rPr>
              <w:t xml:space="preserve"> и </w:t>
            </w:r>
            <w:r w:rsidRPr="00FE6AC6">
              <w:rPr>
                <w:color w:val="000000"/>
                <w:lang w:val="en-US"/>
              </w:rPr>
              <w:t>Ph</w:t>
            </w:r>
            <w:r w:rsidRPr="00FE6AC6">
              <w:rPr>
                <w:color w:val="000000"/>
                <w:lang w:val="ru-RU"/>
              </w:rPr>
              <w:t>+ОЛЛ</w:t>
            </w:r>
            <w:r w:rsidRPr="00FE6AC6">
              <w:rPr>
                <w:color w:val="000000"/>
                <w:lang w:val="bg-BG"/>
              </w:rPr>
              <w:t xml:space="preserve"> (начална доза</w:t>
            </w:r>
            <w:r w:rsidRPr="00FE6AC6">
              <w:rPr>
                <w:color w:val="000000"/>
                <w:lang w:val="en-US"/>
              </w:rPr>
              <w:t> </w:t>
            </w:r>
            <w:r w:rsidRPr="00FE6AC6">
              <w:rPr>
                <w:color w:val="000000"/>
                <w:lang w:val="bg-BG"/>
              </w:rPr>
              <w:t>600 mg)</w:t>
            </w:r>
          </w:p>
        </w:tc>
        <w:tc>
          <w:tcPr>
            <w:tcW w:w="2459" w:type="dxa"/>
          </w:tcPr>
          <w:p w14:paraId="3E54FB9D" w14:textId="77777777" w:rsidR="008B42C7" w:rsidRPr="00FE6AC6" w:rsidRDefault="008B42C7" w:rsidP="0063575E">
            <w:pPr>
              <w:widowControl w:val="0"/>
              <w:spacing w:line="240" w:lineRule="auto"/>
              <w:rPr>
                <w:color w:val="000000"/>
                <w:lang w:val="bg-BG"/>
              </w:rPr>
            </w:pPr>
            <w:r w:rsidRPr="00FE6AC6">
              <w:rPr>
                <w:color w:val="000000"/>
                <w:vertAlign w:val="superscript"/>
                <w:lang w:val="bg-BG"/>
              </w:rPr>
              <w:t>а</w:t>
            </w:r>
            <w:r w:rsidRPr="00FE6AC6">
              <w:rPr>
                <w:color w:val="000000"/>
                <w:lang w:val="bg-BG"/>
              </w:rPr>
              <w:t>ANC &lt;0,5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w:t>
            </w:r>
          </w:p>
          <w:p w14:paraId="3E54FB9E" w14:textId="77777777" w:rsidR="008B42C7" w:rsidRPr="00FE6AC6" w:rsidRDefault="008B42C7" w:rsidP="0063575E">
            <w:pPr>
              <w:widowControl w:val="0"/>
              <w:spacing w:line="240" w:lineRule="auto"/>
              <w:rPr>
                <w:b/>
                <w:color w:val="000000"/>
                <w:lang w:val="bg-BG"/>
              </w:rPr>
            </w:pPr>
            <w:r w:rsidRPr="00FE6AC6">
              <w:rPr>
                <w:color w:val="000000"/>
                <w:lang w:val="bg-BG"/>
              </w:rPr>
              <w:t>тромбоцити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tc>
        <w:tc>
          <w:tcPr>
            <w:tcW w:w="4804" w:type="dxa"/>
          </w:tcPr>
          <w:p w14:paraId="3E54FB9F" w14:textId="77777777" w:rsidR="008B42C7" w:rsidRPr="00FE6AC6" w:rsidRDefault="008B42C7" w:rsidP="0063575E">
            <w:pPr>
              <w:widowControl w:val="0"/>
              <w:tabs>
                <w:tab w:val="clear" w:pos="567"/>
              </w:tabs>
              <w:spacing w:line="240" w:lineRule="auto"/>
              <w:ind w:left="444" w:hanging="426"/>
              <w:rPr>
                <w:color w:val="000000"/>
                <w:lang w:val="bg-BG"/>
              </w:rPr>
            </w:pPr>
            <w:r w:rsidRPr="00FE6AC6">
              <w:rPr>
                <w:color w:val="000000"/>
                <w:lang w:val="bg-BG"/>
              </w:rPr>
              <w:t>1.</w:t>
            </w:r>
            <w:r w:rsidRPr="00FE6AC6">
              <w:rPr>
                <w:color w:val="000000"/>
                <w:lang w:val="bg-BG"/>
              </w:rPr>
              <w:tab/>
              <w:t>Проверете дали цитопенията е свързана с левкемията (костно-мозъчна аспирация или биопсия).</w:t>
            </w:r>
          </w:p>
          <w:p w14:paraId="3E54FBA0" w14:textId="77777777" w:rsidR="008B42C7" w:rsidRPr="00FE6AC6" w:rsidRDefault="008B42C7" w:rsidP="0063575E">
            <w:pPr>
              <w:widowControl w:val="0"/>
              <w:tabs>
                <w:tab w:val="clear" w:pos="567"/>
              </w:tabs>
              <w:spacing w:line="240" w:lineRule="auto"/>
              <w:ind w:left="432" w:hanging="450"/>
              <w:rPr>
                <w:color w:val="000000"/>
                <w:lang w:val="bg-BG"/>
              </w:rPr>
            </w:pPr>
            <w:r w:rsidRPr="00FE6AC6">
              <w:rPr>
                <w:color w:val="000000"/>
                <w:lang w:val="bg-BG"/>
              </w:rPr>
              <w:t>2.</w:t>
            </w:r>
            <w:r w:rsidRPr="00FE6AC6">
              <w:rPr>
                <w:color w:val="000000"/>
                <w:lang w:val="bg-BG"/>
              </w:rPr>
              <w:tab/>
              <w:t>Ако цитопенията не е свързана с левкемията, понижете дозата на Glivec до</w:t>
            </w:r>
            <w:r w:rsidRPr="00FE6AC6">
              <w:rPr>
                <w:color w:val="000000"/>
                <w:lang w:val="en-US"/>
              </w:rPr>
              <w:t> </w:t>
            </w:r>
            <w:r w:rsidRPr="00FE6AC6">
              <w:rPr>
                <w:color w:val="000000"/>
                <w:lang w:val="bg-BG"/>
              </w:rPr>
              <w:t>400 mg.</w:t>
            </w:r>
          </w:p>
          <w:p w14:paraId="3E54FBA1" w14:textId="77777777" w:rsidR="008B42C7" w:rsidRPr="00FE6AC6" w:rsidRDefault="008B42C7" w:rsidP="0063575E">
            <w:pPr>
              <w:widowControl w:val="0"/>
              <w:tabs>
                <w:tab w:val="clear" w:pos="567"/>
              </w:tabs>
              <w:spacing w:line="240" w:lineRule="auto"/>
              <w:ind w:left="432" w:hanging="432"/>
              <w:rPr>
                <w:color w:val="000000"/>
                <w:lang w:val="bg-BG"/>
              </w:rPr>
            </w:pPr>
            <w:r w:rsidRPr="00FE6AC6">
              <w:rPr>
                <w:color w:val="000000"/>
                <w:lang w:val="bg-BG"/>
              </w:rPr>
              <w:t>3.</w:t>
            </w:r>
            <w:r w:rsidRPr="00FE6AC6">
              <w:rPr>
                <w:color w:val="000000"/>
                <w:lang w:val="bg-BG"/>
              </w:rPr>
              <w:tab/>
              <w:t>Ако цитопенията персистира в продължение на</w:t>
            </w:r>
            <w:r w:rsidRPr="00FE6AC6">
              <w:rPr>
                <w:color w:val="000000"/>
                <w:lang w:val="en-US"/>
              </w:rPr>
              <w:t> </w:t>
            </w:r>
            <w:r w:rsidRPr="00FE6AC6">
              <w:rPr>
                <w:color w:val="000000"/>
                <w:lang w:val="bg-BG"/>
              </w:rPr>
              <w:t>2 седмици, понижете допълнително дозата д</w:t>
            </w:r>
            <w:r w:rsidRPr="00FE6AC6">
              <w:rPr>
                <w:color w:val="000000"/>
                <w:lang w:val="en-US"/>
              </w:rPr>
              <w:t>o </w:t>
            </w:r>
            <w:r w:rsidRPr="00FE6AC6">
              <w:rPr>
                <w:color w:val="000000"/>
                <w:lang w:val="bg-BG"/>
              </w:rPr>
              <w:t>300 mg.</w:t>
            </w:r>
          </w:p>
          <w:p w14:paraId="3E54FBA2" w14:textId="77777777" w:rsidR="008B42C7" w:rsidRPr="00FE6AC6" w:rsidRDefault="00461FF0" w:rsidP="0063575E">
            <w:pPr>
              <w:widowControl w:val="0"/>
              <w:tabs>
                <w:tab w:val="clear" w:pos="567"/>
              </w:tabs>
              <w:spacing w:line="240" w:lineRule="auto"/>
              <w:ind w:left="444" w:hanging="444"/>
              <w:rPr>
                <w:color w:val="000000"/>
                <w:lang w:val="bg-BG"/>
              </w:rPr>
            </w:pPr>
            <w:r w:rsidRPr="00FE6AC6">
              <w:rPr>
                <w:color w:val="000000"/>
                <w:lang w:val="bg-BG"/>
              </w:rPr>
              <w:t>4.</w:t>
            </w:r>
            <w:r w:rsidRPr="00FE6AC6">
              <w:rPr>
                <w:color w:val="000000"/>
                <w:lang w:val="bg-BG"/>
              </w:rPr>
              <w:tab/>
            </w:r>
            <w:r w:rsidR="008B42C7" w:rsidRPr="00FE6AC6">
              <w:rPr>
                <w:color w:val="000000"/>
                <w:lang w:val="bg-BG"/>
              </w:rPr>
              <w:t>Ако цитопенията персистира в продължение на</w:t>
            </w:r>
            <w:r w:rsidR="008B42C7" w:rsidRPr="00FE6AC6">
              <w:rPr>
                <w:color w:val="000000"/>
                <w:lang w:val="de-CH"/>
              </w:rPr>
              <w:t> </w:t>
            </w:r>
            <w:r w:rsidR="008B42C7" w:rsidRPr="00FE6AC6">
              <w:rPr>
                <w:color w:val="000000"/>
                <w:lang w:val="bg-BG"/>
              </w:rPr>
              <w:t>4 седмици и все още не е свързана с левкемията</w:t>
            </w:r>
            <w:r w:rsidR="001F679F" w:rsidRPr="00FE6AC6">
              <w:rPr>
                <w:color w:val="000000"/>
                <w:lang w:val="bg-BG"/>
              </w:rPr>
              <w:t>,</w:t>
            </w:r>
            <w:r w:rsidR="008B42C7" w:rsidRPr="00FE6AC6">
              <w:rPr>
                <w:color w:val="000000"/>
                <w:lang w:val="bg-BG"/>
              </w:rPr>
              <w:t xml:space="preserve"> прекратете приложението на Glivec до </w:t>
            </w:r>
            <w:r w:rsidR="001F679F" w:rsidRPr="00FE6AC6">
              <w:rPr>
                <w:color w:val="000000"/>
                <w:lang w:val="bg-BG"/>
              </w:rPr>
              <w:t xml:space="preserve">възстановяване на </w:t>
            </w:r>
            <w:r w:rsidR="008B42C7" w:rsidRPr="00FE6AC6">
              <w:rPr>
                <w:color w:val="000000"/>
                <w:lang w:val="bg-BG"/>
              </w:rPr>
              <w:t>ANC ≥1 x</w:t>
            </w:r>
            <w:r w:rsidR="008B42C7" w:rsidRPr="00FE6AC6">
              <w:rPr>
                <w:color w:val="000000"/>
                <w:lang w:val="de-CH"/>
              </w:rPr>
              <w:t> </w:t>
            </w:r>
            <w:r w:rsidR="008B42C7" w:rsidRPr="00FE6AC6">
              <w:rPr>
                <w:color w:val="000000"/>
                <w:lang w:val="bg-BG"/>
              </w:rPr>
              <w:t>10</w:t>
            </w:r>
            <w:r w:rsidR="008B42C7" w:rsidRPr="00FE6AC6">
              <w:rPr>
                <w:color w:val="000000"/>
                <w:vertAlign w:val="superscript"/>
                <w:lang w:val="bg-BG"/>
              </w:rPr>
              <w:t>9</w:t>
            </w:r>
            <w:r w:rsidR="008B42C7" w:rsidRPr="00FE6AC6">
              <w:rPr>
                <w:color w:val="000000"/>
                <w:lang w:val="bg-BG"/>
              </w:rPr>
              <w:t>/l и тромбоцитите ≥20</w:t>
            </w:r>
            <w:r w:rsidR="008B42C7" w:rsidRPr="00FE6AC6">
              <w:rPr>
                <w:color w:val="000000"/>
                <w:lang w:val="de-CH"/>
              </w:rPr>
              <w:t> </w:t>
            </w:r>
            <w:r w:rsidR="008B42C7" w:rsidRPr="00FE6AC6">
              <w:rPr>
                <w:color w:val="000000"/>
                <w:lang w:val="bg-BG"/>
              </w:rPr>
              <w:t>x</w:t>
            </w:r>
            <w:r w:rsidR="008B42C7" w:rsidRPr="00FE6AC6">
              <w:rPr>
                <w:color w:val="000000"/>
                <w:lang w:val="de-CH"/>
              </w:rPr>
              <w:t> </w:t>
            </w:r>
            <w:r w:rsidR="008B42C7" w:rsidRPr="00FE6AC6">
              <w:rPr>
                <w:color w:val="000000"/>
                <w:lang w:val="bg-BG"/>
              </w:rPr>
              <w:t>10</w:t>
            </w:r>
            <w:r w:rsidR="008B42C7" w:rsidRPr="00FE6AC6">
              <w:rPr>
                <w:color w:val="000000"/>
                <w:vertAlign w:val="superscript"/>
                <w:lang w:val="bg-BG"/>
              </w:rPr>
              <w:t>9</w:t>
            </w:r>
            <w:r w:rsidR="008B42C7" w:rsidRPr="00FE6AC6">
              <w:rPr>
                <w:color w:val="000000"/>
                <w:lang w:val="bg-BG"/>
              </w:rPr>
              <w:t>/l и след това възобновете лечението с</w:t>
            </w:r>
            <w:r w:rsidR="008B42C7" w:rsidRPr="00FE6AC6">
              <w:rPr>
                <w:color w:val="000000"/>
                <w:lang w:val="de-CH"/>
              </w:rPr>
              <w:t> </w:t>
            </w:r>
            <w:r w:rsidR="008B42C7" w:rsidRPr="00FE6AC6">
              <w:rPr>
                <w:color w:val="000000"/>
                <w:lang w:val="bg-BG"/>
              </w:rPr>
              <w:t>300 mg.</w:t>
            </w:r>
          </w:p>
        </w:tc>
      </w:tr>
      <w:tr w:rsidR="008B42C7" w:rsidRPr="004015AA" w14:paraId="3E54FBAB" w14:textId="77777777" w:rsidTr="00F40727">
        <w:trPr>
          <w:cantSplit/>
        </w:trPr>
        <w:tc>
          <w:tcPr>
            <w:tcW w:w="2059" w:type="dxa"/>
          </w:tcPr>
          <w:p w14:paraId="3E54FBA4" w14:textId="77777777" w:rsidR="008B42C7" w:rsidRPr="00FE6AC6" w:rsidRDefault="008B42C7" w:rsidP="0063575E">
            <w:pPr>
              <w:widowControl w:val="0"/>
              <w:spacing w:line="240" w:lineRule="auto"/>
              <w:rPr>
                <w:color w:val="000000"/>
                <w:lang w:val="bg-BG"/>
              </w:rPr>
            </w:pPr>
            <w:r w:rsidRPr="00FE6AC6">
              <w:rPr>
                <w:color w:val="000000"/>
                <w:lang w:val="bg-BG"/>
              </w:rPr>
              <w:t>Фаза на акцелерация на ХМЛ и бластна криза</w:t>
            </w:r>
            <w:r w:rsidRPr="00FE6AC6">
              <w:rPr>
                <w:color w:val="000000"/>
                <w:lang w:val="ru-RU"/>
              </w:rPr>
              <w:t xml:space="preserve"> </w:t>
            </w:r>
            <w:r w:rsidRPr="00FE6AC6">
              <w:rPr>
                <w:color w:val="000000"/>
                <w:lang w:val="bg-BG"/>
              </w:rPr>
              <w:t>в детска възраст (начална доза</w:t>
            </w:r>
            <w:r w:rsidRPr="00FE6AC6">
              <w:rPr>
                <w:color w:val="000000"/>
                <w:lang w:val="en-US"/>
              </w:rPr>
              <w:t> </w:t>
            </w:r>
            <w:r w:rsidRPr="00FE6AC6">
              <w:rPr>
                <w:color w:val="000000"/>
                <w:lang w:val="bg-BG"/>
              </w:rPr>
              <w:t>340 mg/</w:t>
            </w:r>
            <w:r w:rsidRPr="00FE6AC6">
              <w:rPr>
                <w:color w:val="000000"/>
                <w:lang w:val="en-US"/>
              </w:rPr>
              <w:t>m</w:t>
            </w:r>
            <w:r w:rsidRPr="00FE6AC6">
              <w:rPr>
                <w:color w:val="000000"/>
                <w:vertAlign w:val="superscript"/>
                <w:lang w:val="ru-RU"/>
              </w:rPr>
              <w:t>2</w:t>
            </w:r>
            <w:r w:rsidRPr="00FE6AC6">
              <w:rPr>
                <w:color w:val="000000"/>
                <w:lang w:val="bg-BG"/>
              </w:rPr>
              <w:t>)</w:t>
            </w:r>
          </w:p>
        </w:tc>
        <w:tc>
          <w:tcPr>
            <w:tcW w:w="2459" w:type="dxa"/>
          </w:tcPr>
          <w:p w14:paraId="3E54FBA5" w14:textId="77777777" w:rsidR="008B42C7" w:rsidRPr="00FE6AC6" w:rsidRDefault="008B42C7" w:rsidP="0063575E">
            <w:pPr>
              <w:widowControl w:val="0"/>
              <w:spacing w:line="240" w:lineRule="auto"/>
              <w:rPr>
                <w:color w:val="000000"/>
                <w:lang w:val="bg-BG"/>
              </w:rPr>
            </w:pPr>
            <w:r w:rsidRPr="00FE6AC6">
              <w:rPr>
                <w:color w:val="000000"/>
                <w:vertAlign w:val="superscript"/>
                <w:lang w:val="bg-BG"/>
              </w:rPr>
              <w:t>а</w:t>
            </w:r>
            <w:r w:rsidRPr="00FE6AC6">
              <w:rPr>
                <w:color w:val="000000"/>
                <w:lang w:val="bg-BG"/>
              </w:rPr>
              <w:t>ANC &lt;0,5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w:t>
            </w:r>
          </w:p>
          <w:p w14:paraId="3E54FBA6" w14:textId="77777777" w:rsidR="008B42C7" w:rsidRPr="00FE6AC6" w:rsidRDefault="008B42C7" w:rsidP="0063575E">
            <w:pPr>
              <w:widowControl w:val="0"/>
              <w:spacing w:line="240" w:lineRule="auto"/>
              <w:rPr>
                <w:color w:val="000000"/>
                <w:lang w:val="bg-BG"/>
              </w:rPr>
            </w:pPr>
            <w:r w:rsidRPr="00FE6AC6">
              <w:rPr>
                <w:color w:val="000000"/>
                <w:lang w:val="bg-BG"/>
              </w:rPr>
              <w:t>тромбоцити &lt;</w:t>
            </w:r>
            <w:r w:rsidRPr="00FE6AC6">
              <w:rPr>
                <w:color w:val="000000"/>
                <w:lang w:val="en-US"/>
              </w:rPr>
              <w:t> </w:t>
            </w:r>
            <w:r w:rsidRPr="00FE6AC6">
              <w:rPr>
                <w:color w:val="000000"/>
                <w:lang w:val="bg-BG"/>
              </w:rPr>
              <w: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tc>
        <w:tc>
          <w:tcPr>
            <w:tcW w:w="4804" w:type="dxa"/>
          </w:tcPr>
          <w:p w14:paraId="3E54FBA7" w14:textId="77777777" w:rsidR="008B42C7" w:rsidRPr="00FE6AC6" w:rsidRDefault="008B42C7" w:rsidP="0063575E">
            <w:pPr>
              <w:widowControl w:val="0"/>
              <w:tabs>
                <w:tab w:val="clear" w:pos="567"/>
              </w:tabs>
              <w:spacing w:line="240" w:lineRule="auto"/>
              <w:ind w:left="432" w:hanging="432"/>
              <w:rPr>
                <w:color w:val="000000"/>
                <w:lang w:val="bg-BG"/>
              </w:rPr>
            </w:pPr>
            <w:r w:rsidRPr="00FE6AC6">
              <w:rPr>
                <w:color w:val="000000"/>
                <w:lang w:val="bg-BG"/>
              </w:rPr>
              <w:t>1.</w:t>
            </w:r>
            <w:r w:rsidRPr="00FE6AC6">
              <w:rPr>
                <w:color w:val="000000"/>
                <w:lang w:val="bg-BG"/>
              </w:rPr>
              <w:tab/>
              <w:t>Проверете дали цитопенията е свързана с левкемията (костно-мозъчна аспирация или биопсия).</w:t>
            </w:r>
          </w:p>
          <w:p w14:paraId="3E54FBA8" w14:textId="77777777" w:rsidR="008B42C7" w:rsidRPr="00FE6AC6" w:rsidRDefault="008B42C7" w:rsidP="0063575E">
            <w:pPr>
              <w:widowControl w:val="0"/>
              <w:tabs>
                <w:tab w:val="clear" w:pos="567"/>
              </w:tabs>
              <w:spacing w:line="240" w:lineRule="auto"/>
              <w:ind w:left="432" w:hanging="432"/>
              <w:rPr>
                <w:color w:val="000000"/>
                <w:lang w:val="bg-BG"/>
              </w:rPr>
            </w:pPr>
            <w:r w:rsidRPr="00FE6AC6">
              <w:rPr>
                <w:color w:val="000000"/>
                <w:lang w:val="bg-BG"/>
              </w:rPr>
              <w:t>2.</w:t>
            </w:r>
            <w:r w:rsidRPr="00FE6AC6">
              <w:rPr>
                <w:color w:val="000000"/>
                <w:lang w:val="bg-BG"/>
              </w:rPr>
              <w:tab/>
              <w:t>Ако цитопенията не е свързана с левкемията, понижете дозата на Glivec до</w:t>
            </w:r>
            <w:r w:rsidRPr="00FE6AC6">
              <w:rPr>
                <w:color w:val="000000"/>
                <w:lang w:val="en-US"/>
              </w:rPr>
              <w:t> </w:t>
            </w:r>
            <w:r w:rsidRPr="00FE6AC6">
              <w:rPr>
                <w:color w:val="000000"/>
                <w:lang w:val="bg-BG"/>
              </w:rPr>
              <w:t>260 mg/</w:t>
            </w:r>
            <w:r w:rsidRPr="00FE6AC6">
              <w:rPr>
                <w:color w:val="000000"/>
                <w:lang w:val="en-US"/>
              </w:rPr>
              <w:t>m</w:t>
            </w:r>
            <w:r w:rsidRPr="00FE6AC6">
              <w:rPr>
                <w:color w:val="000000"/>
                <w:vertAlign w:val="superscript"/>
                <w:lang w:val="ru-RU"/>
              </w:rPr>
              <w:t>2</w:t>
            </w:r>
            <w:r w:rsidRPr="00FE6AC6">
              <w:rPr>
                <w:color w:val="000000"/>
                <w:lang w:val="bg-BG"/>
              </w:rPr>
              <w:t>.</w:t>
            </w:r>
          </w:p>
          <w:p w14:paraId="3E54FBA9" w14:textId="77777777" w:rsidR="008B42C7" w:rsidRPr="00FE6AC6" w:rsidRDefault="008B42C7" w:rsidP="0063575E">
            <w:pPr>
              <w:widowControl w:val="0"/>
              <w:tabs>
                <w:tab w:val="clear" w:pos="567"/>
              </w:tabs>
              <w:spacing w:line="240" w:lineRule="auto"/>
              <w:ind w:left="432" w:hanging="432"/>
              <w:rPr>
                <w:color w:val="000000"/>
                <w:lang w:val="bg-BG"/>
              </w:rPr>
            </w:pPr>
            <w:r w:rsidRPr="00FE6AC6">
              <w:rPr>
                <w:color w:val="000000"/>
                <w:lang w:val="bg-BG"/>
              </w:rPr>
              <w:t>3.</w:t>
            </w:r>
            <w:r w:rsidRPr="00FE6AC6">
              <w:rPr>
                <w:color w:val="000000"/>
                <w:lang w:val="bg-BG"/>
              </w:rPr>
              <w:tab/>
              <w:t>Ако цитопенията персистира в продължение на</w:t>
            </w:r>
            <w:r w:rsidRPr="00FE6AC6">
              <w:rPr>
                <w:color w:val="000000"/>
                <w:lang w:val="en-US"/>
              </w:rPr>
              <w:t> </w:t>
            </w:r>
            <w:r w:rsidRPr="00FE6AC6">
              <w:rPr>
                <w:color w:val="000000"/>
                <w:lang w:val="bg-BG"/>
              </w:rPr>
              <w:t>2 седмици, понижете допълнително дозата д</w:t>
            </w:r>
            <w:r w:rsidRPr="00FE6AC6">
              <w:rPr>
                <w:color w:val="000000"/>
                <w:lang w:val="en-US"/>
              </w:rPr>
              <w:t>o </w:t>
            </w:r>
            <w:r w:rsidRPr="00FE6AC6">
              <w:rPr>
                <w:color w:val="000000"/>
                <w:lang w:val="bg-BG"/>
              </w:rPr>
              <w:t>200 mg</w:t>
            </w:r>
            <w:r w:rsidRPr="00FE6AC6">
              <w:rPr>
                <w:color w:val="000000"/>
                <w:lang w:val="ru-RU"/>
              </w:rPr>
              <w:t>/</w:t>
            </w:r>
            <w:r w:rsidRPr="00FE6AC6">
              <w:rPr>
                <w:color w:val="000000"/>
                <w:lang w:val="en-US"/>
              </w:rPr>
              <w:t>m</w:t>
            </w:r>
            <w:r w:rsidRPr="00FE6AC6">
              <w:rPr>
                <w:color w:val="000000"/>
                <w:vertAlign w:val="superscript"/>
                <w:lang w:val="ru-RU"/>
              </w:rPr>
              <w:t>2</w:t>
            </w:r>
            <w:r w:rsidRPr="00FE6AC6">
              <w:rPr>
                <w:color w:val="000000"/>
                <w:lang w:val="bg-BG"/>
              </w:rPr>
              <w:t>.</w:t>
            </w:r>
          </w:p>
          <w:p w14:paraId="3E54FBAA" w14:textId="77777777" w:rsidR="008B42C7" w:rsidRPr="00FE6AC6" w:rsidRDefault="008B42C7" w:rsidP="0063575E">
            <w:pPr>
              <w:widowControl w:val="0"/>
              <w:tabs>
                <w:tab w:val="clear" w:pos="567"/>
              </w:tabs>
              <w:spacing w:line="240" w:lineRule="auto"/>
              <w:ind w:left="432" w:hanging="432"/>
              <w:rPr>
                <w:color w:val="000000"/>
                <w:lang w:val="bg-BG"/>
              </w:rPr>
            </w:pPr>
            <w:r w:rsidRPr="00FE6AC6">
              <w:rPr>
                <w:color w:val="000000"/>
                <w:lang w:val="ru-RU"/>
              </w:rPr>
              <w:t>4.</w:t>
            </w:r>
            <w:r w:rsidRPr="00FE6AC6">
              <w:rPr>
                <w:color w:val="000000"/>
                <w:lang w:val="ru-RU"/>
              </w:rPr>
              <w:tab/>
            </w:r>
            <w:r w:rsidRPr="00FE6AC6">
              <w:rPr>
                <w:color w:val="000000"/>
                <w:lang w:val="bg-BG"/>
              </w:rPr>
              <w:t>Ако цитопенията персистира в продължение на</w:t>
            </w:r>
            <w:r w:rsidRPr="00FE6AC6">
              <w:rPr>
                <w:color w:val="000000"/>
                <w:lang w:val="en-US"/>
              </w:rPr>
              <w:t> </w:t>
            </w:r>
            <w:r w:rsidRPr="00FE6AC6">
              <w:rPr>
                <w:color w:val="000000"/>
                <w:lang w:val="ru-RU"/>
              </w:rPr>
              <w:t>4 </w:t>
            </w:r>
            <w:r w:rsidRPr="00FE6AC6">
              <w:rPr>
                <w:color w:val="000000"/>
                <w:lang w:val="bg-BG"/>
              </w:rPr>
              <w:t>седмици и все още не е свързана с левкемията</w:t>
            </w:r>
            <w:r w:rsidR="001F679F" w:rsidRPr="00FE6AC6">
              <w:rPr>
                <w:color w:val="000000"/>
                <w:lang w:val="bg-BG"/>
              </w:rPr>
              <w:t>,</w:t>
            </w:r>
            <w:r w:rsidRPr="00FE6AC6">
              <w:rPr>
                <w:color w:val="000000"/>
                <w:lang w:val="bg-BG"/>
              </w:rPr>
              <w:t xml:space="preserve"> прекратете приложението на Glivec до </w:t>
            </w:r>
            <w:r w:rsidR="001F679F" w:rsidRPr="00FE6AC6">
              <w:rPr>
                <w:color w:val="000000"/>
                <w:lang w:val="bg-BG"/>
              </w:rPr>
              <w:t xml:space="preserve">възстановяване на </w:t>
            </w:r>
            <w:r w:rsidRPr="00FE6AC6">
              <w:rPr>
                <w:color w:val="000000"/>
                <w:lang w:val="bg-BG"/>
              </w:rPr>
              <w:t>ANC ≥1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тромбоцитите ≥20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след това възобновете лечението с</w:t>
            </w:r>
            <w:r w:rsidRPr="00FE6AC6">
              <w:rPr>
                <w:color w:val="000000"/>
                <w:lang w:val="en-US"/>
              </w:rPr>
              <w:t> </w:t>
            </w:r>
            <w:r w:rsidRPr="00FE6AC6">
              <w:rPr>
                <w:color w:val="000000"/>
                <w:lang w:val="ru-RU"/>
              </w:rPr>
              <w:t>2</w:t>
            </w:r>
            <w:r w:rsidRPr="00FE6AC6">
              <w:rPr>
                <w:color w:val="000000"/>
                <w:lang w:val="bg-BG"/>
              </w:rPr>
              <w:t>00 mg</w:t>
            </w:r>
            <w:r w:rsidRPr="00FE6AC6">
              <w:rPr>
                <w:color w:val="000000"/>
                <w:lang w:val="ru-RU"/>
              </w:rPr>
              <w:t>/</w:t>
            </w:r>
            <w:r w:rsidRPr="00FE6AC6">
              <w:rPr>
                <w:color w:val="000000"/>
                <w:lang w:val="en-US"/>
              </w:rPr>
              <w:t>m</w:t>
            </w:r>
            <w:r w:rsidRPr="00FE6AC6">
              <w:rPr>
                <w:color w:val="000000"/>
                <w:vertAlign w:val="superscript"/>
                <w:lang w:val="ru-RU"/>
              </w:rPr>
              <w:t>2</w:t>
            </w:r>
            <w:r w:rsidRPr="00FE6AC6">
              <w:rPr>
                <w:color w:val="000000"/>
                <w:lang w:val="bg-BG"/>
              </w:rPr>
              <w:t>.</w:t>
            </w:r>
          </w:p>
        </w:tc>
      </w:tr>
      <w:tr w:rsidR="008B42C7" w:rsidRPr="004015AA" w14:paraId="3E54FBB3" w14:textId="77777777" w:rsidTr="00F40727">
        <w:trPr>
          <w:cantSplit/>
        </w:trPr>
        <w:tc>
          <w:tcPr>
            <w:tcW w:w="2059" w:type="dxa"/>
          </w:tcPr>
          <w:p w14:paraId="3E54FBAC" w14:textId="77777777" w:rsidR="008B42C7" w:rsidRPr="00FE6AC6" w:rsidRDefault="008B42C7" w:rsidP="0063575E">
            <w:pPr>
              <w:keepNext/>
              <w:keepLines/>
              <w:widowControl w:val="0"/>
              <w:spacing w:line="240" w:lineRule="auto"/>
              <w:rPr>
                <w:color w:val="000000"/>
                <w:lang w:val="bg-BG"/>
              </w:rPr>
            </w:pPr>
            <w:r w:rsidRPr="00FE6AC6">
              <w:rPr>
                <w:color w:val="000000"/>
                <w:lang w:val="bg-BG"/>
              </w:rPr>
              <w:t>ДФСП</w:t>
            </w:r>
          </w:p>
          <w:p w14:paraId="3E54FBAD" w14:textId="77777777" w:rsidR="008B42C7" w:rsidRPr="00FE6AC6" w:rsidRDefault="008B42C7" w:rsidP="0063575E">
            <w:pPr>
              <w:keepNext/>
              <w:keepLines/>
              <w:widowControl w:val="0"/>
              <w:spacing w:line="240" w:lineRule="auto"/>
              <w:rPr>
                <w:color w:val="000000"/>
                <w:lang w:val="bg-BG"/>
              </w:rPr>
            </w:pPr>
            <w:r w:rsidRPr="00FE6AC6">
              <w:rPr>
                <w:color w:val="000000"/>
                <w:lang w:val="bg-BG"/>
              </w:rPr>
              <w:t>(в доза от 800 </w:t>
            </w:r>
            <w:r w:rsidRPr="00FE6AC6">
              <w:rPr>
                <w:color w:val="000000"/>
                <w:lang w:val="en-US"/>
              </w:rPr>
              <w:t>mg</w:t>
            </w:r>
            <w:r w:rsidRPr="00FE6AC6">
              <w:rPr>
                <w:color w:val="000000"/>
                <w:lang w:val="bg-BG"/>
              </w:rPr>
              <w:t>)</w:t>
            </w:r>
          </w:p>
        </w:tc>
        <w:tc>
          <w:tcPr>
            <w:tcW w:w="2459" w:type="dxa"/>
          </w:tcPr>
          <w:p w14:paraId="3E54FBAE" w14:textId="77777777" w:rsidR="008B42C7" w:rsidRPr="00FE6AC6" w:rsidRDefault="008B42C7" w:rsidP="0063575E">
            <w:pPr>
              <w:keepNext/>
              <w:keepLines/>
              <w:widowControl w:val="0"/>
              <w:spacing w:line="240" w:lineRule="auto"/>
              <w:rPr>
                <w:color w:val="000000"/>
                <w:lang w:val="bg-BG"/>
              </w:rPr>
            </w:pPr>
            <w:r w:rsidRPr="00FE6AC6">
              <w:rPr>
                <w:color w:val="000000"/>
                <w:lang w:val="bg-BG"/>
              </w:rPr>
              <w:t>ANC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w:t>
            </w:r>
          </w:p>
          <w:p w14:paraId="3E54FBAF" w14:textId="77777777" w:rsidR="008B42C7" w:rsidRPr="00FE6AC6" w:rsidRDefault="008B42C7" w:rsidP="0063575E">
            <w:pPr>
              <w:keepNext/>
              <w:keepLines/>
              <w:widowControl w:val="0"/>
              <w:spacing w:line="240" w:lineRule="auto"/>
              <w:rPr>
                <w:color w:val="000000"/>
                <w:lang w:val="bg-BG"/>
              </w:rPr>
            </w:pPr>
            <w:r w:rsidRPr="00FE6AC6">
              <w:rPr>
                <w:color w:val="000000"/>
                <w:lang w:val="bg-BG"/>
              </w:rPr>
              <w:t>тромбоцити &lt;</w:t>
            </w:r>
            <w:r w:rsidRPr="00FE6AC6">
              <w:rPr>
                <w:color w:val="000000"/>
                <w:lang w:val="en-US"/>
              </w:rPr>
              <w:t> </w:t>
            </w:r>
            <w:r w:rsidRPr="00FE6AC6">
              <w:rPr>
                <w:color w:val="000000"/>
                <w:lang w:val="bg-BG"/>
              </w:rPr>
              <w:t>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tc>
        <w:tc>
          <w:tcPr>
            <w:tcW w:w="4804" w:type="dxa"/>
          </w:tcPr>
          <w:p w14:paraId="3E54FBB0" w14:textId="77777777" w:rsidR="008B42C7" w:rsidRPr="00FE6AC6" w:rsidRDefault="008B42C7" w:rsidP="0063575E">
            <w:pPr>
              <w:keepNext/>
              <w:keepLines/>
              <w:widowControl w:val="0"/>
              <w:tabs>
                <w:tab w:val="clear" w:pos="567"/>
              </w:tabs>
              <w:spacing w:line="240" w:lineRule="auto"/>
              <w:ind w:left="432" w:hanging="432"/>
              <w:rPr>
                <w:color w:val="000000"/>
                <w:lang w:val="ru-RU"/>
              </w:rPr>
            </w:pPr>
            <w:r w:rsidRPr="00FE6AC6">
              <w:rPr>
                <w:color w:val="000000"/>
                <w:lang w:val="ru-RU"/>
              </w:rPr>
              <w:t>1.</w:t>
            </w:r>
            <w:r w:rsidRPr="00FE6AC6">
              <w:rPr>
                <w:color w:val="000000"/>
                <w:lang w:val="ru-RU"/>
              </w:rPr>
              <w:tab/>
            </w:r>
            <w:r w:rsidRPr="00FE6AC6">
              <w:rPr>
                <w:color w:val="000000"/>
                <w:lang w:val="bg-BG"/>
              </w:rPr>
              <w:t>Прекратете приема на Glivec</w:t>
            </w:r>
            <w:r w:rsidR="001F679F" w:rsidRPr="00FE6AC6">
              <w:rPr>
                <w:color w:val="000000"/>
                <w:lang w:val="bg-BG"/>
              </w:rPr>
              <w:t>,</w:t>
            </w:r>
            <w:r w:rsidRPr="00FE6AC6">
              <w:rPr>
                <w:color w:val="000000"/>
                <w:lang w:val="bg-BG"/>
              </w:rPr>
              <w:t xml:space="preserve"> до</w:t>
            </w:r>
            <w:r w:rsidR="001F679F" w:rsidRPr="00FE6AC6">
              <w:rPr>
                <w:color w:val="000000"/>
                <w:lang w:val="bg-BG"/>
              </w:rPr>
              <w:t xml:space="preserve"> възстановяването на </w:t>
            </w:r>
            <w:r w:rsidRPr="00FE6AC6">
              <w:rPr>
                <w:color w:val="000000"/>
                <w:lang w:val="bg-BG"/>
              </w:rPr>
              <w:t>ANC ≥1,5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тромбоцитите ≥</w:t>
            </w:r>
            <w:r w:rsidRPr="00FE6AC6">
              <w:rPr>
                <w:color w:val="000000"/>
                <w:lang w:val="en-US"/>
              </w:rPr>
              <w:t> </w:t>
            </w:r>
            <w:r w:rsidRPr="00FE6AC6">
              <w:rPr>
                <w:color w:val="000000"/>
                <w:lang w:val="ru-RU"/>
              </w:rPr>
              <w:t>75 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p w14:paraId="3E54FBB1" w14:textId="77777777" w:rsidR="008B42C7" w:rsidRPr="00FE6AC6" w:rsidRDefault="008B42C7" w:rsidP="0063575E">
            <w:pPr>
              <w:keepNext/>
              <w:keepLines/>
              <w:widowControl w:val="0"/>
              <w:tabs>
                <w:tab w:val="clear" w:pos="567"/>
              </w:tabs>
              <w:spacing w:line="240" w:lineRule="auto"/>
              <w:ind w:left="432" w:hanging="432"/>
              <w:rPr>
                <w:color w:val="000000"/>
                <w:lang w:val="bg-BG"/>
              </w:rPr>
            </w:pPr>
            <w:r w:rsidRPr="00FE6AC6">
              <w:rPr>
                <w:color w:val="000000"/>
                <w:lang w:val="ru-RU"/>
              </w:rPr>
              <w:t>2.</w:t>
            </w:r>
            <w:r w:rsidRPr="00FE6AC6">
              <w:rPr>
                <w:color w:val="000000"/>
                <w:lang w:val="ru-RU"/>
              </w:rPr>
              <w:tab/>
            </w:r>
            <w:r w:rsidRPr="00FE6AC6">
              <w:rPr>
                <w:color w:val="000000"/>
                <w:lang w:val="bg-BG"/>
              </w:rPr>
              <w:t xml:space="preserve">Възобновете лечението с Glivec </w:t>
            </w:r>
            <w:r w:rsidR="001F679F" w:rsidRPr="00FE6AC6">
              <w:rPr>
                <w:color w:val="000000"/>
                <w:lang w:val="bg-BG"/>
              </w:rPr>
              <w:t>на</w:t>
            </w:r>
            <w:r w:rsidRPr="00FE6AC6">
              <w:rPr>
                <w:color w:val="000000"/>
                <w:lang w:val="bg-BG"/>
              </w:rPr>
              <w:t> 6</w:t>
            </w:r>
            <w:r w:rsidRPr="00FE6AC6">
              <w:rPr>
                <w:color w:val="000000"/>
                <w:lang w:val="ru-RU"/>
              </w:rPr>
              <w:t>00 </w:t>
            </w:r>
            <w:r w:rsidRPr="00FE6AC6">
              <w:rPr>
                <w:color w:val="000000"/>
                <w:lang w:val="en-US"/>
              </w:rPr>
              <w:t>mg</w:t>
            </w:r>
            <w:r w:rsidRPr="00FE6AC6">
              <w:rPr>
                <w:color w:val="000000"/>
                <w:lang w:val="bg-BG"/>
              </w:rPr>
              <w:t>.</w:t>
            </w:r>
          </w:p>
          <w:p w14:paraId="3E54FBB2" w14:textId="77777777" w:rsidR="008B42C7" w:rsidRPr="00FE6AC6" w:rsidRDefault="008B42C7" w:rsidP="0063575E">
            <w:pPr>
              <w:keepNext/>
              <w:keepLines/>
              <w:widowControl w:val="0"/>
              <w:tabs>
                <w:tab w:val="clear" w:pos="567"/>
              </w:tabs>
              <w:spacing w:line="240" w:lineRule="auto"/>
              <w:ind w:left="432" w:hanging="432"/>
              <w:rPr>
                <w:color w:val="000000"/>
                <w:lang w:val="bg-BG"/>
              </w:rPr>
            </w:pPr>
            <w:r w:rsidRPr="00FE6AC6">
              <w:rPr>
                <w:color w:val="000000"/>
                <w:lang w:val="bg-BG"/>
              </w:rPr>
              <w:t>3.</w:t>
            </w:r>
            <w:r w:rsidRPr="00FE6AC6">
              <w:rPr>
                <w:color w:val="000000"/>
                <w:lang w:val="bg-BG"/>
              </w:rPr>
              <w:tab/>
              <w:t>В случай на повторно понижение на ANC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 тромбоцити &lt;50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повторете стъпка</w:t>
            </w:r>
            <w:r w:rsidRPr="00FE6AC6">
              <w:rPr>
                <w:color w:val="000000"/>
                <w:lang w:val="en-US"/>
              </w:rPr>
              <w:t> </w:t>
            </w:r>
            <w:r w:rsidRPr="00FE6AC6">
              <w:rPr>
                <w:color w:val="000000"/>
                <w:lang w:val="bg-BG"/>
              </w:rPr>
              <w:t>1 и възобновете лечението с Glivec с намалена доза от</w:t>
            </w:r>
            <w:r w:rsidRPr="00FE6AC6">
              <w:rPr>
                <w:color w:val="000000"/>
                <w:lang w:val="en-US"/>
              </w:rPr>
              <w:t> </w:t>
            </w:r>
            <w:r w:rsidRPr="00FE6AC6">
              <w:rPr>
                <w:color w:val="000000"/>
                <w:lang w:val="ru-RU"/>
              </w:rPr>
              <w:t>4</w:t>
            </w:r>
            <w:r w:rsidRPr="00FE6AC6">
              <w:rPr>
                <w:color w:val="000000"/>
                <w:lang w:val="bg-BG"/>
              </w:rPr>
              <w:t>00 mg.</w:t>
            </w:r>
          </w:p>
        </w:tc>
      </w:tr>
      <w:tr w:rsidR="008B42C7" w:rsidRPr="004015AA" w14:paraId="3E54FBB6" w14:textId="77777777" w:rsidTr="00F40727">
        <w:trPr>
          <w:cantSplit/>
        </w:trPr>
        <w:tc>
          <w:tcPr>
            <w:tcW w:w="9322" w:type="dxa"/>
            <w:gridSpan w:val="3"/>
          </w:tcPr>
          <w:p w14:paraId="3E54FBB4" w14:textId="77777777" w:rsidR="008B42C7" w:rsidRPr="00FE6AC6" w:rsidRDefault="008B42C7" w:rsidP="008143B1">
            <w:pPr>
              <w:keepNext/>
              <w:widowControl w:val="0"/>
              <w:spacing w:line="240" w:lineRule="auto"/>
              <w:rPr>
                <w:color w:val="000000"/>
                <w:lang w:val="bg-BG"/>
              </w:rPr>
            </w:pPr>
            <w:r w:rsidRPr="00FE6AC6">
              <w:rPr>
                <w:color w:val="000000"/>
                <w:lang w:val="bg-BG"/>
              </w:rPr>
              <w:t>ANC = абсолютен брой на неутрофилите</w:t>
            </w:r>
          </w:p>
          <w:p w14:paraId="3E54FBB5" w14:textId="77777777" w:rsidR="008B42C7" w:rsidRPr="00FE6AC6" w:rsidRDefault="008B42C7" w:rsidP="008143B1">
            <w:pPr>
              <w:keepNext/>
              <w:widowControl w:val="0"/>
              <w:spacing w:line="240" w:lineRule="auto"/>
              <w:rPr>
                <w:color w:val="000000"/>
                <w:lang w:val="bg-BG"/>
              </w:rPr>
            </w:pPr>
            <w:r w:rsidRPr="00FE6AC6">
              <w:rPr>
                <w:color w:val="000000"/>
                <w:vertAlign w:val="superscript"/>
                <w:lang w:val="en-US"/>
              </w:rPr>
              <w:t>a</w:t>
            </w:r>
            <w:r w:rsidRPr="00FE6AC6">
              <w:rPr>
                <w:color w:val="000000"/>
                <w:lang w:val="bg-BG"/>
              </w:rPr>
              <w:t xml:space="preserve"> поява след поне</w:t>
            </w:r>
            <w:r w:rsidRPr="00FE6AC6">
              <w:rPr>
                <w:color w:val="000000"/>
                <w:lang w:val="en-US"/>
              </w:rPr>
              <w:t> </w:t>
            </w:r>
            <w:r w:rsidRPr="00FE6AC6">
              <w:rPr>
                <w:color w:val="000000"/>
                <w:lang w:val="bg-BG"/>
              </w:rPr>
              <w:t>1 месец лечение</w:t>
            </w:r>
          </w:p>
        </w:tc>
      </w:tr>
    </w:tbl>
    <w:p w14:paraId="3E54FBB7" w14:textId="77777777" w:rsidR="001636FA" w:rsidRPr="00FE6AC6" w:rsidRDefault="001636FA" w:rsidP="0063575E">
      <w:pPr>
        <w:widowControl w:val="0"/>
        <w:spacing w:line="240" w:lineRule="auto"/>
        <w:rPr>
          <w:color w:val="000000"/>
          <w:lang w:val="bg-BG"/>
        </w:rPr>
      </w:pPr>
    </w:p>
    <w:p w14:paraId="3E54FBB8" w14:textId="77777777" w:rsidR="00115BD0" w:rsidRPr="00FE6AC6" w:rsidRDefault="00115BD0" w:rsidP="0063575E">
      <w:pPr>
        <w:keepNext/>
        <w:widowControl w:val="0"/>
        <w:spacing w:line="240" w:lineRule="auto"/>
        <w:rPr>
          <w:color w:val="000000"/>
          <w:u w:val="single"/>
          <w:lang w:val="bg-BG"/>
        </w:rPr>
      </w:pPr>
      <w:r w:rsidRPr="00FE6AC6">
        <w:rPr>
          <w:color w:val="000000"/>
          <w:u w:val="single"/>
          <w:lang w:val="bg-BG"/>
        </w:rPr>
        <w:t>Специални популации</w:t>
      </w:r>
    </w:p>
    <w:p w14:paraId="3E54FBB9" w14:textId="77777777" w:rsidR="001636FA" w:rsidRPr="00FE6AC6" w:rsidRDefault="00B86512" w:rsidP="0063575E">
      <w:pPr>
        <w:widowControl w:val="0"/>
        <w:spacing w:line="240" w:lineRule="auto"/>
        <w:rPr>
          <w:color w:val="000000"/>
          <w:lang w:val="bg-BG"/>
        </w:rPr>
      </w:pPr>
      <w:r w:rsidRPr="00FE6AC6">
        <w:rPr>
          <w:i/>
          <w:color w:val="000000"/>
          <w:lang w:val="bg-BG"/>
        </w:rPr>
        <w:t>Педиатрична у</w:t>
      </w:r>
      <w:r w:rsidR="001636FA" w:rsidRPr="00FE6AC6">
        <w:rPr>
          <w:i/>
          <w:color w:val="000000"/>
          <w:lang w:val="bg-BG"/>
        </w:rPr>
        <w:t>потреба:</w:t>
      </w:r>
      <w:r w:rsidR="001636FA" w:rsidRPr="00FE6AC6">
        <w:rPr>
          <w:color w:val="000000"/>
          <w:lang w:val="bg-BG"/>
        </w:rPr>
        <w:t xml:space="preserve"> Липсва опит при деца с ХМЛ под</w:t>
      </w:r>
      <w:r w:rsidR="001636FA" w:rsidRPr="00FE6AC6">
        <w:rPr>
          <w:color w:val="000000"/>
          <w:lang w:val="en-US"/>
        </w:rPr>
        <w:t> </w:t>
      </w:r>
      <w:r w:rsidR="001636FA" w:rsidRPr="00FE6AC6">
        <w:rPr>
          <w:color w:val="000000"/>
          <w:lang w:val="bg-BG"/>
        </w:rPr>
        <w:t>2</w:t>
      </w:r>
      <w:r w:rsidR="001636FA" w:rsidRPr="00FE6AC6">
        <w:rPr>
          <w:color w:val="000000"/>
          <w:lang w:val="en-US"/>
        </w:rPr>
        <w:t> </w:t>
      </w:r>
      <w:r w:rsidR="001636FA" w:rsidRPr="00FE6AC6">
        <w:rPr>
          <w:color w:val="000000"/>
          <w:lang w:val="bg-BG"/>
        </w:rPr>
        <w:t xml:space="preserve">годишна възраст </w:t>
      </w:r>
      <w:r w:rsidR="00554932" w:rsidRPr="00FE6AC6">
        <w:rPr>
          <w:color w:val="000000"/>
          <w:lang w:val="bg-BG"/>
        </w:rPr>
        <w:t xml:space="preserve">и с </w:t>
      </w:r>
      <w:r w:rsidR="00554932" w:rsidRPr="00FE6AC6">
        <w:rPr>
          <w:color w:val="000000"/>
          <w:lang w:val="en-US"/>
        </w:rPr>
        <w:t>Ph</w:t>
      </w:r>
      <w:r w:rsidR="00554932" w:rsidRPr="00FE6AC6">
        <w:rPr>
          <w:color w:val="000000"/>
          <w:lang w:val="bg-BG"/>
        </w:rPr>
        <w:t xml:space="preserve">+ОЛЛ под </w:t>
      </w:r>
      <w:r w:rsidR="00554932" w:rsidRPr="00FE6AC6">
        <w:rPr>
          <w:color w:val="000000"/>
          <w:lang w:val="bg-BG"/>
        </w:rPr>
        <w:lastRenderedPageBreak/>
        <w:t xml:space="preserve">1 годишна възраст </w:t>
      </w:r>
      <w:r w:rsidR="001636FA" w:rsidRPr="00FE6AC6">
        <w:rPr>
          <w:color w:val="000000"/>
          <w:lang w:val="bg-BG"/>
        </w:rPr>
        <w:t>(вж. точка 5.1). Опитът при деца с</w:t>
      </w:r>
      <w:r w:rsidR="008B42C7" w:rsidRPr="00FE6AC6">
        <w:rPr>
          <w:color w:val="000000"/>
          <w:szCs w:val="22"/>
          <w:lang w:val="bg-BG"/>
        </w:rPr>
        <w:t xml:space="preserve"> </w:t>
      </w:r>
      <w:r w:rsidR="00CD7E65" w:rsidRPr="00FE6AC6">
        <w:rPr>
          <w:color w:val="000000"/>
          <w:szCs w:val="22"/>
          <w:lang w:val="bg-BG"/>
        </w:rPr>
        <w:t>МДС/МПЗ</w:t>
      </w:r>
      <w:r w:rsidR="00F20712" w:rsidRPr="00FE6AC6">
        <w:rPr>
          <w:color w:val="000000"/>
          <w:szCs w:val="22"/>
          <w:lang w:val="bg-BG"/>
        </w:rPr>
        <w:t>,</w:t>
      </w:r>
      <w:r w:rsidR="008B42C7" w:rsidRPr="00FE6AC6">
        <w:rPr>
          <w:color w:val="000000"/>
          <w:szCs w:val="22"/>
          <w:lang w:val="bg-BG"/>
        </w:rPr>
        <w:t xml:space="preserve"> </w:t>
      </w:r>
      <w:r w:rsidR="00670531" w:rsidRPr="00FE6AC6">
        <w:rPr>
          <w:color w:val="000000"/>
          <w:lang w:val="bg-BG"/>
        </w:rPr>
        <w:t>ДФСП</w:t>
      </w:r>
      <w:r w:rsidR="00F20712" w:rsidRPr="00FE6AC6">
        <w:rPr>
          <w:color w:val="000000"/>
          <w:lang w:val="bg-BG"/>
        </w:rPr>
        <w:t>,</w:t>
      </w:r>
      <w:r w:rsidR="001636FA" w:rsidRPr="00FE6AC6">
        <w:rPr>
          <w:color w:val="000000"/>
          <w:lang w:val="bg-BG"/>
        </w:rPr>
        <w:t xml:space="preserve"> ГИСТ</w:t>
      </w:r>
      <w:r w:rsidR="008B42C7" w:rsidRPr="00FE6AC6">
        <w:rPr>
          <w:color w:val="000000"/>
          <w:szCs w:val="22"/>
          <w:lang w:val="bg-BG"/>
        </w:rPr>
        <w:t xml:space="preserve"> </w:t>
      </w:r>
      <w:r w:rsidR="002D34FD" w:rsidRPr="00FE6AC6">
        <w:rPr>
          <w:color w:val="000000"/>
          <w:szCs w:val="22"/>
          <w:lang w:val="bg-BG"/>
        </w:rPr>
        <w:t>и</w:t>
      </w:r>
      <w:r w:rsidR="008B42C7" w:rsidRPr="00FE6AC6">
        <w:rPr>
          <w:color w:val="000000"/>
          <w:szCs w:val="22"/>
          <w:lang w:val="bg-BG"/>
        </w:rPr>
        <w:t xml:space="preserve"> </w:t>
      </w:r>
      <w:r w:rsidR="000E16D3" w:rsidRPr="00FE6AC6">
        <w:rPr>
          <w:color w:val="000000"/>
          <w:szCs w:val="22"/>
          <w:lang w:val="bg-BG"/>
        </w:rPr>
        <w:t>ХЕС/ХЕЛ</w:t>
      </w:r>
      <w:r w:rsidR="00554932" w:rsidRPr="00FE6AC6">
        <w:rPr>
          <w:color w:val="000000"/>
          <w:szCs w:val="22"/>
          <w:lang w:val="bg-BG"/>
        </w:rPr>
        <w:t xml:space="preserve"> е много ограничен</w:t>
      </w:r>
      <w:r w:rsidR="001636FA" w:rsidRPr="00FE6AC6">
        <w:rPr>
          <w:color w:val="000000"/>
          <w:lang w:val="bg-BG"/>
        </w:rPr>
        <w:t>.</w:t>
      </w:r>
    </w:p>
    <w:p w14:paraId="3E54FBBA" w14:textId="77777777" w:rsidR="00F20712" w:rsidRPr="00FE6AC6" w:rsidRDefault="00F20712" w:rsidP="0063575E">
      <w:pPr>
        <w:widowControl w:val="0"/>
        <w:spacing w:line="240" w:lineRule="auto"/>
        <w:rPr>
          <w:color w:val="000000"/>
          <w:szCs w:val="22"/>
          <w:lang w:val="bg-BG"/>
        </w:rPr>
      </w:pPr>
    </w:p>
    <w:p w14:paraId="3E54FBBB" w14:textId="77777777" w:rsidR="00F20712" w:rsidRPr="00FE6AC6" w:rsidRDefault="00F20712" w:rsidP="0063575E">
      <w:pPr>
        <w:widowControl w:val="0"/>
        <w:spacing w:line="240" w:lineRule="auto"/>
        <w:rPr>
          <w:color w:val="000000"/>
          <w:szCs w:val="22"/>
          <w:lang w:val="bg-BG"/>
        </w:rPr>
      </w:pPr>
      <w:r w:rsidRPr="00FE6AC6">
        <w:rPr>
          <w:color w:val="000000"/>
          <w:szCs w:val="22"/>
          <w:lang w:val="bg-BG"/>
        </w:rPr>
        <w:t xml:space="preserve">Безопасността и ефикасността на иматиниб при деца с МДС/МПЗ, ДФСП, ГИСТ и ХЕС/ХЕЛ на възраст под 18 години не са установени </w:t>
      </w:r>
      <w:r w:rsidR="001F679F" w:rsidRPr="00FE6AC6">
        <w:rPr>
          <w:color w:val="000000"/>
          <w:szCs w:val="22"/>
          <w:lang w:val="bg-BG"/>
        </w:rPr>
        <w:t>в</w:t>
      </w:r>
      <w:r w:rsidRPr="00FE6AC6">
        <w:rPr>
          <w:color w:val="000000"/>
          <w:szCs w:val="22"/>
          <w:lang w:val="bg-BG"/>
        </w:rPr>
        <w:t xml:space="preserve"> клинични изпитвания. Наличните понастоящем публикувани данни са описани в точк</w:t>
      </w:r>
      <w:r w:rsidR="00802105" w:rsidRPr="00FE6AC6">
        <w:rPr>
          <w:color w:val="000000"/>
          <w:szCs w:val="22"/>
          <w:lang w:val="bg-BG"/>
        </w:rPr>
        <w:t>а</w:t>
      </w:r>
      <w:r w:rsidRPr="00FE6AC6">
        <w:rPr>
          <w:color w:val="000000"/>
          <w:szCs w:val="22"/>
          <w:lang w:val="bg-BG"/>
        </w:rPr>
        <w:t xml:space="preserve"> 5.1, </w:t>
      </w:r>
      <w:r w:rsidRPr="00FE6AC6">
        <w:rPr>
          <w:noProof/>
          <w:szCs w:val="24"/>
          <w:lang w:val="bg-BG"/>
        </w:rPr>
        <w:t>но препоръки за дозировката не могат да бъдат дадени</w:t>
      </w:r>
      <w:r w:rsidRPr="00FE6AC6">
        <w:rPr>
          <w:color w:val="000000"/>
          <w:szCs w:val="22"/>
          <w:lang w:val="bg-BG"/>
        </w:rPr>
        <w:t>.</w:t>
      </w:r>
    </w:p>
    <w:p w14:paraId="3E54FBBC" w14:textId="77777777" w:rsidR="001636FA" w:rsidRPr="00FE6AC6" w:rsidRDefault="001636FA" w:rsidP="0063575E">
      <w:pPr>
        <w:widowControl w:val="0"/>
        <w:spacing w:line="240" w:lineRule="auto"/>
        <w:rPr>
          <w:color w:val="000000"/>
          <w:lang w:val="bg-BG"/>
        </w:rPr>
      </w:pPr>
    </w:p>
    <w:p w14:paraId="3E54FBBD" w14:textId="77777777" w:rsidR="001636FA" w:rsidRPr="00FE6AC6" w:rsidRDefault="001636FA" w:rsidP="0063575E">
      <w:pPr>
        <w:widowControl w:val="0"/>
        <w:spacing w:line="240" w:lineRule="auto"/>
        <w:rPr>
          <w:color w:val="000000"/>
          <w:lang w:val="bg-BG"/>
        </w:rPr>
      </w:pPr>
      <w:r w:rsidRPr="00FE6AC6">
        <w:rPr>
          <w:i/>
          <w:color w:val="000000"/>
          <w:lang w:val="bg-BG"/>
        </w:rPr>
        <w:t>Чернодробна недостатъчност:</w:t>
      </w:r>
      <w:r w:rsidRPr="00FE6AC6">
        <w:rPr>
          <w:color w:val="000000"/>
          <w:lang w:val="bg-BG"/>
        </w:rPr>
        <w:t xml:space="preserve"> Иматиниб се метаболизира основно през черния дроб. На пациентите с леко, умерено или тежко нарушена чернодробна функция трябва да се дава минималната препоръчвана доза от</w:t>
      </w:r>
      <w:r w:rsidRPr="00FE6AC6">
        <w:rPr>
          <w:color w:val="000000"/>
          <w:lang w:val="en-US"/>
        </w:rPr>
        <w:t> </w:t>
      </w:r>
      <w:r w:rsidRPr="00FE6AC6">
        <w:rPr>
          <w:color w:val="000000"/>
          <w:lang w:val="bg-BG"/>
        </w:rPr>
        <w:t>400</w:t>
      </w:r>
      <w:r w:rsidRPr="00FE6AC6">
        <w:rPr>
          <w:color w:val="000000"/>
          <w:lang w:val="en-US"/>
        </w:rPr>
        <w:t> </w:t>
      </w:r>
      <w:r w:rsidRPr="00FE6AC6">
        <w:rPr>
          <w:color w:val="000000"/>
          <w:lang w:val="bg-BG"/>
        </w:rPr>
        <w:t xml:space="preserve">mg дневно. Дозата може да се намали, ако </w:t>
      </w:r>
      <w:r w:rsidR="00406064" w:rsidRPr="00FE6AC6">
        <w:rPr>
          <w:color w:val="000000"/>
          <w:lang w:val="bg-BG"/>
        </w:rPr>
        <w:t>не се понася</w:t>
      </w:r>
      <w:r w:rsidRPr="00FE6AC6">
        <w:rPr>
          <w:color w:val="000000"/>
          <w:lang w:val="bg-BG"/>
        </w:rPr>
        <w:t xml:space="preserve"> (вж. точки</w:t>
      </w:r>
      <w:r w:rsidRPr="00FE6AC6">
        <w:rPr>
          <w:color w:val="000000"/>
          <w:lang w:val="en-US"/>
        </w:rPr>
        <w:t> </w:t>
      </w:r>
      <w:r w:rsidRPr="00FE6AC6">
        <w:rPr>
          <w:color w:val="000000"/>
          <w:lang w:val="bg-BG"/>
        </w:rPr>
        <w:t>4.4, 4.8</w:t>
      </w:r>
      <w:r w:rsidRPr="00FE6AC6">
        <w:rPr>
          <w:rFonts w:ascii="TimesNewRoman" w:hAnsi="TimesNewRoman"/>
          <w:color w:val="000000"/>
          <w:lang w:val="en-US"/>
        </w:rPr>
        <w:t> </w:t>
      </w:r>
      <w:r w:rsidRPr="00FE6AC6">
        <w:rPr>
          <w:color w:val="000000"/>
          <w:lang w:val="bg-BG"/>
        </w:rPr>
        <w:t>и</w:t>
      </w:r>
      <w:r w:rsidRPr="00FE6AC6">
        <w:rPr>
          <w:color w:val="000000"/>
          <w:lang w:val="en-US"/>
        </w:rPr>
        <w:t> </w:t>
      </w:r>
      <w:r w:rsidRPr="00FE6AC6">
        <w:rPr>
          <w:color w:val="000000"/>
          <w:lang w:val="bg-BG"/>
        </w:rPr>
        <w:t>5.2).</w:t>
      </w:r>
    </w:p>
    <w:p w14:paraId="3E54FBBE" w14:textId="77777777" w:rsidR="001636FA" w:rsidRPr="00FE6AC6" w:rsidRDefault="001636FA" w:rsidP="0063575E">
      <w:pPr>
        <w:widowControl w:val="0"/>
        <w:spacing w:line="240" w:lineRule="auto"/>
        <w:rPr>
          <w:color w:val="000000"/>
          <w:lang w:val="bg-BG"/>
        </w:rPr>
      </w:pPr>
    </w:p>
    <w:p w14:paraId="3E54FBBF" w14:textId="77777777" w:rsidR="001636FA" w:rsidRPr="00FE6AC6" w:rsidRDefault="001636FA" w:rsidP="0063575E">
      <w:pPr>
        <w:keepNext/>
        <w:keepLines/>
        <w:widowControl w:val="0"/>
        <w:spacing w:line="240" w:lineRule="auto"/>
        <w:rPr>
          <w:color w:val="000000"/>
          <w:lang w:val="de-CH"/>
        </w:rPr>
      </w:pPr>
      <w:r w:rsidRPr="00FE6AC6">
        <w:rPr>
          <w:color w:val="000000"/>
          <w:lang w:val="bg-BG"/>
        </w:rPr>
        <w:t>Класификация на чернодробната дисфункция:</w:t>
      </w:r>
    </w:p>
    <w:p w14:paraId="3E54FBC0" w14:textId="77777777" w:rsidR="001636FA" w:rsidRPr="00FE6AC6" w:rsidRDefault="001636FA" w:rsidP="0063575E">
      <w:pPr>
        <w:keepNext/>
        <w:keepLines/>
        <w:widowControl w:val="0"/>
        <w:spacing w:line="240" w:lineRule="auto"/>
        <w:rPr>
          <w:color w:val="000000"/>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4928"/>
      </w:tblGrid>
      <w:tr w:rsidR="001636FA" w:rsidRPr="00FE6AC6" w14:paraId="3E54FBC3" w14:textId="77777777" w:rsidTr="008143B1">
        <w:trPr>
          <w:cantSplit/>
        </w:trPr>
        <w:tc>
          <w:tcPr>
            <w:tcW w:w="4219" w:type="dxa"/>
          </w:tcPr>
          <w:p w14:paraId="3E54FBC1" w14:textId="77777777" w:rsidR="001636FA" w:rsidRPr="00FE6AC6" w:rsidRDefault="001636FA" w:rsidP="0063575E">
            <w:pPr>
              <w:keepNext/>
              <w:keepLines/>
              <w:widowControl w:val="0"/>
              <w:spacing w:line="240" w:lineRule="auto"/>
              <w:rPr>
                <w:color w:val="000000"/>
                <w:lang w:val="bg-BG"/>
              </w:rPr>
            </w:pPr>
            <w:r w:rsidRPr="00FE6AC6">
              <w:rPr>
                <w:color w:val="000000"/>
                <w:lang w:val="bg-BG"/>
              </w:rPr>
              <w:t>Увреждане на чернодробната функция</w:t>
            </w:r>
          </w:p>
        </w:tc>
        <w:tc>
          <w:tcPr>
            <w:tcW w:w="4928" w:type="dxa"/>
          </w:tcPr>
          <w:p w14:paraId="3E54FBC2" w14:textId="77777777" w:rsidR="001636FA" w:rsidRPr="00FE6AC6" w:rsidRDefault="001636FA" w:rsidP="0063575E">
            <w:pPr>
              <w:keepNext/>
              <w:keepLines/>
              <w:widowControl w:val="0"/>
              <w:spacing w:line="240" w:lineRule="auto"/>
              <w:rPr>
                <w:color w:val="000000"/>
                <w:lang w:val="bg-BG"/>
              </w:rPr>
            </w:pPr>
            <w:r w:rsidRPr="00FE6AC6">
              <w:rPr>
                <w:color w:val="000000"/>
                <w:lang w:val="bg-BG"/>
              </w:rPr>
              <w:t>Функционални чернодробни изследвания</w:t>
            </w:r>
          </w:p>
        </w:tc>
      </w:tr>
      <w:tr w:rsidR="001636FA" w:rsidRPr="004015AA" w14:paraId="3E54FBC7" w14:textId="77777777" w:rsidTr="008143B1">
        <w:trPr>
          <w:cantSplit/>
        </w:trPr>
        <w:tc>
          <w:tcPr>
            <w:tcW w:w="4219" w:type="dxa"/>
          </w:tcPr>
          <w:p w14:paraId="3E54FBC4" w14:textId="77777777" w:rsidR="001636FA" w:rsidRPr="00FE6AC6" w:rsidRDefault="001636FA" w:rsidP="0063575E">
            <w:pPr>
              <w:keepNext/>
              <w:keepLines/>
              <w:widowControl w:val="0"/>
              <w:spacing w:line="240" w:lineRule="auto"/>
              <w:rPr>
                <w:color w:val="000000"/>
                <w:lang w:val="bg-BG"/>
              </w:rPr>
            </w:pPr>
            <w:r w:rsidRPr="00FE6AC6">
              <w:rPr>
                <w:color w:val="000000"/>
                <w:lang w:val="bg-BG"/>
              </w:rPr>
              <w:t>Леко</w:t>
            </w:r>
          </w:p>
        </w:tc>
        <w:tc>
          <w:tcPr>
            <w:tcW w:w="4928" w:type="dxa"/>
          </w:tcPr>
          <w:p w14:paraId="3E54FBC5" w14:textId="77777777" w:rsidR="001636FA" w:rsidRPr="00FE6AC6" w:rsidRDefault="001636FA" w:rsidP="0063575E">
            <w:pPr>
              <w:keepNext/>
              <w:keepLines/>
              <w:widowControl w:val="0"/>
              <w:spacing w:line="240" w:lineRule="auto"/>
              <w:rPr>
                <w:color w:val="000000"/>
                <w:lang w:val="bg-BG"/>
              </w:rPr>
            </w:pPr>
            <w:r w:rsidRPr="00FE6AC6">
              <w:rPr>
                <w:color w:val="000000"/>
                <w:lang w:val="bg-BG"/>
              </w:rPr>
              <w:t>Общ билирубин: = 1,5</w:t>
            </w:r>
            <w:r w:rsidRPr="00FE6AC6">
              <w:rPr>
                <w:color w:val="000000"/>
                <w:lang w:val="en-US"/>
              </w:rPr>
              <w:t> </w:t>
            </w:r>
            <w:r w:rsidRPr="00FE6AC6">
              <w:rPr>
                <w:color w:val="000000"/>
                <w:lang w:val="bg-BG"/>
              </w:rPr>
              <w:t>ULN</w:t>
            </w:r>
          </w:p>
          <w:p w14:paraId="3E54FBC6" w14:textId="77777777" w:rsidR="001636FA" w:rsidRPr="00FE6AC6" w:rsidRDefault="001636FA" w:rsidP="0063575E">
            <w:pPr>
              <w:keepNext/>
              <w:keepLines/>
              <w:widowControl w:val="0"/>
              <w:spacing w:line="240" w:lineRule="auto"/>
              <w:rPr>
                <w:color w:val="000000"/>
                <w:lang w:val="bg-BG"/>
              </w:rPr>
            </w:pPr>
            <w:r w:rsidRPr="00FE6AC6">
              <w:rPr>
                <w:color w:val="000000"/>
                <w:lang w:val="bg-BG"/>
              </w:rPr>
              <w:t>AST: &gt;ULN (може да е нормален или &lt;ULN, ако общият билирубин е &gt;ULN)</w:t>
            </w:r>
          </w:p>
        </w:tc>
      </w:tr>
      <w:tr w:rsidR="001636FA" w:rsidRPr="004015AA" w14:paraId="3E54FBCB" w14:textId="77777777" w:rsidTr="008143B1">
        <w:trPr>
          <w:cantSplit/>
        </w:trPr>
        <w:tc>
          <w:tcPr>
            <w:tcW w:w="4219" w:type="dxa"/>
          </w:tcPr>
          <w:p w14:paraId="3E54FBC8" w14:textId="77777777" w:rsidR="001636FA" w:rsidRPr="00FE6AC6" w:rsidRDefault="001636FA" w:rsidP="0063575E">
            <w:pPr>
              <w:keepNext/>
              <w:keepLines/>
              <w:widowControl w:val="0"/>
              <w:spacing w:line="240" w:lineRule="auto"/>
              <w:rPr>
                <w:color w:val="000000"/>
                <w:lang w:val="bg-BG"/>
              </w:rPr>
            </w:pPr>
            <w:r w:rsidRPr="00FE6AC6">
              <w:rPr>
                <w:color w:val="000000"/>
                <w:lang w:val="bg-BG"/>
              </w:rPr>
              <w:t>Умерено</w:t>
            </w:r>
          </w:p>
        </w:tc>
        <w:tc>
          <w:tcPr>
            <w:tcW w:w="4928" w:type="dxa"/>
          </w:tcPr>
          <w:p w14:paraId="3E54FBC9" w14:textId="77777777" w:rsidR="001636FA" w:rsidRPr="00FE6AC6" w:rsidRDefault="001636FA" w:rsidP="0063575E">
            <w:pPr>
              <w:keepNext/>
              <w:keepLines/>
              <w:widowControl w:val="0"/>
              <w:spacing w:line="240" w:lineRule="auto"/>
              <w:rPr>
                <w:color w:val="000000"/>
                <w:lang w:val="bg-BG"/>
              </w:rPr>
            </w:pPr>
            <w:r w:rsidRPr="00FE6AC6">
              <w:rPr>
                <w:color w:val="000000"/>
                <w:lang w:val="bg-BG"/>
              </w:rPr>
              <w:t>Общ билирубин: &gt;1,5</w:t>
            </w:r>
            <w:r w:rsidRPr="00FE6AC6">
              <w:rPr>
                <w:rFonts w:ascii="TimesNewRoman" w:hAnsi="TimesNewRoman"/>
                <w:color w:val="000000"/>
                <w:lang w:val="bg-BG"/>
              </w:rPr>
              <w:noBreakHyphen/>
            </w:r>
            <w:r w:rsidRPr="00FE6AC6">
              <w:rPr>
                <w:color w:val="000000"/>
                <w:lang w:val="bg-BG"/>
              </w:rPr>
              <w:t>3,0</w:t>
            </w:r>
            <w:r w:rsidRPr="00FE6AC6">
              <w:rPr>
                <w:color w:val="000000"/>
                <w:lang w:val="en-US"/>
              </w:rPr>
              <w:t> </w:t>
            </w:r>
            <w:r w:rsidRPr="00FE6AC6">
              <w:rPr>
                <w:color w:val="000000"/>
                <w:lang w:val="bg-BG"/>
              </w:rPr>
              <w:t>ULN</w:t>
            </w:r>
          </w:p>
          <w:p w14:paraId="3E54FBCA" w14:textId="77777777" w:rsidR="001636FA" w:rsidRPr="00FE6AC6" w:rsidRDefault="001636FA" w:rsidP="0063575E">
            <w:pPr>
              <w:keepNext/>
              <w:keepLines/>
              <w:widowControl w:val="0"/>
              <w:spacing w:line="240" w:lineRule="auto"/>
              <w:rPr>
                <w:color w:val="000000"/>
                <w:lang w:val="bg-BG"/>
              </w:rPr>
            </w:pPr>
            <w:r w:rsidRPr="00FE6AC6">
              <w:rPr>
                <w:color w:val="000000"/>
                <w:lang w:val="bg-BG"/>
              </w:rPr>
              <w:t>AST: всяка стойност</w:t>
            </w:r>
          </w:p>
        </w:tc>
      </w:tr>
      <w:tr w:rsidR="001636FA" w:rsidRPr="004015AA" w14:paraId="3E54FBCF" w14:textId="77777777" w:rsidTr="008143B1">
        <w:trPr>
          <w:cantSplit/>
        </w:trPr>
        <w:tc>
          <w:tcPr>
            <w:tcW w:w="4219" w:type="dxa"/>
            <w:tcBorders>
              <w:bottom w:val="single" w:sz="4" w:space="0" w:color="auto"/>
            </w:tcBorders>
          </w:tcPr>
          <w:p w14:paraId="3E54FBCC" w14:textId="77777777" w:rsidR="001636FA" w:rsidRPr="00FE6AC6" w:rsidRDefault="001636FA" w:rsidP="0063575E">
            <w:pPr>
              <w:keepNext/>
              <w:keepLines/>
              <w:widowControl w:val="0"/>
              <w:spacing w:line="240" w:lineRule="auto"/>
              <w:rPr>
                <w:color w:val="000000"/>
                <w:lang w:val="bg-BG"/>
              </w:rPr>
            </w:pPr>
            <w:r w:rsidRPr="00FE6AC6">
              <w:rPr>
                <w:color w:val="000000"/>
                <w:lang w:val="bg-BG"/>
              </w:rPr>
              <w:t>Тежко</w:t>
            </w:r>
          </w:p>
        </w:tc>
        <w:tc>
          <w:tcPr>
            <w:tcW w:w="4928" w:type="dxa"/>
            <w:tcBorders>
              <w:bottom w:val="single" w:sz="4" w:space="0" w:color="auto"/>
            </w:tcBorders>
          </w:tcPr>
          <w:p w14:paraId="3E54FBCD" w14:textId="77777777" w:rsidR="001636FA" w:rsidRPr="00FE6AC6" w:rsidRDefault="001636FA" w:rsidP="0063575E">
            <w:pPr>
              <w:keepNext/>
              <w:keepLines/>
              <w:widowControl w:val="0"/>
              <w:spacing w:line="240" w:lineRule="auto"/>
              <w:rPr>
                <w:color w:val="000000"/>
                <w:lang w:val="bg-BG"/>
              </w:rPr>
            </w:pPr>
            <w:r w:rsidRPr="00FE6AC6">
              <w:rPr>
                <w:color w:val="000000"/>
                <w:lang w:val="bg-BG"/>
              </w:rPr>
              <w:t>Общ билирубин: &gt;3,0</w:t>
            </w:r>
            <w:r w:rsidRPr="00FE6AC6">
              <w:rPr>
                <w:color w:val="000000"/>
                <w:lang w:val="bg-BG"/>
              </w:rPr>
              <w:noBreakHyphen/>
              <w:t>10,0</w:t>
            </w:r>
            <w:r w:rsidRPr="00FE6AC6">
              <w:rPr>
                <w:color w:val="000000"/>
                <w:lang w:val="en-US"/>
              </w:rPr>
              <w:t> </w:t>
            </w:r>
            <w:r w:rsidRPr="00FE6AC6">
              <w:rPr>
                <w:color w:val="000000"/>
                <w:lang w:val="bg-BG"/>
              </w:rPr>
              <w:t>ULN</w:t>
            </w:r>
          </w:p>
          <w:p w14:paraId="3E54FBCE" w14:textId="77777777" w:rsidR="001636FA" w:rsidRPr="00FE6AC6" w:rsidRDefault="001636FA" w:rsidP="0063575E">
            <w:pPr>
              <w:keepNext/>
              <w:keepLines/>
              <w:widowControl w:val="0"/>
              <w:spacing w:line="240" w:lineRule="auto"/>
              <w:rPr>
                <w:color w:val="000000"/>
                <w:lang w:val="bg-BG"/>
              </w:rPr>
            </w:pPr>
            <w:r w:rsidRPr="00FE6AC6">
              <w:rPr>
                <w:color w:val="000000"/>
                <w:lang w:val="bg-BG"/>
              </w:rPr>
              <w:t>AST: всяка стойност</w:t>
            </w:r>
          </w:p>
        </w:tc>
      </w:tr>
      <w:tr w:rsidR="001636FA" w:rsidRPr="00FE6AC6" w14:paraId="3E54FBD2" w14:textId="77777777" w:rsidTr="008143B1">
        <w:trPr>
          <w:cantSplit/>
        </w:trPr>
        <w:tc>
          <w:tcPr>
            <w:tcW w:w="9147" w:type="dxa"/>
            <w:gridSpan w:val="2"/>
            <w:tcBorders>
              <w:left w:val="nil"/>
              <w:bottom w:val="nil"/>
              <w:right w:val="nil"/>
            </w:tcBorders>
          </w:tcPr>
          <w:p w14:paraId="3E54FBD0" w14:textId="77777777" w:rsidR="001636FA" w:rsidRPr="00FE6AC6" w:rsidRDefault="001636FA" w:rsidP="008143B1">
            <w:pPr>
              <w:widowControl w:val="0"/>
              <w:spacing w:line="240" w:lineRule="auto"/>
              <w:rPr>
                <w:color w:val="000000"/>
                <w:lang w:val="bg-BG"/>
              </w:rPr>
            </w:pPr>
            <w:r w:rsidRPr="00FE6AC6">
              <w:rPr>
                <w:color w:val="000000"/>
                <w:lang w:val="bg-BG"/>
              </w:rPr>
              <w:t>ULN = горна граница на нормата за лечебното заведение</w:t>
            </w:r>
          </w:p>
          <w:p w14:paraId="3E54FBD1" w14:textId="77777777" w:rsidR="001636FA" w:rsidRPr="00FE6AC6" w:rsidRDefault="001636FA" w:rsidP="008143B1">
            <w:pPr>
              <w:widowControl w:val="0"/>
              <w:spacing w:line="240" w:lineRule="auto"/>
              <w:rPr>
                <w:color w:val="000000"/>
                <w:lang w:val="bg-BG"/>
              </w:rPr>
            </w:pPr>
            <w:r w:rsidRPr="00FE6AC6">
              <w:rPr>
                <w:color w:val="000000"/>
                <w:lang w:val="bg-BG"/>
              </w:rPr>
              <w:t>AST = аспартат-аминотрансфераза</w:t>
            </w:r>
          </w:p>
        </w:tc>
      </w:tr>
    </w:tbl>
    <w:p w14:paraId="3E54FBD3" w14:textId="77777777" w:rsidR="001636FA" w:rsidRPr="00FE6AC6" w:rsidRDefault="001636FA" w:rsidP="0063575E">
      <w:pPr>
        <w:widowControl w:val="0"/>
        <w:spacing w:line="240" w:lineRule="auto"/>
        <w:rPr>
          <w:color w:val="000000"/>
          <w:lang w:val="bg-BG"/>
        </w:rPr>
      </w:pPr>
    </w:p>
    <w:p w14:paraId="3E54FBD4" w14:textId="77777777" w:rsidR="008B42C7" w:rsidRPr="00FE6AC6" w:rsidRDefault="001636FA" w:rsidP="0063575E">
      <w:pPr>
        <w:widowControl w:val="0"/>
        <w:spacing w:line="240" w:lineRule="auto"/>
        <w:rPr>
          <w:color w:val="000000"/>
          <w:lang w:val="bg-BG"/>
        </w:rPr>
      </w:pPr>
      <w:r w:rsidRPr="00FE6AC6">
        <w:rPr>
          <w:i/>
          <w:color w:val="000000"/>
          <w:lang w:val="bg-BG"/>
        </w:rPr>
        <w:t>Бъбречна недостатъчност:</w:t>
      </w:r>
      <w:r w:rsidRPr="00FE6AC6">
        <w:rPr>
          <w:color w:val="000000"/>
          <w:lang w:val="bg-BG"/>
        </w:rPr>
        <w:t xml:space="preserve"> </w:t>
      </w:r>
      <w:r w:rsidR="003B14BC" w:rsidRPr="00FE6AC6">
        <w:rPr>
          <w:color w:val="000000"/>
          <w:lang w:val="bg-BG"/>
        </w:rPr>
        <w:t>При пациентите с бъбречна</w:t>
      </w:r>
      <w:r w:rsidR="00670531" w:rsidRPr="00FE6AC6">
        <w:rPr>
          <w:color w:val="000000"/>
          <w:lang w:val="bg-BG"/>
        </w:rPr>
        <w:t xml:space="preserve"> дисфункция</w:t>
      </w:r>
      <w:r w:rsidR="003B14BC" w:rsidRPr="00FE6AC6">
        <w:rPr>
          <w:rFonts w:eastAsia="SimSun"/>
          <w:color w:val="000000"/>
          <w:lang w:val="bg-BG" w:eastAsia="zh-CN"/>
        </w:rPr>
        <w:t xml:space="preserve"> </w:t>
      </w:r>
      <w:r w:rsidR="00933998" w:rsidRPr="00FE6AC6">
        <w:rPr>
          <w:rFonts w:eastAsia="SimSun"/>
          <w:color w:val="000000"/>
          <w:lang w:val="bg-BG" w:eastAsia="zh-CN"/>
        </w:rPr>
        <w:t>или при пациенти на диализа</w:t>
      </w:r>
      <w:r w:rsidR="00933998" w:rsidRPr="00FE6AC6">
        <w:rPr>
          <w:snapToGrid w:val="0"/>
          <w:color w:val="000000"/>
          <w:szCs w:val="22"/>
          <w:lang w:val="bg-BG"/>
        </w:rPr>
        <w:t xml:space="preserve"> </w:t>
      </w:r>
      <w:r w:rsidR="00596D01" w:rsidRPr="00FE6AC6">
        <w:rPr>
          <w:snapToGrid w:val="0"/>
          <w:color w:val="000000"/>
          <w:szCs w:val="22"/>
          <w:lang w:val="bg-BG"/>
        </w:rPr>
        <w:t>трябва</w:t>
      </w:r>
      <w:r w:rsidR="003B14BC" w:rsidRPr="00FE6AC6">
        <w:rPr>
          <w:rFonts w:eastAsia="SimSun"/>
          <w:color w:val="000000"/>
          <w:lang w:val="bg-BG" w:eastAsia="zh-CN"/>
        </w:rPr>
        <w:t xml:space="preserve"> да се прилага</w:t>
      </w:r>
      <w:r w:rsidR="00EC0EB2" w:rsidRPr="00FE6AC6">
        <w:rPr>
          <w:rFonts w:eastAsia="SimSun"/>
          <w:color w:val="000000"/>
          <w:lang w:val="bg-BG" w:eastAsia="zh-CN"/>
        </w:rPr>
        <w:t xml:space="preserve"> </w:t>
      </w:r>
      <w:r w:rsidR="003B14BC" w:rsidRPr="00FE6AC6">
        <w:rPr>
          <w:rFonts w:eastAsia="SimSun"/>
          <w:color w:val="000000"/>
          <w:lang w:val="bg-BG" w:eastAsia="zh-CN"/>
        </w:rPr>
        <w:t>минималната препоръчвана доза от 400</w:t>
      </w:r>
      <w:r w:rsidR="003B14BC" w:rsidRPr="00FE6AC6">
        <w:rPr>
          <w:rFonts w:eastAsia="SimSun"/>
          <w:color w:val="000000"/>
          <w:lang w:eastAsia="zh-CN"/>
        </w:rPr>
        <w:t> mg</w:t>
      </w:r>
      <w:r w:rsidR="003B14BC" w:rsidRPr="00FE6AC6">
        <w:rPr>
          <w:rFonts w:eastAsia="SimSun"/>
          <w:color w:val="000000"/>
          <w:lang w:val="bg-BG" w:eastAsia="zh-CN"/>
        </w:rPr>
        <w:t xml:space="preserve"> дневно като начална доза. </w:t>
      </w:r>
      <w:r w:rsidR="004D415E" w:rsidRPr="00FE6AC6">
        <w:rPr>
          <w:color w:val="000000"/>
          <w:szCs w:val="22"/>
          <w:lang w:val="bg-BG"/>
        </w:rPr>
        <w:t>Все пак при тези пациенти</w:t>
      </w:r>
      <w:r w:rsidR="003B14BC" w:rsidRPr="00FE6AC6">
        <w:rPr>
          <w:color w:val="000000"/>
          <w:szCs w:val="22"/>
          <w:lang w:val="bg-BG"/>
        </w:rPr>
        <w:t xml:space="preserve"> </w:t>
      </w:r>
      <w:r w:rsidRPr="00FE6AC6">
        <w:rPr>
          <w:color w:val="000000"/>
          <w:lang w:val="bg-BG"/>
        </w:rPr>
        <w:t>се препоръчва предпазливо поведение.</w:t>
      </w:r>
      <w:r w:rsidR="004D415E" w:rsidRPr="00FE6AC6">
        <w:rPr>
          <w:color w:val="000000"/>
          <w:lang w:val="bg-BG"/>
        </w:rPr>
        <w:t xml:space="preserve"> Дозата може да бъде понижена, ако не се понася</w:t>
      </w:r>
      <w:r w:rsidR="007B039F" w:rsidRPr="00FE6AC6">
        <w:rPr>
          <w:color w:val="000000"/>
          <w:lang w:val="bg-BG"/>
        </w:rPr>
        <w:t>. Ако се понася добре, дозата може да бъде</w:t>
      </w:r>
      <w:r w:rsidR="004D415E" w:rsidRPr="00FE6AC6">
        <w:rPr>
          <w:color w:val="000000"/>
          <w:lang w:val="bg-BG"/>
        </w:rPr>
        <w:t xml:space="preserve"> повишена при липса на ефикасност</w:t>
      </w:r>
      <w:r w:rsidR="008B42C7" w:rsidRPr="00FE6AC6">
        <w:rPr>
          <w:color w:val="000000"/>
          <w:lang w:val="bg-BG"/>
        </w:rPr>
        <w:t xml:space="preserve"> (</w:t>
      </w:r>
      <w:r w:rsidR="004D415E" w:rsidRPr="00FE6AC6">
        <w:rPr>
          <w:color w:val="000000"/>
          <w:lang w:val="bg-BG"/>
        </w:rPr>
        <w:t>вж. точки</w:t>
      </w:r>
      <w:r w:rsidR="008B42C7" w:rsidRPr="00FE6AC6">
        <w:rPr>
          <w:color w:val="000000"/>
          <w:lang w:val="bg-BG"/>
        </w:rPr>
        <w:t xml:space="preserve"> 4.4 </w:t>
      </w:r>
      <w:r w:rsidR="004D415E" w:rsidRPr="00FE6AC6">
        <w:rPr>
          <w:color w:val="000000"/>
          <w:lang w:val="bg-BG"/>
        </w:rPr>
        <w:t>и</w:t>
      </w:r>
      <w:r w:rsidR="008B42C7" w:rsidRPr="00FE6AC6">
        <w:rPr>
          <w:color w:val="000000"/>
          <w:lang w:val="bg-BG"/>
        </w:rPr>
        <w:t xml:space="preserve"> 5.2).</w:t>
      </w:r>
    </w:p>
    <w:p w14:paraId="3E54FBD5" w14:textId="77777777" w:rsidR="001636FA" w:rsidRPr="00FE6AC6" w:rsidRDefault="001636FA" w:rsidP="0063575E">
      <w:pPr>
        <w:widowControl w:val="0"/>
        <w:spacing w:line="240" w:lineRule="auto"/>
        <w:rPr>
          <w:color w:val="000000"/>
          <w:lang w:val="bg-BG"/>
        </w:rPr>
      </w:pPr>
    </w:p>
    <w:p w14:paraId="3E54FBD6" w14:textId="77777777" w:rsidR="001636FA" w:rsidRPr="00FE6AC6" w:rsidRDefault="00C117D7" w:rsidP="0063575E">
      <w:pPr>
        <w:widowControl w:val="0"/>
        <w:spacing w:line="240" w:lineRule="auto"/>
        <w:rPr>
          <w:color w:val="000000"/>
          <w:lang w:val="bg-BG"/>
        </w:rPr>
      </w:pPr>
      <w:r w:rsidRPr="00FE6AC6">
        <w:rPr>
          <w:i/>
          <w:color w:val="000000"/>
          <w:lang w:val="bg-BG"/>
        </w:rPr>
        <w:t xml:space="preserve">Хора в старческа </w:t>
      </w:r>
      <w:r w:rsidR="00D87118" w:rsidRPr="00FE6AC6">
        <w:rPr>
          <w:i/>
          <w:color w:val="000000"/>
          <w:lang w:val="bg-BG"/>
        </w:rPr>
        <w:t>възраст</w:t>
      </w:r>
      <w:r w:rsidR="001636FA" w:rsidRPr="00FE6AC6">
        <w:rPr>
          <w:i/>
          <w:color w:val="000000"/>
          <w:lang w:val="bg-BG"/>
        </w:rPr>
        <w:t>:</w:t>
      </w:r>
      <w:r w:rsidR="001636FA" w:rsidRPr="00FE6AC6">
        <w:rPr>
          <w:color w:val="000000"/>
          <w:lang w:val="bg-BG"/>
        </w:rPr>
        <w:t xml:space="preserve"> Фармакокинетиката на иматиниб не е изследвана специално при </w:t>
      </w:r>
      <w:r w:rsidR="00C63DDA" w:rsidRPr="00FE6AC6">
        <w:rPr>
          <w:color w:val="000000"/>
          <w:lang w:val="bg-BG"/>
        </w:rPr>
        <w:t>хора</w:t>
      </w:r>
      <w:r w:rsidR="001636FA" w:rsidRPr="00FE6AC6">
        <w:rPr>
          <w:color w:val="000000"/>
          <w:lang w:val="bg-BG"/>
        </w:rPr>
        <w:t xml:space="preserve"> в </w:t>
      </w:r>
      <w:r w:rsidRPr="00FE6AC6">
        <w:rPr>
          <w:color w:val="000000"/>
          <w:lang w:val="bg-BG"/>
        </w:rPr>
        <w:t>старческа</w:t>
      </w:r>
      <w:r w:rsidR="001636FA" w:rsidRPr="00FE6AC6">
        <w:rPr>
          <w:color w:val="000000"/>
          <w:lang w:val="bg-BG"/>
        </w:rPr>
        <w:t xml:space="preserve"> възраст. Не се наблюдават никакви възрастови различия във фармакокинетиката при възрастни пациенти в условията на клинични проучвания, при които над</w:t>
      </w:r>
      <w:r w:rsidR="001636FA" w:rsidRPr="00FE6AC6">
        <w:rPr>
          <w:color w:val="000000"/>
          <w:lang w:val="en-US"/>
        </w:rPr>
        <w:t> </w:t>
      </w:r>
      <w:r w:rsidR="001636FA" w:rsidRPr="00FE6AC6">
        <w:rPr>
          <w:color w:val="000000"/>
          <w:lang w:val="bg-BG"/>
        </w:rPr>
        <w:t>20% от пациентите са на възраст на</w:t>
      </w:r>
      <w:r w:rsidR="001F679F" w:rsidRPr="00FE6AC6">
        <w:rPr>
          <w:color w:val="000000"/>
          <w:lang w:val="bg-BG"/>
        </w:rPr>
        <w:t xml:space="preserve"> или на</w:t>
      </w:r>
      <w:r w:rsidR="001636FA" w:rsidRPr="00FE6AC6">
        <w:rPr>
          <w:color w:val="000000"/>
          <w:lang w:val="bg-BG"/>
        </w:rPr>
        <w:t>д</w:t>
      </w:r>
      <w:r w:rsidR="001636FA" w:rsidRPr="00FE6AC6">
        <w:rPr>
          <w:color w:val="000000"/>
          <w:lang w:val="en-US"/>
        </w:rPr>
        <w:t> </w:t>
      </w:r>
      <w:r w:rsidR="001636FA" w:rsidRPr="00FE6AC6">
        <w:rPr>
          <w:color w:val="000000"/>
          <w:lang w:val="bg-BG"/>
        </w:rPr>
        <w:t>65</w:t>
      </w:r>
      <w:r w:rsidR="001636FA" w:rsidRPr="00FE6AC6">
        <w:rPr>
          <w:color w:val="000000"/>
          <w:lang w:val="en-US"/>
        </w:rPr>
        <w:t> </w:t>
      </w:r>
      <w:r w:rsidR="001636FA" w:rsidRPr="00FE6AC6">
        <w:rPr>
          <w:color w:val="000000"/>
          <w:lang w:val="bg-BG"/>
        </w:rPr>
        <w:t xml:space="preserve">години. Не са необходими никакви специални препоръки за дозата при </w:t>
      </w:r>
      <w:r w:rsidR="00765CDD" w:rsidRPr="00FE6AC6">
        <w:rPr>
          <w:color w:val="000000"/>
          <w:lang w:val="bg-BG"/>
        </w:rPr>
        <w:t>хора</w:t>
      </w:r>
      <w:r w:rsidR="001636FA" w:rsidRPr="00FE6AC6">
        <w:rPr>
          <w:color w:val="000000"/>
          <w:lang w:val="bg-BG"/>
        </w:rPr>
        <w:t xml:space="preserve"> в </w:t>
      </w:r>
      <w:r w:rsidRPr="00FE6AC6">
        <w:rPr>
          <w:color w:val="000000"/>
          <w:lang w:val="bg-BG"/>
        </w:rPr>
        <w:t>старческа</w:t>
      </w:r>
      <w:r w:rsidR="001636FA" w:rsidRPr="00FE6AC6">
        <w:rPr>
          <w:color w:val="000000"/>
          <w:lang w:val="bg-BG"/>
        </w:rPr>
        <w:t xml:space="preserve"> възраст.</w:t>
      </w:r>
    </w:p>
    <w:p w14:paraId="3E54FBD7" w14:textId="77777777" w:rsidR="001636FA" w:rsidRPr="00FE6AC6" w:rsidRDefault="001636FA" w:rsidP="0063575E">
      <w:pPr>
        <w:widowControl w:val="0"/>
        <w:tabs>
          <w:tab w:val="clear" w:pos="567"/>
        </w:tabs>
        <w:spacing w:line="240" w:lineRule="auto"/>
        <w:rPr>
          <w:color w:val="000000"/>
          <w:lang w:val="bg-BG"/>
        </w:rPr>
      </w:pPr>
    </w:p>
    <w:p w14:paraId="3E54FBD8" w14:textId="77777777" w:rsidR="001636FA" w:rsidRPr="00FE6AC6" w:rsidRDefault="001636FA" w:rsidP="0063575E">
      <w:pPr>
        <w:keepNext/>
        <w:widowControl w:val="0"/>
        <w:spacing w:line="240" w:lineRule="auto"/>
        <w:ind w:left="567" w:hanging="567"/>
        <w:rPr>
          <w:color w:val="000000"/>
          <w:lang w:val="bg-BG"/>
        </w:rPr>
      </w:pPr>
      <w:r w:rsidRPr="00FE6AC6">
        <w:rPr>
          <w:b/>
          <w:color w:val="000000"/>
          <w:lang w:val="bg-BG"/>
        </w:rPr>
        <w:t>4.3</w:t>
      </w:r>
      <w:r w:rsidRPr="00FE6AC6">
        <w:rPr>
          <w:b/>
          <w:color w:val="000000"/>
          <w:lang w:val="bg-BG"/>
        </w:rPr>
        <w:tab/>
        <w:t>Противопоказания</w:t>
      </w:r>
    </w:p>
    <w:p w14:paraId="3E54FBD9" w14:textId="77777777" w:rsidR="001636FA" w:rsidRPr="00FE6AC6" w:rsidRDefault="001636FA" w:rsidP="0063575E">
      <w:pPr>
        <w:keepNext/>
        <w:widowControl w:val="0"/>
        <w:tabs>
          <w:tab w:val="clear" w:pos="567"/>
        </w:tabs>
        <w:spacing w:line="240" w:lineRule="auto"/>
        <w:rPr>
          <w:color w:val="000000"/>
          <w:lang w:val="bg-BG"/>
        </w:rPr>
      </w:pPr>
    </w:p>
    <w:p w14:paraId="3E54FBDA" w14:textId="77777777" w:rsidR="001636FA" w:rsidRPr="00FE6AC6" w:rsidRDefault="001636FA" w:rsidP="0063575E">
      <w:pPr>
        <w:widowControl w:val="0"/>
        <w:spacing w:line="240" w:lineRule="auto"/>
        <w:rPr>
          <w:color w:val="000000"/>
          <w:lang w:val="bg-BG"/>
        </w:rPr>
      </w:pPr>
      <w:r w:rsidRPr="00FE6AC6">
        <w:rPr>
          <w:color w:val="000000"/>
          <w:lang w:val="bg-BG"/>
        </w:rPr>
        <w:t xml:space="preserve">Свръхчувствителност към активното вещество или </w:t>
      </w:r>
      <w:r w:rsidR="006A0ED3" w:rsidRPr="00FE6AC6">
        <w:rPr>
          <w:color w:val="000000"/>
          <w:lang w:val="bg-BG"/>
        </w:rPr>
        <w:t xml:space="preserve">към </w:t>
      </w:r>
      <w:r w:rsidRPr="00FE6AC6">
        <w:rPr>
          <w:color w:val="000000"/>
          <w:lang w:val="bg-BG"/>
        </w:rPr>
        <w:t>някое от помощните вещества</w:t>
      </w:r>
      <w:r w:rsidR="00161116" w:rsidRPr="00FE6AC6">
        <w:rPr>
          <w:color w:val="000000"/>
          <w:lang w:val="bg-BG"/>
        </w:rPr>
        <w:t>,</w:t>
      </w:r>
      <w:r w:rsidR="00161116" w:rsidRPr="00FE6AC6">
        <w:rPr>
          <w:szCs w:val="24"/>
          <w:lang w:val="bg-BG"/>
        </w:rPr>
        <w:t xml:space="preserve"> изброени в точка </w:t>
      </w:r>
      <w:r w:rsidR="00161116" w:rsidRPr="00FE6AC6">
        <w:rPr>
          <w:noProof/>
          <w:szCs w:val="24"/>
          <w:lang w:val="bg-BG"/>
        </w:rPr>
        <w:t>6.1</w:t>
      </w:r>
      <w:r w:rsidRPr="00FE6AC6">
        <w:rPr>
          <w:color w:val="000000"/>
          <w:lang w:val="bg-BG"/>
        </w:rPr>
        <w:t>.</w:t>
      </w:r>
    </w:p>
    <w:p w14:paraId="3E54FBDB" w14:textId="77777777" w:rsidR="001636FA" w:rsidRPr="00FE6AC6" w:rsidRDefault="001636FA" w:rsidP="0063575E">
      <w:pPr>
        <w:widowControl w:val="0"/>
        <w:tabs>
          <w:tab w:val="clear" w:pos="567"/>
        </w:tabs>
        <w:spacing w:line="240" w:lineRule="auto"/>
        <w:rPr>
          <w:color w:val="000000"/>
          <w:lang w:val="bg-BG"/>
        </w:rPr>
      </w:pPr>
    </w:p>
    <w:p w14:paraId="3E54FBDC" w14:textId="77777777" w:rsidR="001636FA" w:rsidRPr="00FE6AC6" w:rsidRDefault="001636FA" w:rsidP="0063575E">
      <w:pPr>
        <w:keepNext/>
        <w:widowControl w:val="0"/>
        <w:spacing w:line="240" w:lineRule="auto"/>
        <w:ind w:left="567" w:hanging="567"/>
        <w:rPr>
          <w:color w:val="000000"/>
          <w:lang w:val="bg-BG"/>
        </w:rPr>
      </w:pPr>
      <w:r w:rsidRPr="00FE6AC6">
        <w:rPr>
          <w:b/>
          <w:color w:val="000000"/>
          <w:lang w:val="bg-BG"/>
        </w:rPr>
        <w:t>4.4</w:t>
      </w:r>
      <w:r w:rsidRPr="00FE6AC6">
        <w:rPr>
          <w:b/>
          <w:color w:val="000000"/>
          <w:lang w:val="bg-BG"/>
        </w:rPr>
        <w:tab/>
        <w:t>Специални предупреждения и предпазни мерки при употреба</w:t>
      </w:r>
    </w:p>
    <w:p w14:paraId="3E54FBDD" w14:textId="77777777" w:rsidR="001636FA" w:rsidRPr="00FE6AC6" w:rsidRDefault="001636FA" w:rsidP="0063575E">
      <w:pPr>
        <w:keepNext/>
        <w:widowControl w:val="0"/>
        <w:tabs>
          <w:tab w:val="clear" w:pos="567"/>
        </w:tabs>
        <w:spacing w:line="240" w:lineRule="auto"/>
        <w:rPr>
          <w:color w:val="000000"/>
          <w:lang w:val="bg-BG"/>
        </w:rPr>
      </w:pPr>
    </w:p>
    <w:p w14:paraId="3E54FBDE"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Когато Glivec се прилага съвместно с други лекарствени продукти</w:t>
      </w:r>
      <w:r w:rsidR="001F679F" w:rsidRPr="00FE6AC6">
        <w:rPr>
          <w:color w:val="000000"/>
          <w:lang w:val="bg-BG"/>
        </w:rPr>
        <w:t>,</w:t>
      </w:r>
      <w:r w:rsidRPr="00FE6AC6">
        <w:rPr>
          <w:color w:val="000000"/>
          <w:lang w:val="bg-BG"/>
        </w:rPr>
        <w:t xml:space="preserve"> съществува възможност за лекарствени взаимодействия.</w:t>
      </w:r>
      <w:r w:rsidR="004629B1" w:rsidRPr="00FE6AC6">
        <w:rPr>
          <w:color w:val="000000"/>
          <w:lang w:val="bg-BG"/>
        </w:rPr>
        <w:t xml:space="preserve"> Необходимо е повишено внимание при прием на </w:t>
      </w:r>
      <w:r w:rsidR="004629B1" w:rsidRPr="00FE6AC6">
        <w:rPr>
          <w:color w:val="000000"/>
          <w:lang w:val="en-US"/>
        </w:rPr>
        <w:t>Glivec</w:t>
      </w:r>
      <w:r w:rsidR="004629B1" w:rsidRPr="00FE6AC6">
        <w:rPr>
          <w:color w:val="000000"/>
          <w:lang w:val="bg-BG"/>
        </w:rPr>
        <w:t xml:space="preserve"> с </w:t>
      </w:r>
      <w:r w:rsidR="00F37535" w:rsidRPr="00FE6AC6">
        <w:rPr>
          <w:color w:val="000000"/>
          <w:lang w:val="bg-BG"/>
        </w:rPr>
        <w:t>протеазни инхибитори, противогъбични азоли, някои макролиди (вж. точка 4.5)</w:t>
      </w:r>
      <w:r w:rsidR="004629B1" w:rsidRPr="00FE6AC6">
        <w:rPr>
          <w:color w:val="000000"/>
          <w:lang w:val="bg-BG"/>
        </w:rPr>
        <w:t xml:space="preserve">, </w:t>
      </w:r>
      <w:r w:rsidR="004629B1" w:rsidRPr="00FE6AC6">
        <w:rPr>
          <w:color w:val="000000"/>
          <w:lang w:val="en-US"/>
        </w:rPr>
        <w:t>CYP</w:t>
      </w:r>
      <w:r w:rsidR="004629B1" w:rsidRPr="00FE6AC6">
        <w:rPr>
          <w:color w:val="000000"/>
          <w:lang w:val="bg-BG"/>
        </w:rPr>
        <w:t>3</w:t>
      </w:r>
      <w:r w:rsidR="004629B1" w:rsidRPr="00FE6AC6">
        <w:rPr>
          <w:color w:val="000000"/>
          <w:lang w:val="en-US"/>
        </w:rPr>
        <w:t>A</w:t>
      </w:r>
      <w:r w:rsidR="004629B1" w:rsidRPr="00FE6AC6">
        <w:rPr>
          <w:color w:val="000000"/>
          <w:lang w:val="bg-BG"/>
        </w:rPr>
        <w:t>4 субстрати с тесен терапевтичен прозорец (напр. циклоспорин</w:t>
      </w:r>
      <w:r w:rsidR="00F37535" w:rsidRPr="00FE6AC6">
        <w:rPr>
          <w:color w:val="000000"/>
          <w:lang w:val="bg-BG"/>
        </w:rPr>
        <w:t>,</w:t>
      </w:r>
      <w:r w:rsidR="004629B1" w:rsidRPr="00FE6AC6">
        <w:rPr>
          <w:color w:val="000000"/>
          <w:lang w:val="bg-BG"/>
        </w:rPr>
        <w:t xml:space="preserve"> пимозид</w:t>
      </w:r>
      <w:r w:rsidR="00F37535" w:rsidRPr="00FE6AC6">
        <w:rPr>
          <w:color w:val="000000"/>
          <w:lang w:val="bg-BG"/>
        </w:rPr>
        <w:t>, такролимус, сиролимус, ерготамин, диерготамин, фентанил, а</w:t>
      </w:r>
      <w:r w:rsidR="001F679F" w:rsidRPr="00FE6AC6">
        <w:rPr>
          <w:color w:val="000000"/>
          <w:lang w:val="bg-BG"/>
        </w:rPr>
        <w:t>л</w:t>
      </w:r>
      <w:r w:rsidR="00F37535" w:rsidRPr="00FE6AC6">
        <w:rPr>
          <w:color w:val="000000"/>
          <w:lang w:val="bg-BG"/>
        </w:rPr>
        <w:t>фентанил, терфенадин, бортезомиб, доцетаксел, хинидин</w:t>
      </w:r>
      <w:r w:rsidR="004629B1" w:rsidRPr="00FE6AC6">
        <w:rPr>
          <w:color w:val="000000"/>
          <w:lang w:val="bg-BG"/>
        </w:rPr>
        <w:t>) или варфарин и други кумаринови производни (вж. точка 4.5).</w:t>
      </w:r>
    </w:p>
    <w:p w14:paraId="3E54FBDF" w14:textId="77777777" w:rsidR="001636FA" w:rsidRPr="00FE6AC6" w:rsidRDefault="001636FA" w:rsidP="0063575E">
      <w:pPr>
        <w:widowControl w:val="0"/>
        <w:tabs>
          <w:tab w:val="clear" w:pos="567"/>
        </w:tabs>
        <w:spacing w:line="240" w:lineRule="auto"/>
        <w:rPr>
          <w:color w:val="000000"/>
          <w:lang w:val="bg-BG"/>
        </w:rPr>
      </w:pPr>
    </w:p>
    <w:p w14:paraId="3E54FBE0"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Съвместната употреба на иматиниб и лекарствени продукти, които са индуктори на CYP3A4</w:t>
      </w:r>
      <w:r w:rsidRPr="00FE6AC6">
        <w:rPr>
          <w:color w:val="000000"/>
          <w:lang w:val="en-US"/>
        </w:rPr>
        <w:t> </w:t>
      </w:r>
      <w:r w:rsidRPr="00FE6AC6">
        <w:rPr>
          <w:color w:val="000000"/>
          <w:lang w:val="bg-BG"/>
        </w:rPr>
        <w:t xml:space="preserve">(напр. дексаметазон, фенитоин, карбамазепин, рифампицин, фенобарбитал или растението </w:t>
      </w:r>
      <w:r w:rsidRPr="00FE6AC6">
        <w:rPr>
          <w:i/>
          <w:color w:val="000000"/>
          <w:lang w:val="bg-BG"/>
        </w:rPr>
        <w:t>Hypericum perforatum</w:t>
      </w:r>
      <w:r w:rsidRPr="00FE6AC6">
        <w:rPr>
          <w:color w:val="000000"/>
          <w:lang w:val="bg-BG"/>
        </w:rPr>
        <w:t>, известно още като жълт кантарион)</w:t>
      </w:r>
      <w:r w:rsidR="000A5A1D" w:rsidRPr="00FE6AC6">
        <w:rPr>
          <w:color w:val="000000"/>
          <w:lang w:val="bg-BG"/>
        </w:rPr>
        <w:t>,</w:t>
      </w:r>
      <w:r w:rsidRPr="00FE6AC6">
        <w:rPr>
          <w:color w:val="000000"/>
          <w:lang w:val="bg-BG"/>
        </w:rPr>
        <w:t xml:space="preserve"> може значително да понижат експозицията на Glivec</w:t>
      </w:r>
      <w:r w:rsidR="001F679F" w:rsidRPr="00FE6AC6">
        <w:rPr>
          <w:color w:val="000000"/>
          <w:lang w:val="bg-BG"/>
        </w:rPr>
        <w:t>,</w:t>
      </w:r>
      <w:r w:rsidRPr="00FE6AC6">
        <w:rPr>
          <w:color w:val="000000"/>
          <w:lang w:val="bg-BG"/>
        </w:rPr>
        <w:t xml:space="preserve"> като така е възможно да се повиши риска от терапевтичен </w:t>
      </w:r>
      <w:r w:rsidRPr="00FE6AC6">
        <w:rPr>
          <w:color w:val="000000"/>
          <w:lang w:val="bg-BG"/>
        </w:rPr>
        <w:lastRenderedPageBreak/>
        <w:t>неуспех. Затова трябва да се избягва съвместната употреба на мощни индуктори на CYP3A4</w:t>
      </w:r>
      <w:r w:rsidRPr="00FE6AC6">
        <w:rPr>
          <w:color w:val="000000"/>
          <w:lang w:val="en-US"/>
        </w:rPr>
        <w:t> </w:t>
      </w:r>
      <w:r w:rsidRPr="00FE6AC6">
        <w:rPr>
          <w:color w:val="000000"/>
          <w:lang w:val="bg-BG"/>
        </w:rPr>
        <w:t>и иматиниб (вж. точка</w:t>
      </w:r>
      <w:r w:rsidRPr="00FE6AC6">
        <w:rPr>
          <w:color w:val="000000"/>
          <w:lang w:val="en-US"/>
        </w:rPr>
        <w:t> </w:t>
      </w:r>
      <w:r w:rsidRPr="00FE6AC6">
        <w:rPr>
          <w:color w:val="000000"/>
          <w:lang w:val="bg-BG"/>
        </w:rPr>
        <w:t>4.5).</w:t>
      </w:r>
    </w:p>
    <w:p w14:paraId="3E54FBE1" w14:textId="77777777" w:rsidR="001636FA" w:rsidRPr="00FE6AC6" w:rsidRDefault="001636FA" w:rsidP="0063575E">
      <w:pPr>
        <w:widowControl w:val="0"/>
        <w:tabs>
          <w:tab w:val="clear" w:pos="567"/>
        </w:tabs>
        <w:spacing w:line="240" w:lineRule="auto"/>
        <w:rPr>
          <w:color w:val="000000"/>
          <w:lang w:val="bg-BG"/>
        </w:rPr>
      </w:pPr>
    </w:p>
    <w:p w14:paraId="3E54FBE2" w14:textId="77777777" w:rsidR="00501972" w:rsidRPr="00FE6AC6" w:rsidRDefault="00501972" w:rsidP="0063575E">
      <w:pPr>
        <w:pStyle w:val="EndnoteText"/>
        <w:keepNext/>
        <w:widowControl w:val="0"/>
        <w:tabs>
          <w:tab w:val="clear" w:pos="567"/>
          <w:tab w:val="left" w:pos="7655"/>
        </w:tabs>
        <w:rPr>
          <w:iCs/>
          <w:color w:val="000000"/>
          <w:szCs w:val="24"/>
          <w:u w:val="single"/>
          <w:lang w:val="bg-BG"/>
        </w:rPr>
      </w:pPr>
      <w:r w:rsidRPr="00FE6AC6">
        <w:rPr>
          <w:iCs/>
          <w:color w:val="000000"/>
          <w:szCs w:val="24"/>
          <w:u w:val="single"/>
          <w:lang w:val="bg-BG"/>
        </w:rPr>
        <w:t>Хипотиреоидизъм</w:t>
      </w:r>
    </w:p>
    <w:p w14:paraId="3E54FBE3" w14:textId="77777777" w:rsidR="00DB40BF" w:rsidRPr="00FE6AC6" w:rsidRDefault="00121061" w:rsidP="0063575E">
      <w:pPr>
        <w:pStyle w:val="EndnoteText"/>
        <w:widowControl w:val="0"/>
        <w:tabs>
          <w:tab w:val="clear" w:pos="567"/>
          <w:tab w:val="left" w:pos="7655"/>
        </w:tabs>
        <w:rPr>
          <w:iCs/>
          <w:color w:val="000000"/>
          <w:szCs w:val="24"/>
          <w:lang w:val="bg-BG"/>
        </w:rPr>
      </w:pPr>
      <w:r w:rsidRPr="00FE6AC6">
        <w:rPr>
          <w:iCs/>
          <w:color w:val="000000"/>
          <w:szCs w:val="24"/>
          <w:lang w:val="bg-BG"/>
        </w:rPr>
        <w:t>Клинични случаи на хипотиреоидизъм са били докладвани при тироидектомирани пациенти</w:t>
      </w:r>
      <w:r w:rsidR="00DB40BF" w:rsidRPr="00FE6AC6">
        <w:rPr>
          <w:iCs/>
          <w:color w:val="000000"/>
          <w:szCs w:val="24"/>
          <w:lang w:val="bg-BG"/>
        </w:rPr>
        <w:t xml:space="preserve"> </w:t>
      </w:r>
      <w:r w:rsidRPr="00FE6AC6">
        <w:rPr>
          <w:iCs/>
          <w:color w:val="000000"/>
          <w:szCs w:val="24"/>
          <w:lang w:val="bg-BG"/>
        </w:rPr>
        <w:t xml:space="preserve">със заместителна терапия </w:t>
      </w:r>
      <w:r w:rsidR="00670531" w:rsidRPr="00FE6AC6">
        <w:rPr>
          <w:iCs/>
          <w:color w:val="000000"/>
          <w:szCs w:val="24"/>
          <w:lang w:val="bg-BG"/>
        </w:rPr>
        <w:t xml:space="preserve">с </w:t>
      </w:r>
      <w:r w:rsidRPr="00FE6AC6">
        <w:rPr>
          <w:iCs/>
          <w:color w:val="000000"/>
          <w:szCs w:val="24"/>
          <w:lang w:val="bg-BG"/>
        </w:rPr>
        <w:t xml:space="preserve">левотироксин по време на лечението с </w:t>
      </w:r>
      <w:r w:rsidR="00DB40BF" w:rsidRPr="00FE6AC6">
        <w:rPr>
          <w:iCs/>
          <w:color w:val="000000"/>
          <w:szCs w:val="24"/>
        </w:rPr>
        <w:t>Glivec</w:t>
      </w:r>
      <w:r w:rsidR="00DB40BF" w:rsidRPr="00FE6AC6">
        <w:rPr>
          <w:iCs/>
          <w:color w:val="000000"/>
          <w:szCs w:val="24"/>
          <w:lang w:val="bg-BG"/>
        </w:rPr>
        <w:t xml:space="preserve"> (</w:t>
      </w:r>
      <w:r w:rsidRPr="00FE6AC6">
        <w:rPr>
          <w:iCs/>
          <w:color w:val="000000"/>
          <w:szCs w:val="24"/>
          <w:lang w:val="bg-BG"/>
        </w:rPr>
        <w:t>вж. точка</w:t>
      </w:r>
      <w:r w:rsidR="00DB40BF" w:rsidRPr="00FE6AC6">
        <w:rPr>
          <w:iCs/>
          <w:color w:val="000000"/>
          <w:szCs w:val="24"/>
          <w:lang w:val="bg-BG"/>
        </w:rPr>
        <w:t xml:space="preserve"> 4.5). </w:t>
      </w:r>
      <w:r w:rsidRPr="00FE6AC6">
        <w:rPr>
          <w:iCs/>
          <w:color w:val="000000"/>
          <w:szCs w:val="24"/>
          <w:lang w:val="bg-BG"/>
        </w:rPr>
        <w:t xml:space="preserve">Нивата на </w:t>
      </w:r>
      <w:r w:rsidR="004629B1" w:rsidRPr="00FE6AC6">
        <w:rPr>
          <w:iCs/>
          <w:color w:val="000000"/>
          <w:szCs w:val="24"/>
          <w:lang w:val="bg-BG"/>
        </w:rPr>
        <w:t>тироид стимулиращия хормон (</w:t>
      </w:r>
      <w:r w:rsidRPr="00FE6AC6">
        <w:rPr>
          <w:iCs/>
          <w:color w:val="000000"/>
          <w:szCs w:val="24"/>
          <w:lang w:val="bg-BG"/>
        </w:rPr>
        <w:t>ТСХ</w:t>
      </w:r>
      <w:r w:rsidR="004629B1" w:rsidRPr="00FE6AC6">
        <w:rPr>
          <w:iCs/>
          <w:color w:val="000000"/>
          <w:szCs w:val="24"/>
          <w:lang w:val="bg-BG"/>
        </w:rPr>
        <w:t>)</w:t>
      </w:r>
      <w:r w:rsidRPr="00FE6AC6">
        <w:rPr>
          <w:iCs/>
          <w:color w:val="000000"/>
          <w:szCs w:val="24"/>
          <w:lang w:val="bg-BG"/>
        </w:rPr>
        <w:t xml:space="preserve"> трябва да се наблюдават </w:t>
      </w:r>
      <w:r w:rsidR="00670531" w:rsidRPr="00FE6AC6">
        <w:rPr>
          <w:iCs/>
          <w:color w:val="000000"/>
          <w:szCs w:val="24"/>
          <w:lang w:val="bg-BG"/>
        </w:rPr>
        <w:t xml:space="preserve">редовно </w:t>
      </w:r>
      <w:r w:rsidRPr="00FE6AC6">
        <w:rPr>
          <w:iCs/>
          <w:color w:val="000000"/>
          <w:szCs w:val="24"/>
          <w:lang w:val="bg-BG"/>
        </w:rPr>
        <w:t>при такива пациенти</w:t>
      </w:r>
      <w:r w:rsidR="00DB40BF" w:rsidRPr="00FE6AC6">
        <w:rPr>
          <w:iCs/>
          <w:color w:val="000000"/>
          <w:szCs w:val="24"/>
          <w:lang w:val="bg-BG"/>
        </w:rPr>
        <w:t>.</w:t>
      </w:r>
    </w:p>
    <w:p w14:paraId="3E54FBE4" w14:textId="77777777" w:rsidR="00DB40BF" w:rsidRPr="00FE6AC6" w:rsidRDefault="00DB40BF" w:rsidP="0063575E">
      <w:pPr>
        <w:widowControl w:val="0"/>
        <w:tabs>
          <w:tab w:val="clear" w:pos="567"/>
        </w:tabs>
        <w:spacing w:line="240" w:lineRule="auto"/>
        <w:rPr>
          <w:color w:val="000000"/>
          <w:lang w:val="bg-BG"/>
        </w:rPr>
      </w:pPr>
    </w:p>
    <w:p w14:paraId="3E54FBE5" w14:textId="77777777" w:rsidR="00501972" w:rsidRPr="00FE6AC6" w:rsidRDefault="00501972" w:rsidP="0063575E">
      <w:pPr>
        <w:keepNext/>
        <w:widowControl w:val="0"/>
        <w:tabs>
          <w:tab w:val="clear" w:pos="567"/>
        </w:tabs>
        <w:spacing w:line="240" w:lineRule="auto"/>
        <w:rPr>
          <w:color w:val="000000"/>
          <w:u w:val="single"/>
          <w:lang w:val="bg-BG"/>
        </w:rPr>
      </w:pPr>
      <w:r w:rsidRPr="00FE6AC6">
        <w:rPr>
          <w:color w:val="000000"/>
          <w:u w:val="single"/>
          <w:lang w:val="bg-BG"/>
        </w:rPr>
        <w:t>Хепатотоксичност</w:t>
      </w:r>
    </w:p>
    <w:p w14:paraId="3E54FBE6"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Glivec се метаболизира основно в черния дроб и само</w:t>
      </w:r>
      <w:r w:rsidRPr="00FE6AC6">
        <w:rPr>
          <w:color w:val="000000"/>
          <w:lang w:val="en-US"/>
        </w:rPr>
        <w:t> </w:t>
      </w:r>
      <w:r w:rsidRPr="00FE6AC6">
        <w:rPr>
          <w:color w:val="000000"/>
          <w:lang w:val="bg-BG"/>
        </w:rPr>
        <w:t>13% се екскретират през бъбреците. При пациентите с нарушение на чернодробната функция (леко, средно, тежко), внимателно трябва да се проследяват броя на клетките в периферната кръв и чернодробните ензими (вж. точки</w:t>
      </w:r>
      <w:r w:rsidRPr="00FE6AC6">
        <w:rPr>
          <w:color w:val="000000"/>
          <w:lang w:val="en-US"/>
        </w:rPr>
        <w:t> </w:t>
      </w:r>
      <w:r w:rsidRPr="00FE6AC6">
        <w:rPr>
          <w:color w:val="000000"/>
          <w:lang w:val="bg-BG"/>
        </w:rPr>
        <w:t>4.2, 4.8</w:t>
      </w:r>
      <w:r w:rsidRPr="00FE6AC6">
        <w:rPr>
          <w:color w:val="000000"/>
          <w:lang w:val="en-US"/>
        </w:rPr>
        <w:t> </w:t>
      </w:r>
      <w:r w:rsidRPr="00FE6AC6">
        <w:rPr>
          <w:color w:val="000000"/>
          <w:lang w:val="bg-BG"/>
        </w:rPr>
        <w:t>и</w:t>
      </w:r>
      <w:r w:rsidRPr="00FE6AC6">
        <w:rPr>
          <w:color w:val="000000"/>
          <w:lang w:val="en-US"/>
        </w:rPr>
        <w:t> </w:t>
      </w:r>
      <w:r w:rsidRPr="00FE6AC6">
        <w:rPr>
          <w:color w:val="000000"/>
          <w:lang w:val="bg-BG"/>
        </w:rPr>
        <w:t>5.2). Трябва да се отбележи, че пациентите с ГИСТ могат да имат чернодробни метастази, които могат да доведат до чернодробно увреждане.</w:t>
      </w:r>
    </w:p>
    <w:p w14:paraId="3E54FBE7" w14:textId="77777777" w:rsidR="001636FA" w:rsidRPr="00FE6AC6" w:rsidRDefault="001636FA" w:rsidP="0063575E">
      <w:pPr>
        <w:widowControl w:val="0"/>
        <w:tabs>
          <w:tab w:val="clear" w:pos="567"/>
        </w:tabs>
        <w:spacing w:line="240" w:lineRule="auto"/>
        <w:rPr>
          <w:color w:val="000000"/>
          <w:lang w:val="bg-BG"/>
        </w:rPr>
      </w:pPr>
    </w:p>
    <w:p w14:paraId="3E54FBE8" w14:textId="77777777" w:rsidR="001636FA" w:rsidRPr="00FE6AC6" w:rsidRDefault="00A13862" w:rsidP="0063575E">
      <w:pPr>
        <w:widowControl w:val="0"/>
        <w:tabs>
          <w:tab w:val="clear" w:pos="567"/>
        </w:tabs>
        <w:spacing w:line="240" w:lineRule="auto"/>
        <w:rPr>
          <w:color w:val="000000"/>
          <w:lang w:val="ru-RU"/>
        </w:rPr>
      </w:pPr>
      <w:r w:rsidRPr="00FE6AC6">
        <w:rPr>
          <w:color w:val="000000"/>
          <w:lang w:val="bg-BG"/>
        </w:rPr>
        <w:t xml:space="preserve">Наблюдавани са случаи на чернодробно увреждане, включително чернодробна недостатъчност и чернодробна некроза при употреба на иматиниб. </w:t>
      </w:r>
      <w:r w:rsidR="001636FA" w:rsidRPr="00FE6AC6">
        <w:rPr>
          <w:color w:val="000000"/>
          <w:lang w:val="bg-BG"/>
        </w:rPr>
        <w:t>Когато иматиниб се комбинира с високо-дозови химиотерапевтични схеми</w:t>
      </w:r>
      <w:r w:rsidRPr="00FE6AC6">
        <w:rPr>
          <w:color w:val="000000"/>
          <w:lang w:val="bg-BG"/>
        </w:rPr>
        <w:t>, е отчетено увеличение на сериозните чернодробни нежелани реакции.</w:t>
      </w:r>
      <w:r w:rsidR="001636FA" w:rsidRPr="00FE6AC6">
        <w:rPr>
          <w:color w:val="000000"/>
          <w:lang w:val="bg-BG"/>
        </w:rPr>
        <w:t xml:space="preserve"> </w:t>
      </w:r>
      <w:r w:rsidRPr="00FE6AC6">
        <w:rPr>
          <w:color w:val="000000"/>
          <w:lang w:val="ru-RU"/>
        </w:rPr>
        <w:t xml:space="preserve">Чернодобната функция трябва да се следи внимателно в </w:t>
      </w:r>
      <w:r w:rsidR="001636FA" w:rsidRPr="00FE6AC6">
        <w:rPr>
          <w:color w:val="000000"/>
          <w:lang w:val="ru-RU"/>
        </w:rPr>
        <w:t>случаи на комбиниране на иматиниб с химиотерапевтични схеми, за които също е известно, че са свързани с нарушение на чернодробната функция (вж. точки 4.5 и 4.8).</w:t>
      </w:r>
    </w:p>
    <w:p w14:paraId="3E54FBE9" w14:textId="77777777" w:rsidR="001636FA" w:rsidRPr="00FE6AC6" w:rsidRDefault="001636FA" w:rsidP="0063575E">
      <w:pPr>
        <w:widowControl w:val="0"/>
        <w:tabs>
          <w:tab w:val="clear" w:pos="567"/>
        </w:tabs>
        <w:spacing w:line="240" w:lineRule="auto"/>
        <w:rPr>
          <w:color w:val="000000"/>
          <w:lang w:val="bg-BG"/>
        </w:rPr>
      </w:pPr>
    </w:p>
    <w:p w14:paraId="3E54FBEA" w14:textId="77777777" w:rsidR="00501972" w:rsidRPr="00FE6AC6" w:rsidRDefault="00501972" w:rsidP="0063575E">
      <w:pPr>
        <w:keepNext/>
        <w:widowControl w:val="0"/>
        <w:tabs>
          <w:tab w:val="clear" w:pos="567"/>
        </w:tabs>
        <w:spacing w:line="240" w:lineRule="auto"/>
        <w:rPr>
          <w:color w:val="000000"/>
          <w:u w:val="single"/>
          <w:lang w:val="bg-BG"/>
        </w:rPr>
      </w:pPr>
      <w:r w:rsidRPr="00FE6AC6">
        <w:rPr>
          <w:color w:val="000000"/>
          <w:u w:val="single"/>
          <w:lang w:val="bg-BG"/>
        </w:rPr>
        <w:t>Задръжка на течности</w:t>
      </w:r>
    </w:p>
    <w:p w14:paraId="3E54FBEB"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Случаи на тежка задръжка на течности (плеврални изливи, оток, белодробен оток, асцит</w:t>
      </w:r>
      <w:r w:rsidR="00DB40BF" w:rsidRPr="00FE6AC6">
        <w:rPr>
          <w:color w:val="000000"/>
          <w:szCs w:val="22"/>
          <w:lang w:val="bg-BG"/>
        </w:rPr>
        <w:t xml:space="preserve">, </w:t>
      </w:r>
      <w:r w:rsidR="007829EB" w:rsidRPr="00FE6AC6">
        <w:rPr>
          <w:color w:val="000000"/>
          <w:szCs w:val="22"/>
          <w:lang w:val="bg-BG"/>
        </w:rPr>
        <w:t>повърхностен оток</w:t>
      </w:r>
      <w:r w:rsidRPr="00FE6AC6">
        <w:rPr>
          <w:color w:val="000000"/>
          <w:lang w:val="bg-BG"/>
        </w:rPr>
        <w:t>) се съобщават при приблизително</w:t>
      </w:r>
      <w:r w:rsidRPr="00FE6AC6">
        <w:rPr>
          <w:color w:val="000000"/>
          <w:lang w:val="en-US"/>
        </w:rPr>
        <w:t> </w:t>
      </w:r>
      <w:r w:rsidRPr="00FE6AC6">
        <w:rPr>
          <w:color w:val="000000"/>
          <w:lang w:val="bg-BG"/>
        </w:rPr>
        <w:t>1</w:t>
      </w:r>
      <w:r w:rsidRPr="00FE6AC6">
        <w:rPr>
          <w:color w:val="000000"/>
          <w:lang w:val="en-US"/>
        </w:rPr>
        <w:t> </w:t>
      </w:r>
      <w:r w:rsidRPr="00FE6AC6">
        <w:rPr>
          <w:color w:val="000000"/>
          <w:lang w:val="bg-BG"/>
        </w:rPr>
        <w:t>до</w:t>
      </w:r>
      <w:r w:rsidRPr="00FE6AC6">
        <w:rPr>
          <w:color w:val="000000"/>
          <w:lang w:val="en-US"/>
        </w:rPr>
        <w:t> </w:t>
      </w:r>
      <w:r w:rsidRPr="00FE6AC6">
        <w:rPr>
          <w:color w:val="000000"/>
          <w:lang w:val="bg-BG"/>
        </w:rPr>
        <w:t>2</w:t>
      </w:r>
      <w:r w:rsidR="00DB40BF" w:rsidRPr="00FE6AC6">
        <w:rPr>
          <w:color w:val="000000"/>
          <w:szCs w:val="22"/>
          <w:lang w:val="bg-BG"/>
        </w:rPr>
        <w:t xml:space="preserve">,5% </w:t>
      </w:r>
      <w:r w:rsidRPr="00FE6AC6">
        <w:rPr>
          <w:color w:val="000000"/>
          <w:lang w:val="bg-BG"/>
        </w:rPr>
        <w:t>от пациентите</w:t>
      </w:r>
      <w:r w:rsidR="007829EB" w:rsidRPr="00FE6AC6">
        <w:rPr>
          <w:color w:val="000000"/>
          <w:lang w:val="bg-BG"/>
        </w:rPr>
        <w:t xml:space="preserve"> с ново диагностицирана ХМЛ</w:t>
      </w:r>
      <w:r w:rsidRPr="00FE6AC6">
        <w:rPr>
          <w:color w:val="000000"/>
          <w:lang w:val="bg-BG"/>
        </w:rPr>
        <w:t xml:space="preserve">, приемащи Glivec. Затова силно се препоръчва телесното тегло на пациентите да се проследява редовно. Неочакваното бързо повишаване на телесното тегло трябва да се изяснява внимателно и ако е необходимо да се предприемат съответни поддържащи грижи и терапевтични мерки. При клинични проучвания има повишена честота на тези събития при </w:t>
      </w:r>
      <w:r w:rsidR="0079161C" w:rsidRPr="00FE6AC6">
        <w:rPr>
          <w:color w:val="000000"/>
          <w:lang w:val="bg-BG"/>
        </w:rPr>
        <w:t>хора</w:t>
      </w:r>
      <w:r w:rsidRPr="00FE6AC6">
        <w:rPr>
          <w:color w:val="000000"/>
          <w:lang w:val="bg-BG"/>
        </w:rPr>
        <w:t xml:space="preserve"> в </w:t>
      </w:r>
      <w:r w:rsidR="008D760F" w:rsidRPr="00FE6AC6">
        <w:rPr>
          <w:color w:val="000000"/>
          <w:lang w:val="bg-BG"/>
        </w:rPr>
        <w:t>старческа</w:t>
      </w:r>
      <w:r w:rsidRPr="00FE6AC6">
        <w:rPr>
          <w:color w:val="000000"/>
          <w:lang w:val="bg-BG"/>
        </w:rPr>
        <w:t xml:space="preserve"> възраст и тези с предхождаща анамнеза за сърдечно заболяване. Затова при пациенти с нарушена сърдечна функция трябва да се подхожда предпазливо.</w:t>
      </w:r>
    </w:p>
    <w:p w14:paraId="3E54FBEC" w14:textId="77777777" w:rsidR="00DB40BF" w:rsidRPr="00FE6AC6" w:rsidRDefault="00DB40BF" w:rsidP="0063575E">
      <w:pPr>
        <w:pStyle w:val="EndnoteText"/>
        <w:widowControl w:val="0"/>
        <w:tabs>
          <w:tab w:val="clear" w:pos="567"/>
        </w:tabs>
        <w:rPr>
          <w:color w:val="000000"/>
          <w:lang w:val="bg-BG"/>
        </w:rPr>
      </w:pPr>
    </w:p>
    <w:p w14:paraId="3E54FBED" w14:textId="77777777" w:rsidR="00501972" w:rsidRPr="00FE6AC6" w:rsidRDefault="00501972" w:rsidP="0063575E">
      <w:pPr>
        <w:pStyle w:val="EndnoteText"/>
        <w:keepNext/>
        <w:widowControl w:val="0"/>
        <w:tabs>
          <w:tab w:val="clear" w:pos="567"/>
        </w:tabs>
        <w:rPr>
          <w:color w:val="000000"/>
          <w:u w:val="single"/>
          <w:lang w:val="bg-BG"/>
        </w:rPr>
      </w:pPr>
      <w:r w:rsidRPr="00FE6AC6">
        <w:rPr>
          <w:color w:val="000000"/>
          <w:u w:val="single"/>
          <w:lang w:val="bg-BG"/>
        </w:rPr>
        <w:t>Пациенти със сърдечно заболяване</w:t>
      </w:r>
    </w:p>
    <w:p w14:paraId="3E54FBEE" w14:textId="77777777" w:rsidR="00DB40BF" w:rsidRPr="00FE6AC6" w:rsidRDefault="007829EB" w:rsidP="0063575E">
      <w:pPr>
        <w:pStyle w:val="EndnoteText"/>
        <w:widowControl w:val="0"/>
        <w:tabs>
          <w:tab w:val="clear" w:pos="567"/>
        </w:tabs>
        <w:rPr>
          <w:color w:val="000000"/>
          <w:lang w:val="bg-BG"/>
        </w:rPr>
      </w:pPr>
      <w:r w:rsidRPr="00FE6AC6">
        <w:rPr>
          <w:color w:val="000000"/>
          <w:lang w:val="bg-BG"/>
        </w:rPr>
        <w:t>Пациентите със сърдечно заболяване</w:t>
      </w:r>
      <w:r w:rsidR="00E56B52" w:rsidRPr="00FE6AC6">
        <w:rPr>
          <w:color w:val="000000"/>
          <w:lang w:val="bg-BG"/>
        </w:rPr>
        <w:t>,</w:t>
      </w:r>
      <w:r w:rsidRPr="00FE6AC6">
        <w:rPr>
          <w:color w:val="000000"/>
          <w:lang w:val="bg-BG"/>
        </w:rPr>
        <w:t xml:space="preserve"> рискови фактори за сърдечна недостатъчност</w:t>
      </w:r>
      <w:r w:rsidR="00DB40BF" w:rsidRPr="00FE6AC6">
        <w:rPr>
          <w:color w:val="000000"/>
          <w:lang w:val="bg-BG"/>
        </w:rPr>
        <w:t xml:space="preserve"> </w:t>
      </w:r>
      <w:r w:rsidR="00E56B52" w:rsidRPr="00FE6AC6">
        <w:rPr>
          <w:color w:val="000000"/>
          <w:lang w:val="bg-BG"/>
        </w:rPr>
        <w:t xml:space="preserve">или анамнеза за бъбречна недостатъчност </w:t>
      </w:r>
      <w:r w:rsidRPr="00FE6AC6">
        <w:rPr>
          <w:color w:val="000000"/>
          <w:lang w:val="bg-BG"/>
        </w:rPr>
        <w:t>трябва да се наблюдават внимателно</w:t>
      </w:r>
      <w:r w:rsidR="00DB40BF" w:rsidRPr="00FE6AC6">
        <w:rPr>
          <w:color w:val="000000"/>
          <w:lang w:val="bg-BG"/>
        </w:rPr>
        <w:t xml:space="preserve">, </w:t>
      </w:r>
      <w:r w:rsidR="00FB7103" w:rsidRPr="00FE6AC6">
        <w:rPr>
          <w:color w:val="000000"/>
          <w:lang w:val="bg-BG"/>
        </w:rPr>
        <w:t>а</w:t>
      </w:r>
      <w:r w:rsidRPr="00FE6AC6">
        <w:rPr>
          <w:color w:val="000000"/>
          <w:lang w:val="bg-BG"/>
        </w:rPr>
        <w:t xml:space="preserve"> всеки пациент с признаци или симптоми</w:t>
      </w:r>
      <w:r w:rsidR="001F679F" w:rsidRPr="00FE6AC6">
        <w:rPr>
          <w:color w:val="000000"/>
          <w:lang w:val="bg-BG"/>
        </w:rPr>
        <w:t>,</w:t>
      </w:r>
      <w:r w:rsidRPr="00FE6AC6">
        <w:rPr>
          <w:color w:val="000000"/>
          <w:lang w:val="bg-BG"/>
        </w:rPr>
        <w:t xml:space="preserve"> характерни за сърдечна </w:t>
      </w:r>
      <w:r w:rsidR="00E56B52" w:rsidRPr="00FE6AC6">
        <w:rPr>
          <w:color w:val="000000"/>
          <w:lang w:val="bg-BG"/>
        </w:rPr>
        <w:t xml:space="preserve">или бъбречна </w:t>
      </w:r>
      <w:r w:rsidRPr="00FE6AC6">
        <w:rPr>
          <w:color w:val="000000"/>
          <w:lang w:val="bg-BG"/>
        </w:rPr>
        <w:t xml:space="preserve">недостатъчност </w:t>
      </w:r>
      <w:r w:rsidR="00FB7103" w:rsidRPr="00FE6AC6">
        <w:rPr>
          <w:color w:val="000000"/>
          <w:lang w:val="bg-BG"/>
        </w:rPr>
        <w:t>трябва да бъде изследван и лекуван</w:t>
      </w:r>
      <w:r w:rsidR="00DB40BF" w:rsidRPr="00FE6AC6">
        <w:rPr>
          <w:color w:val="000000"/>
          <w:lang w:val="bg-BG"/>
        </w:rPr>
        <w:t>.</w:t>
      </w:r>
    </w:p>
    <w:p w14:paraId="3E54FBEF" w14:textId="77777777" w:rsidR="00DB40BF" w:rsidRPr="00FE6AC6" w:rsidRDefault="00DB40BF" w:rsidP="0063575E">
      <w:pPr>
        <w:pStyle w:val="Text"/>
        <w:widowControl w:val="0"/>
        <w:spacing w:before="0"/>
        <w:jc w:val="left"/>
        <w:rPr>
          <w:color w:val="000000"/>
          <w:sz w:val="22"/>
          <w:szCs w:val="22"/>
          <w:lang w:val="bg-BG"/>
        </w:rPr>
      </w:pPr>
    </w:p>
    <w:p w14:paraId="3E54FBF0" w14:textId="77777777" w:rsidR="00A80592" w:rsidRPr="00FE6AC6" w:rsidRDefault="00FB7103" w:rsidP="0063575E">
      <w:pPr>
        <w:pStyle w:val="Text"/>
        <w:widowControl w:val="0"/>
        <w:spacing w:before="0"/>
        <w:jc w:val="left"/>
        <w:rPr>
          <w:color w:val="000000"/>
          <w:sz w:val="22"/>
          <w:szCs w:val="22"/>
          <w:lang w:val="bg-BG"/>
        </w:rPr>
      </w:pPr>
      <w:r w:rsidRPr="00FE6AC6">
        <w:rPr>
          <w:color w:val="000000"/>
          <w:sz w:val="22"/>
          <w:szCs w:val="22"/>
          <w:lang w:val="bg-BG"/>
        </w:rPr>
        <w:t>П</w:t>
      </w:r>
      <w:r w:rsidR="000D32FA" w:rsidRPr="00FE6AC6">
        <w:rPr>
          <w:color w:val="000000"/>
          <w:sz w:val="22"/>
          <w:szCs w:val="22"/>
          <w:lang w:val="bg-BG"/>
        </w:rPr>
        <w:t>р</w:t>
      </w:r>
      <w:r w:rsidRPr="00FE6AC6">
        <w:rPr>
          <w:color w:val="000000"/>
          <w:sz w:val="22"/>
          <w:szCs w:val="22"/>
          <w:lang w:val="bg-BG"/>
        </w:rPr>
        <w:t>и пациенти с хипереозинофилен синдром</w:t>
      </w:r>
      <w:r w:rsidR="00DB40BF" w:rsidRPr="00FE6AC6">
        <w:rPr>
          <w:snapToGrid w:val="0"/>
          <w:color w:val="000000"/>
          <w:sz w:val="22"/>
          <w:szCs w:val="22"/>
          <w:lang w:val="bg-BG" w:eastAsia="de-DE"/>
        </w:rPr>
        <w:t xml:space="preserve"> (</w:t>
      </w:r>
      <w:r w:rsidR="006917E5" w:rsidRPr="00FE6AC6">
        <w:rPr>
          <w:snapToGrid w:val="0"/>
          <w:color w:val="000000"/>
          <w:sz w:val="22"/>
          <w:szCs w:val="22"/>
          <w:lang w:val="bg-BG" w:eastAsia="de-DE"/>
        </w:rPr>
        <w:t>ХЕС</w:t>
      </w:r>
      <w:r w:rsidR="00DB40BF" w:rsidRPr="00FE6AC6">
        <w:rPr>
          <w:snapToGrid w:val="0"/>
          <w:color w:val="000000"/>
          <w:sz w:val="22"/>
          <w:szCs w:val="22"/>
          <w:lang w:val="bg-BG" w:eastAsia="de-DE"/>
        </w:rPr>
        <w:t xml:space="preserve">) </w:t>
      </w:r>
      <w:r w:rsidR="00A80592" w:rsidRPr="00FE6AC6">
        <w:rPr>
          <w:snapToGrid w:val="0"/>
          <w:color w:val="000000"/>
          <w:sz w:val="22"/>
          <w:szCs w:val="22"/>
          <w:lang w:val="bg-BG" w:eastAsia="de-DE"/>
        </w:rPr>
        <w:t>с окултна инфилтрация на ХЕС клетки в миокарда</w:t>
      </w:r>
      <w:r w:rsidR="00DB40BF" w:rsidRPr="00FE6AC6">
        <w:rPr>
          <w:color w:val="000000"/>
          <w:sz w:val="22"/>
          <w:szCs w:val="22"/>
          <w:lang w:val="bg-BG"/>
        </w:rPr>
        <w:t xml:space="preserve">, </w:t>
      </w:r>
      <w:r w:rsidR="009D5A5A" w:rsidRPr="00FE6AC6">
        <w:rPr>
          <w:color w:val="000000"/>
          <w:sz w:val="22"/>
          <w:szCs w:val="22"/>
          <w:lang w:val="bg-BG"/>
        </w:rPr>
        <w:t>изолирани случаи на кардиогенен шок</w:t>
      </w:r>
      <w:r w:rsidR="00DB40BF" w:rsidRPr="00FE6AC6">
        <w:rPr>
          <w:color w:val="000000"/>
          <w:sz w:val="22"/>
          <w:szCs w:val="22"/>
          <w:lang w:val="bg-BG"/>
        </w:rPr>
        <w:t>/</w:t>
      </w:r>
      <w:r w:rsidR="009D5A5A" w:rsidRPr="00FE6AC6">
        <w:rPr>
          <w:color w:val="000000"/>
          <w:sz w:val="22"/>
          <w:szCs w:val="22"/>
          <w:lang w:val="bg-BG"/>
        </w:rPr>
        <w:t>левокамерна дисфункция</w:t>
      </w:r>
      <w:r w:rsidR="00DB40BF" w:rsidRPr="00FE6AC6">
        <w:rPr>
          <w:color w:val="000000"/>
          <w:sz w:val="22"/>
          <w:szCs w:val="22"/>
          <w:lang w:val="bg-BG"/>
        </w:rPr>
        <w:t xml:space="preserve"> </w:t>
      </w:r>
      <w:r w:rsidR="009D5A5A" w:rsidRPr="00FE6AC6">
        <w:rPr>
          <w:color w:val="000000"/>
          <w:sz w:val="22"/>
          <w:szCs w:val="22"/>
          <w:lang w:val="bg-BG"/>
        </w:rPr>
        <w:t xml:space="preserve">са били свързвани </w:t>
      </w:r>
      <w:r w:rsidR="00A80592" w:rsidRPr="00FE6AC6">
        <w:rPr>
          <w:color w:val="000000"/>
          <w:sz w:val="22"/>
          <w:szCs w:val="22"/>
          <w:lang w:val="bg-BG"/>
        </w:rPr>
        <w:t>с ХЕС клетъчна дегранулация при</w:t>
      </w:r>
      <w:r w:rsidR="009D5A5A" w:rsidRPr="00FE6AC6">
        <w:rPr>
          <w:color w:val="000000"/>
          <w:sz w:val="22"/>
          <w:szCs w:val="22"/>
          <w:lang w:val="bg-BG"/>
        </w:rPr>
        <w:t xml:space="preserve"> започване на лечение с иматиниб</w:t>
      </w:r>
      <w:r w:rsidR="00DB40BF" w:rsidRPr="00FE6AC6">
        <w:rPr>
          <w:color w:val="000000"/>
          <w:sz w:val="22"/>
          <w:szCs w:val="22"/>
          <w:lang w:val="bg-BG"/>
        </w:rPr>
        <w:t xml:space="preserve">. </w:t>
      </w:r>
      <w:r w:rsidR="009D5A5A" w:rsidRPr="00FE6AC6">
        <w:rPr>
          <w:color w:val="000000"/>
          <w:sz w:val="22"/>
          <w:szCs w:val="22"/>
          <w:lang w:val="bg-BG"/>
        </w:rPr>
        <w:t>Докладваното състояние е било обратимо при системно приложение на кортикостероиди</w:t>
      </w:r>
      <w:r w:rsidR="00DB40BF" w:rsidRPr="00FE6AC6">
        <w:rPr>
          <w:color w:val="000000"/>
          <w:sz w:val="22"/>
          <w:szCs w:val="22"/>
          <w:lang w:val="bg-BG"/>
        </w:rPr>
        <w:t xml:space="preserve">, </w:t>
      </w:r>
      <w:r w:rsidR="00F37D14" w:rsidRPr="00FE6AC6">
        <w:rPr>
          <w:color w:val="000000"/>
          <w:sz w:val="22"/>
          <w:szCs w:val="22"/>
          <w:lang w:val="bg-BG"/>
        </w:rPr>
        <w:t>циркулаторни поддържащи мерки</w:t>
      </w:r>
      <w:r w:rsidR="00DB40BF" w:rsidRPr="00FE6AC6">
        <w:rPr>
          <w:color w:val="000000"/>
          <w:sz w:val="22"/>
          <w:szCs w:val="22"/>
          <w:lang w:val="bg-BG"/>
        </w:rPr>
        <w:t xml:space="preserve"> </w:t>
      </w:r>
      <w:r w:rsidR="00AA67B4" w:rsidRPr="00FE6AC6">
        <w:rPr>
          <w:color w:val="000000"/>
          <w:sz w:val="22"/>
          <w:szCs w:val="22"/>
          <w:lang w:val="bg-BG"/>
        </w:rPr>
        <w:t>и временно спиране на иматиниб</w:t>
      </w:r>
      <w:r w:rsidR="00DB40BF" w:rsidRPr="00FE6AC6">
        <w:rPr>
          <w:color w:val="000000"/>
          <w:sz w:val="22"/>
          <w:szCs w:val="22"/>
          <w:lang w:val="bg-BG"/>
        </w:rPr>
        <w:t xml:space="preserve">. </w:t>
      </w:r>
      <w:r w:rsidR="00C6627B" w:rsidRPr="00FE6AC6">
        <w:rPr>
          <w:color w:val="000000"/>
          <w:sz w:val="22"/>
          <w:szCs w:val="22"/>
          <w:lang w:val="bg-BG"/>
        </w:rPr>
        <w:t>Тъй като сърдеч</w:t>
      </w:r>
      <w:r w:rsidR="00AA67B4" w:rsidRPr="00FE6AC6">
        <w:rPr>
          <w:color w:val="000000"/>
          <w:sz w:val="22"/>
          <w:szCs w:val="22"/>
          <w:lang w:val="bg-BG"/>
        </w:rPr>
        <w:t>н</w:t>
      </w:r>
      <w:r w:rsidR="001F679F" w:rsidRPr="00FE6AC6">
        <w:rPr>
          <w:color w:val="000000"/>
          <w:sz w:val="22"/>
          <w:szCs w:val="22"/>
          <w:lang w:val="bg-BG"/>
        </w:rPr>
        <w:t>и</w:t>
      </w:r>
      <w:r w:rsidR="00AA67B4" w:rsidRPr="00FE6AC6">
        <w:rPr>
          <w:color w:val="000000"/>
          <w:sz w:val="22"/>
          <w:szCs w:val="22"/>
          <w:lang w:val="bg-BG"/>
        </w:rPr>
        <w:t xml:space="preserve"> нежелани реакции се докладват не често при иматиниб, преди започване на лечението </w:t>
      </w:r>
      <w:r w:rsidR="00CD1978" w:rsidRPr="00FE6AC6">
        <w:rPr>
          <w:color w:val="000000"/>
          <w:sz w:val="22"/>
          <w:szCs w:val="22"/>
          <w:lang w:val="bg-BG"/>
        </w:rPr>
        <w:t>трябва да се направи внимателна оценка на съотношението полза/риск</w:t>
      </w:r>
      <w:r w:rsidR="00DB40BF" w:rsidRPr="00FE6AC6">
        <w:rPr>
          <w:color w:val="000000"/>
          <w:sz w:val="22"/>
          <w:szCs w:val="22"/>
          <w:lang w:val="bg-BG"/>
        </w:rPr>
        <w:t xml:space="preserve"> </w:t>
      </w:r>
      <w:r w:rsidR="00CD1978" w:rsidRPr="00FE6AC6">
        <w:rPr>
          <w:color w:val="000000"/>
          <w:sz w:val="22"/>
          <w:szCs w:val="22"/>
          <w:lang w:val="bg-BG"/>
        </w:rPr>
        <w:t>на терапията с иматин</w:t>
      </w:r>
      <w:r w:rsidR="00670531" w:rsidRPr="00FE6AC6">
        <w:rPr>
          <w:color w:val="000000"/>
          <w:sz w:val="22"/>
          <w:szCs w:val="22"/>
          <w:lang w:val="bg-BG"/>
        </w:rPr>
        <w:t>и</w:t>
      </w:r>
      <w:r w:rsidR="00CD1978" w:rsidRPr="00FE6AC6">
        <w:rPr>
          <w:color w:val="000000"/>
          <w:sz w:val="22"/>
          <w:szCs w:val="22"/>
          <w:lang w:val="bg-BG"/>
        </w:rPr>
        <w:t xml:space="preserve">б при </w:t>
      </w:r>
      <w:r w:rsidR="000E16D3" w:rsidRPr="00FE6AC6">
        <w:rPr>
          <w:color w:val="000000"/>
          <w:sz w:val="22"/>
          <w:szCs w:val="22"/>
          <w:lang w:val="bg-BG"/>
        </w:rPr>
        <w:t>ХЕС/ХЕЛ</w:t>
      </w:r>
      <w:r w:rsidR="00DB40BF" w:rsidRPr="00FE6AC6">
        <w:rPr>
          <w:color w:val="000000"/>
          <w:sz w:val="22"/>
          <w:szCs w:val="22"/>
          <w:lang w:val="bg-BG"/>
        </w:rPr>
        <w:t xml:space="preserve"> </w:t>
      </w:r>
      <w:r w:rsidR="00CD1978" w:rsidRPr="00FE6AC6">
        <w:rPr>
          <w:color w:val="000000"/>
          <w:sz w:val="22"/>
          <w:szCs w:val="22"/>
          <w:lang w:val="bg-BG"/>
        </w:rPr>
        <w:t>популацията</w:t>
      </w:r>
      <w:r w:rsidR="00DB40BF" w:rsidRPr="00FE6AC6">
        <w:rPr>
          <w:color w:val="000000"/>
          <w:sz w:val="22"/>
          <w:szCs w:val="22"/>
          <w:lang w:val="bg-BG"/>
        </w:rPr>
        <w:t>.</w:t>
      </w:r>
    </w:p>
    <w:p w14:paraId="3E54FBF1" w14:textId="77777777" w:rsidR="00A80592" w:rsidRPr="00FE6AC6" w:rsidRDefault="00A80592" w:rsidP="0063575E">
      <w:pPr>
        <w:pStyle w:val="Text"/>
        <w:widowControl w:val="0"/>
        <w:spacing w:before="0"/>
        <w:jc w:val="left"/>
        <w:rPr>
          <w:color w:val="000000"/>
          <w:sz w:val="22"/>
          <w:szCs w:val="22"/>
          <w:lang w:val="bg-BG"/>
        </w:rPr>
      </w:pPr>
    </w:p>
    <w:p w14:paraId="3E54FBF2" w14:textId="77777777" w:rsidR="00DB40BF" w:rsidRPr="00FE6AC6" w:rsidRDefault="00CD1978" w:rsidP="0063575E">
      <w:pPr>
        <w:pStyle w:val="Text"/>
        <w:widowControl w:val="0"/>
        <w:spacing w:before="0"/>
        <w:jc w:val="left"/>
        <w:rPr>
          <w:color w:val="000000"/>
          <w:sz w:val="22"/>
          <w:szCs w:val="22"/>
          <w:lang w:val="bg-BG"/>
        </w:rPr>
      </w:pPr>
      <w:r w:rsidRPr="00FE6AC6">
        <w:rPr>
          <w:snapToGrid w:val="0"/>
          <w:color w:val="000000"/>
          <w:sz w:val="22"/>
          <w:szCs w:val="22"/>
          <w:lang w:val="bg-BG" w:eastAsia="de-DE"/>
        </w:rPr>
        <w:t>Миелодиспластич</w:t>
      </w:r>
      <w:r w:rsidR="000A5A1D" w:rsidRPr="00FE6AC6">
        <w:rPr>
          <w:snapToGrid w:val="0"/>
          <w:color w:val="000000"/>
          <w:sz w:val="22"/>
          <w:szCs w:val="22"/>
          <w:lang w:val="bg-BG" w:eastAsia="de-DE"/>
        </w:rPr>
        <w:t>ният</w:t>
      </w:r>
      <w:r w:rsidRPr="00FE6AC6">
        <w:rPr>
          <w:snapToGrid w:val="0"/>
          <w:color w:val="000000"/>
          <w:sz w:val="22"/>
          <w:szCs w:val="22"/>
          <w:lang w:val="bg-BG" w:eastAsia="de-DE"/>
        </w:rPr>
        <w:t xml:space="preserve"> синдро</w:t>
      </w:r>
      <w:r w:rsidR="000D32FA" w:rsidRPr="00FE6AC6">
        <w:rPr>
          <w:snapToGrid w:val="0"/>
          <w:color w:val="000000"/>
          <w:sz w:val="22"/>
          <w:szCs w:val="22"/>
          <w:lang w:val="bg-BG" w:eastAsia="de-DE"/>
        </w:rPr>
        <w:t>м</w:t>
      </w:r>
      <w:r w:rsidR="00DB40BF" w:rsidRPr="00FE6AC6">
        <w:rPr>
          <w:snapToGrid w:val="0"/>
          <w:color w:val="000000"/>
          <w:sz w:val="22"/>
          <w:szCs w:val="22"/>
          <w:lang w:val="bg-BG" w:eastAsia="de-DE"/>
        </w:rPr>
        <w:t>/</w:t>
      </w:r>
      <w:r w:rsidRPr="00FE6AC6">
        <w:rPr>
          <w:snapToGrid w:val="0"/>
          <w:color w:val="000000"/>
          <w:sz w:val="22"/>
          <w:szCs w:val="22"/>
          <w:lang w:val="bg-BG" w:eastAsia="de-DE"/>
        </w:rPr>
        <w:t>миелопролиферативни</w:t>
      </w:r>
      <w:r w:rsidR="000A5A1D" w:rsidRPr="00FE6AC6">
        <w:rPr>
          <w:snapToGrid w:val="0"/>
          <w:color w:val="000000"/>
          <w:sz w:val="22"/>
          <w:szCs w:val="22"/>
          <w:lang w:val="bg-BG" w:eastAsia="de-DE"/>
        </w:rPr>
        <w:t>те</w:t>
      </w:r>
      <w:r w:rsidRPr="00FE6AC6">
        <w:rPr>
          <w:snapToGrid w:val="0"/>
          <w:color w:val="000000"/>
          <w:sz w:val="22"/>
          <w:szCs w:val="22"/>
          <w:lang w:val="bg-BG" w:eastAsia="de-DE"/>
        </w:rPr>
        <w:t xml:space="preserve"> заболявания</w:t>
      </w:r>
      <w:r w:rsidR="00DB40BF" w:rsidRPr="00FE6AC6">
        <w:rPr>
          <w:snapToGrid w:val="0"/>
          <w:color w:val="000000"/>
          <w:sz w:val="22"/>
          <w:szCs w:val="22"/>
          <w:lang w:val="bg-BG" w:eastAsia="de-DE"/>
        </w:rPr>
        <w:t xml:space="preserve"> </w:t>
      </w:r>
      <w:r w:rsidRPr="00FE6AC6">
        <w:rPr>
          <w:snapToGrid w:val="0"/>
          <w:color w:val="000000"/>
          <w:sz w:val="22"/>
          <w:szCs w:val="22"/>
          <w:lang w:val="bg-BG" w:eastAsia="de-DE"/>
        </w:rPr>
        <w:t>с</w:t>
      </w:r>
      <w:r w:rsidR="00DB40BF" w:rsidRPr="00FE6AC6">
        <w:rPr>
          <w:snapToGrid w:val="0"/>
          <w:color w:val="000000"/>
          <w:sz w:val="22"/>
          <w:szCs w:val="22"/>
          <w:lang w:val="bg-BG" w:eastAsia="de-DE"/>
        </w:rPr>
        <w:t xml:space="preserve"> </w:t>
      </w:r>
      <w:r w:rsidR="00DB40BF" w:rsidRPr="00FE6AC6">
        <w:rPr>
          <w:snapToGrid w:val="0"/>
          <w:color w:val="000000"/>
          <w:sz w:val="22"/>
          <w:szCs w:val="22"/>
          <w:lang w:val="en-GB" w:eastAsia="de-DE"/>
        </w:rPr>
        <w:t>PDGFR</w:t>
      </w:r>
      <w:r w:rsidR="00DB40BF" w:rsidRPr="00FE6AC6">
        <w:rPr>
          <w:snapToGrid w:val="0"/>
          <w:color w:val="000000"/>
          <w:sz w:val="22"/>
          <w:szCs w:val="22"/>
          <w:lang w:val="bg-BG" w:eastAsia="de-DE"/>
        </w:rPr>
        <w:t xml:space="preserve"> </w:t>
      </w:r>
      <w:r w:rsidRPr="00FE6AC6">
        <w:rPr>
          <w:snapToGrid w:val="0"/>
          <w:color w:val="000000"/>
          <w:sz w:val="22"/>
          <w:szCs w:val="22"/>
          <w:lang w:val="bg-BG" w:eastAsia="de-DE"/>
        </w:rPr>
        <w:t xml:space="preserve">генни </w:t>
      </w:r>
      <w:r w:rsidR="00933FF1" w:rsidRPr="00FE6AC6">
        <w:rPr>
          <w:snapToGrid w:val="0"/>
          <w:color w:val="000000"/>
          <w:sz w:val="22"/>
          <w:szCs w:val="22"/>
          <w:lang w:val="bg-BG" w:eastAsia="de-DE"/>
        </w:rPr>
        <w:t>пренареждания</w:t>
      </w:r>
      <w:r w:rsidR="00DB40BF" w:rsidRPr="00FE6AC6">
        <w:rPr>
          <w:snapToGrid w:val="0"/>
          <w:color w:val="000000"/>
          <w:sz w:val="22"/>
          <w:szCs w:val="22"/>
          <w:lang w:val="bg-BG" w:eastAsia="de-DE"/>
        </w:rPr>
        <w:t xml:space="preserve"> </w:t>
      </w:r>
      <w:r w:rsidRPr="00FE6AC6">
        <w:rPr>
          <w:snapToGrid w:val="0"/>
          <w:color w:val="000000"/>
          <w:sz w:val="22"/>
          <w:szCs w:val="22"/>
          <w:lang w:val="bg-BG" w:eastAsia="de-DE"/>
        </w:rPr>
        <w:t>мо</w:t>
      </w:r>
      <w:r w:rsidR="000A5A1D" w:rsidRPr="00FE6AC6">
        <w:rPr>
          <w:snapToGrid w:val="0"/>
          <w:color w:val="000000"/>
          <w:sz w:val="22"/>
          <w:szCs w:val="22"/>
          <w:lang w:val="bg-BG" w:eastAsia="de-DE"/>
        </w:rPr>
        <w:t>гат да бъдат</w:t>
      </w:r>
      <w:r w:rsidRPr="00FE6AC6">
        <w:rPr>
          <w:snapToGrid w:val="0"/>
          <w:color w:val="000000"/>
          <w:sz w:val="22"/>
          <w:szCs w:val="22"/>
          <w:lang w:val="bg-BG" w:eastAsia="de-DE"/>
        </w:rPr>
        <w:t xml:space="preserve"> свързани с високи нива на еозинофилите</w:t>
      </w:r>
      <w:r w:rsidR="00DB40BF" w:rsidRPr="00FE6AC6">
        <w:rPr>
          <w:color w:val="000000"/>
          <w:sz w:val="22"/>
          <w:szCs w:val="22"/>
          <w:lang w:val="bg-BG"/>
        </w:rPr>
        <w:t xml:space="preserve">. </w:t>
      </w:r>
      <w:r w:rsidR="006A126C" w:rsidRPr="00FE6AC6">
        <w:rPr>
          <w:color w:val="000000"/>
          <w:sz w:val="22"/>
          <w:szCs w:val="22"/>
          <w:lang w:val="bg-BG"/>
        </w:rPr>
        <w:t>Поради тази причина е необходимо да се направят оценка от кардиолог, електрокардиограма и определяне на серумния тропонин</w:t>
      </w:r>
      <w:r w:rsidR="00DB40BF" w:rsidRPr="00FE6AC6">
        <w:rPr>
          <w:color w:val="000000"/>
          <w:sz w:val="22"/>
          <w:szCs w:val="22"/>
          <w:lang w:val="bg-BG"/>
        </w:rPr>
        <w:t xml:space="preserve"> </w:t>
      </w:r>
      <w:r w:rsidR="006A126C" w:rsidRPr="00FE6AC6">
        <w:rPr>
          <w:color w:val="000000"/>
          <w:sz w:val="22"/>
          <w:szCs w:val="22"/>
          <w:lang w:val="bg-BG"/>
        </w:rPr>
        <w:t>при пациентите с</w:t>
      </w:r>
      <w:r w:rsidR="00DB40BF" w:rsidRPr="00FE6AC6">
        <w:rPr>
          <w:color w:val="000000"/>
          <w:sz w:val="22"/>
          <w:szCs w:val="22"/>
          <w:lang w:val="bg-BG"/>
        </w:rPr>
        <w:t xml:space="preserve"> </w:t>
      </w:r>
      <w:r w:rsidR="006A126C" w:rsidRPr="00FE6AC6">
        <w:rPr>
          <w:color w:val="000000"/>
          <w:sz w:val="22"/>
          <w:szCs w:val="22"/>
          <w:lang w:val="bg-BG"/>
        </w:rPr>
        <w:t>Х</w:t>
      </w:r>
      <w:r w:rsidR="000E16D3" w:rsidRPr="00FE6AC6">
        <w:rPr>
          <w:color w:val="000000"/>
          <w:sz w:val="22"/>
          <w:szCs w:val="22"/>
          <w:lang w:val="bg-BG"/>
        </w:rPr>
        <w:t>ЕС/ХЕЛ</w:t>
      </w:r>
      <w:r w:rsidR="00DB40BF" w:rsidRPr="00FE6AC6">
        <w:rPr>
          <w:color w:val="000000"/>
          <w:sz w:val="22"/>
          <w:szCs w:val="22"/>
          <w:lang w:val="bg-BG"/>
        </w:rPr>
        <w:t xml:space="preserve">, </w:t>
      </w:r>
      <w:r w:rsidR="000A5A1D" w:rsidRPr="00FE6AC6">
        <w:rPr>
          <w:color w:val="000000"/>
          <w:sz w:val="22"/>
          <w:szCs w:val="22"/>
          <w:lang w:val="bg-BG"/>
        </w:rPr>
        <w:t xml:space="preserve">както </w:t>
      </w:r>
      <w:r w:rsidR="003F742A" w:rsidRPr="00FE6AC6">
        <w:rPr>
          <w:color w:val="000000"/>
          <w:sz w:val="22"/>
          <w:szCs w:val="22"/>
          <w:lang w:val="bg-BG"/>
        </w:rPr>
        <w:t>и при пациенти с</w:t>
      </w:r>
      <w:r w:rsidR="00DB40BF" w:rsidRPr="00FE6AC6">
        <w:rPr>
          <w:color w:val="000000"/>
          <w:sz w:val="22"/>
          <w:szCs w:val="22"/>
          <w:lang w:val="bg-BG"/>
        </w:rPr>
        <w:t xml:space="preserve"> </w:t>
      </w:r>
      <w:r w:rsidR="00CD7E65" w:rsidRPr="00FE6AC6">
        <w:rPr>
          <w:color w:val="000000"/>
          <w:sz w:val="22"/>
          <w:szCs w:val="22"/>
          <w:lang w:val="bg-BG"/>
        </w:rPr>
        <w:t>МДС/МПЗ</w:t>
      </w:r>
      <w:r w:rsidR="000A5A1D" w:rsidRPr="00FE6AC6">
        <w:rPr>
          <w:color w:val="000000"/>
          <w:sz w:val="22"/>
          <w:szCs w:val="22"/>
          <w:lang w:val="bg-BG"/>
        </w:rPr>
        <w:t>,</w:t>
      </w:r>
      <w:r w:rsidR="00DB40BF" w:rsidRPr="00FE6AC6">
        <w:rPr>
          <w:color w:val="000000"/>
          <w:sz w:val="22"/>
          <w:szCs w:val="22"/>
          <w:lang w:val="bg-BG"/>
        </w:rPr>
        <w:t xml:space="preserve"> </w:t>
      </w:r>
      <w:r w:rsidR="003F742A" w:rsidRPr="00FE6AC6">
        <w:rPr>
          <w:color w:val="000000"/>
          <w:sz w:val="22"/>
          <w:szCs w:val="22"/>
          <w:lang w:val="bg-BG"/>
        </w:rPr>
        <w:t xml:space="preserve">свързани с високи нива на еозинофилите, </w:t>
      </w:r>
      <w:r w:rsidR="000A5A1D" w:rsidRPr="00FE6AC6">
        <w:rPr>
          <w:color w:val="000000"/>
          <w:sz w:val="22"/>
          <w:szCs w:val="22"/>
          <w:lang w:val="bg-BG"/>
        </w:rPr>
        <w:t>преди прилагането на</w:t>
      </w:r>
      <w:r w:rsidR="003F742A" w:rsidRPr="00FE6AC6">
        <w:rPr>
          <w:color w:val="000000"/>
          <w:sz w:val="22"/>
          <w:szCs w:val="22"/>
          <w:lang w:val="bg-BG"/>
        </w:rPr>
        <w:t xml:space="preserve"> иматиниб</w:t>
      </w:r>
      <w:r w:rsidR="00DB40BF" w:rsidRPr="00FE6AC6">
        <w:rPr>
          <w:color w:val="000000"/>
          <w:sz w:val="22"/>
          <w:szCs w:val="22"/>
          <w:lang w:val="bg-BG"/>
        </w:rPr>
        <w:t xml:space="preserve">. </w:t>
      </w:r>
      <w:r w:rsidR="003F742A" w:rsidRPr="00FE6AC6">
        <w:rPr>
          <w:color w:val="000000"/>
          <w:sz w:val="22"/>
          <w:szCs w:val="22"/>
          <w:lang w:val="bg-BG"/>
        </w:rPr>
        <w:t>Ако някое от горепосочените е извън нормата</w:t>
      </w:r>
      <w:r w:rsidR="00DB40BF" w:rsidRPr="00FE6AC6">
        <w:rPr>
          <w:color w:val="000000"/>
          <w:sz w:val="22"/>
          <w:szCs w:val="22"/>
          <w:lang w:val="bg-BG"/>
        </w:rPr>
        <w:t xml:space="preserve">, </w:t>
      </w:r>
      <w:r w:rsidR="00611BE4" w:rsidRPr="00FE6AC6">
        <w:rPr>
          <w:color w:val="000000"/>
          <w:sz w:val="22"/>
          <w:szCs w:val="22"/>
          <w:lang w:val="bg-BG"/>
        </w:rPr>
        <w:t>при започване на терапията трябва да се има предвид консултация с кардиолог и профилактична употреба на системни кортикостероиди</w:t>
      </w:r>
      <w:r w:rsidR="00DB40BF" w:rsidRPr="00FE6AC6">
        <w:rPr>
          <w:color w:val="000000"/>
          <w:sz w:val="22"/>
          <w:szCs w:val="22"/>
          <w:lang w:val="bg-BG"/>
        </w:rPr>
        <w:t xml:space="preserve"> (1</w:t>
      </w:r>
      <w:r w:rsidR="00196BDE" w:rsidRPr="00FE6AC6">
        <w:rPr>
          <w:color w:val="000000"/>
          <w:sz w:val="22"/>
          <w:szCs w:val="22"/>
          <w:lang w:val="bg-BG"/>
        </w:rPr>
        <w:noBreakHyphen/>
      </w:r>
      <w:r w:rsidR="00DB40BF" w:rsidRPr="00FE6AC6">
        <w:rPr>
          <w:color w:val="000000"/>
          <w:sz w:val="22"/>
          <w:szCs w:val="22"/>
          <w:lang w:val="bg-BG"/>
        </w:rPr>
        <w:t>2</w:t>
      </w:r>
      <w:r w:rsidR="00DB40BF" w:rsidRPr="00FE6AC6">
        <w:rPr>
          <w:color w:val="000000"/>
          <w:sz w:val="22"/>
          <w:szCs w:val="22"/>
          <w:lang w:val="en-GB"/>
        </w:rPr>
        <w:t> mg</w:t>
      </w:r>
      <w:r w:rsidR="00DB40BF" w:rsidRPr="00FE6AC6">
        <w:rPr>
          <w:color w:val="000000"/>
          <w:sz w:val="22"/>
          <w:szCs w:val="22"/>
          <w:lang w:val="bg-BG"/>
        </w:rPr>
        <w:t>/</w:t>
      </w:r>
      <w:r w:rsidR="00DB40BF" w:rsidRPr="00FE6AC6">
        <w:rPr>
          <w:color w:val="000000"/>
          <w:sz w:val="22"/>
          <w:szCs w:val="22"/>
          <w:lang w:val="en-GB"/>
        </w:rPr>
        <w:t>kg</w:t>
      </w:r>
      <w:r w:rsidR="00DB40BF" w:rsidRPr="00FE6AC6">
        <w:rPr>
          <w:color w:val="000000"/>
          <w:sz w:val="22"/>
          <w:szCs w:val="22"/>
          <w:lang w:val="bg-BG"/>
        </w:rPr>
        <w:t xml:space="preserve">) </w:t>
      </w:r>
      <w:r w:rsidR="00611BE4" w:rsidRPr="00FE6AC6">
        <w:rPr>
          <w:color w:val="000000"/>
          <w:sz w:val="22"/>
          <w:szCs w:val="22"/>
          <w:lang w:val="bg-BG"/>
        </w:rPr>
        <w:t>в продължение на една или две седмици</w:t>
      </w:r>
      <w:r w:rsidR="000A5A1D" w:rsidRPr="00FE6AC6">
        <w:rPr>
          <w:color w:val="000000"/>
          <w:sz w:val="22"/>
          <w:szCs w:val="22"/>
          <w:lang w:val="bg-BG"/>
        </w:rPr>
        <w:t>,</w:t>
      </w:r>
      <w:r w:rsidR="00DB40BF" w:rsidRPr="00FE6AC6">
        <w:rPr>
          <w:color w:val="000000"/>
          <w:sz w:val="22"/>
          <w:szCs w:val="22"/>
          <w:lang w:val="bg-BG"/>
        </w:rPr>
        <w:t xml:space="preserve"> </w:t>
      </w:r>
      <w:r w:rsidR="00611BE4" w:rsidRPr="00FE6AC6">
        <w:rPr>
          <w:color w:val="000000"/>
          <w:sz w:val="22"/>
          <w:szCs w:val="22"/>
          <w:lang w:val="bg-BG"/>
        </w:rPr>
        <w:t>едновременно с иматиниб</w:t>
      </w:r>
      <w:r w:rsidR="00DB40BF" w:rsidRPr="00FE6AC6">
        <w:rPr>
          <w:color w:val="000000"/>
          <w:sz w:val="22"/>
          <w:szCs w:val="22"/>
          <w:lang w:val="bg-BG"/>
        </w:rPr>
        <w:t>.</w:t>
      </w:r>
    </w:p>
    <w:p w14:paraId="3E54FBF3" w14:textId="77777777" w:rsidR="007D128F" w:rsidRPr="00FE6AC6" w:rsidRDefault="007D128F" w:rsidP="0063575E">
      <w:pPr>
        <w:widowControl w:val="0"/>
        <w:tabs>
          <w:tab w:val="clear" w:pos="567"/>
        </w:tabs>
        <w:spacing w:line="240" w:lineRule="auto"/>
        <w:rPr>
          <w:color w:val="000000"/>
          <w:lang w:val="bg-BG"/>
        </w:rPr>
      </w:pPr>
    </w:p>
    <w:p w14:paraId="3E54FBF4" w14:textId="77777777" w:rsidR="00501972" w:rsidRPr="00FE6AC6" w:rsidRDefault="00C97E7B" w:rsidP="0063575E">
      <w:pPr>
        <w:keepNext/>
        <w:widowControl w:val="0"/>
        <w:tabs>
          <w:tab w:val="clear" w:pos="567"/>
        </w:tabs>
        <w:spacing w:line="240" w:lineRule="auto"/>
        <w:rPr>
          <w:color w:val="000000"/>
          <w:u w:val="single"/>
          <w:lang w:val="bg-BG"/>
        </w:rPr>
      </w:pPr>
      <w:r w:rsidRPr="00FE6AC6">
        <w:rPr>
          <w:color w:val="000000"/>
          <w:u w:val="single"/>
          <w:lang w:val="bg-BG"/>
        </w:rPr>
        <w:lastRenderedPageBreak/>
        <w:t>Г</w:t>
      </w:r>
      <w:r w:rsidR="00501972" w:rsidRPr="00FE6AC6">
        <w:rPr>
          <w:color w:val="000000"/>
          <w:u w:val="single"/>
          <w:lang w:val="bg-BG"/>
        </w:rPr>
        <w:t>астроинтестинал</w:t>
      </w:r>
      <w:r w:rsidRPr="00FE6AC6">
        <w:rPr>
          <w:color w:val="000000"/>
          <w:u w:val="single"/>
          <w:lang w:val="bg-BG"/>
        </w:rPr>
        <w:t>е</w:t>
      </w:r>
      <w:r w:rsidR="00501972" w:rsidRPr="00FE6AC6">
        <w:rPr>
          <w:color w:val="000000"/>
          <w:u w:val="single"/>
          <w:lang w:val="bg-BG"/>
        </w:rPr>
        <w:t xml:space="preserve">н </w:t>
      </w:r>
      <w:r w:rsidRPr="00FE6AC6">
        <w:rPr>
          <w:color w:val="000000"/>
          <w:u w:val="single"/>
          <w:lang w:val="bg-BG"/>
        </w:rPr>
        <w:t>кръвоизлив</w:t>
      </w:r>
    </w:p>
    <w:p w14:paraId="3E54FBF5" w14:textId="77777777" w:rsidR="001636FA" w:rsidRPr="00FE6AC6" w:rsidRDefault="007D128F" w:rsidP="0063575E">
      <w:pPr>
        <w:widowControl w:val="0"/>
        <w:tabs>
          <w:tab w:val="clear" w:pos="567"/>
        </w:tabs>
        <w:spacing w:line="240" w:lineRule="auto"/>
        <w:rPr>
          <w:color w:val="000000"/>
          <w:lang w:val="bg-BG"/>
        </w:rPr>
      </w:pPr>
      <w:r w:rsidRPr="00FE6AC6">
        <w:rPr>
          <w:color w:val="000000"/>
          <w:lang w:val="bg-BG"/>
        </w:rPr>
        <w:t>В проучване при пациенти с неподлежащи на резекция и/или метастатични ГИСТ</w:t>
      </w:r>
      <w:r w:rsidR="001636FA" w:rsidRPr="00FE6AC6">
        <w:rPr>
          <w:color w:val="000000"/>
          <w:lang w:val="bg-BG"/>
        </w:rPr>
        <w:t xml:space="preserve"> се съобщават както гастро-интестинални, така и вътретуморни кръвоизливи (вж. точка</w:t>
      </w:r>
      <w:r w:rsidR="001636FA" w:rsidRPr="00FE6AC6">
        <w:rPr>
          <w:color w:val="000000"/>
          <w:lang w:val="en-US"/>
        </w:rPr>
        <w:t> </w:t>
      </w:r>
      <w:r w:rsidR="001636FA" w:rsidRPr="00FE6AC6">
        <w:rPr>
          <w:color w:val="000000"/>
          <w:lang w:val="bg-BG"/>
        </w:rPr>
        <w:t>4.8). Въз основа на наличните данни не се установяват предразполагащи фактори (напр. размер на тумора, разположение на тумора и коагулационни нарушения), които да определят пациентите с ГИСТ в риск за някой от двата вида кръвоизливи. Тъй като повишената васкуларизация и склонност към кървене са част от естествения клиничен ход на ГИСТ, при всички пациенти трябва да се прилагат стандартната практика и процедури за проследяване и поведение при кръвоизливи.</w:t>
      </w:r>
    </w:p>
    <w:p w14:paraId="3E54FBF6" w14:textId="77777777" w:rsidR="009055FE" w:rsidRPr="00FE6AC6" w:rsidRDefault="009055FE" w:rsidP="0063575E">
      <w:pPr>
        <w:pStyle w:val="EndnoteText"/>
        <w:widowControl w:val="0"/>
        <w:tabs>
          <w:tab w:val="clear" w:pos="567"/>
        </w:tabs>
        <w:rPr>
          <w:snapToGrid w:val="0"/>
          <w:szCs w:val="22"/>
          <w:lang w:val="bg-BG"/>
        </w:rPr>
      </w:pPr>
    </w:p>
    <w:p w14:paraId="3E54FBF7" w14:textId="77777777" w:rsidR="00353FA8" w:rsidRPr="00FE6AC6" w:rsidRDefault="004515DB" w:rsidP="0063575E">
      <w:pPr>
        <w:widowControl w:val="0"/>
        <w:tabs>
          <w:tab w:val="clear" w:pos="567"/>
        </w:tabs>
        <w:spacing w:line="240" w:lineRule="auto"/>
        <w:rPr>
          <w:color w:val="000000"/>
          <w:lang w:val="bg-BG"/>
        </w:rPr>
      </w:pPr>
      <w:r w:rsidRPr="00FE6AC6">
        <w:rPr>
          <w:lang w:val="bg-BG"/>
        </w:rPr>
        <w:t xml:space="preserve">Освен това, по време на постмаркетинговия опит при пациенти с ХМЛ, ОЛЛ и други заболявания се съобщава за стомашна антрална съдова ектазия </w:t>
      </w:r>
      <w:r w:rsidR="009055FE" w:rsidRPr="00FE6AC6">
        <w:rPr>
          <w:lang w:val="bg-BG"/>
        </w:rPr>
        <w:t>(</w:t>
      </w:r>
      <w:r w:rsidR="009055FE" w:rsidRPr="00FE6AC6">
        <w:t>GAVE</w:t>
      </w:r>
      <w:r w:rsidR="009055FE" w:rsidRPr="00FE6AC6">
        <w:rPr>
          <w:lang w:val="bg-BG"/>
        </w:rPr>
        <w:t xml:space="preserve">), </w:t>
      </w:r>
      <w:r w:rsidRPr="00FE6AC6">
        <w:rPr>
          <w:lang w:val="bg-BG"/>
        </w:rPr>
        <w:t>рядка причина за гастроинтестинален кръвоизлив</w:t>
      </w:r>
      <w:r w:rsidR="009055FE" w:rsidRPr="00FE6AC6">
        <w:rPr>
          <w:lang w:val="bg-BG"/>
        </w:rPr>
        <w:t xml:space="preserve"> (</w:t>
      </w:r>
      <w:r w:rsidRPr="00FE6AC6">
        <w:rPr>
          <w:lang w:val="bg-BG"/>
        </w:rPr>
        <w:t>вж. точка</w:t>
      </w:r>
      <w:r w:rsidR="009055FE" w:rsidRPr="00FE6AC6">
        <w:rPr>
          <w:lang w:val="bg-BG"/>
        </w:rPr>
        <w:t xml:space="preserve"> 4.8). </w:t>
      </w:r>
      <w:r w:rsidRPr="00FE6AC6">
        <w:rPr>
          <w:lang w:val="bg-BG"/>
        </w:rPr>
        <w:t>Когато е необходимо</w:t>
      </w:r>
      <w:r w:rsidR="000E0BF0" w:rsidRPr="00FE6AC6">
        <w:rPr>
          <w:lang w:val="bg-BG"/>
        </w:rPr>
        <w:t>,</w:t>
      </w:r>
      <w:r w:rsidRPr="00FE6AC6">
        <w:rPr>
          <w:lang w:val="bg-BG"/>
        </w:rPr>
        <w:t xml:space="preserve"> може да се обмисли преустановяване на лечението с </w:t>
      </w:r>
      <w:r w:rsidR="009055FE" w:rsidRPr="00FE6AC6">
        <w:t>Glivec</w:t>
      </w:r>
      <w:r w:rsidR="009055FE" w:rsidRPr="00FE6AC6">
        <w:rPr>
          <w:lang w:val="bg-BG"/>
        </w:rPr>
        <w:t>.</w:t>
      </w:r>
    </w:p>
    <w:p w14:paraId="3E54FBF8" w14:textId="77777777" w:rsidR="009055FE" w:rsidRPr="00FE6AC6" w:rsidRDefault="009055FE" w:rsidP="0063575E">
      <w:pPr>
        <w:widowControl w:val="0"/>
        <w:tabs>
          <w:tab w:val="clear" w:pos="567"/>
        </w:tabs>
        <w:spacing w:line="240" w:lineRule="auto"/>
        <w:rPr>
          <w:color w:val="000000"/>
          <w:u w:val="single"/>
          <w:lang w:val="bg-BG"/>
        </w:rPr>
      </w:pPr>
    </w:p>
    <w:p w14:paraId="3E54FBF9" w14:textId="77777777" w:rsidR="00501972" w:rsidRPr="00FE6AC6" w:rsidRDefault="00501972" w:rsidP="0063575E">
      <w:pPr>
        <w:keepNext/>
        <w:widowControl w:val="0"/>
        <w:tabs>
          <w:tab w:val="clear" w:pos="567"/>
        </w:tabs>
        <w:spacing w:line="240" w:lineRule="auto"/>
        <w:rPr>
          <w:color w:val="000000"/>
          <w:u w:val="single"/>
          <w:lang w:val="bg-BG"/>
        </w:rPr>
      </w:pPr>
      <w:r w:rsidRPr="00FE6AC6">
        <w:rPr>
          <w:color w:val="000000"/>
          <w:u w:val="single"/>
          <w:lang w:val="bg-BG"/>
        </w:rPr>
        <w:t>Тумор-лизис синдром</w:t>
      </w:r>
    </w:p>
    <w:p w14:paraId="3E54FBFA" w14:textId="77777777" w:rsidR="00353FA8" w:rsidRPr="00FE6AC6" w:rsidRDefault="00353FA8" w:rsidP="0063575E">
      <w:pPr>
        <w:widowControl w:val="0"/>
        <w:tabs>
          <w:tab w:val="clear" w:pos="567"/>
        </w:tabs>
        <w:spacing w:line="240" w:lineRule="auto"/>
        <w:rPr>
          <w:color w:val="000000"/>
          <w:lang w:val="bg-BG"/>
        </w:rPr>
      </w:pPr>
      <w:r w:rsidRPr="00FE6AC6">
        <w:rPr>
          <w:color w:val="000000"/>
          <w:lang w:val="bg-BG"/>
        </w:rPr>
        <w:t xml:space="preserve">Поради възможността </w:t>
      </w:r>
      <w:r w:rsidR="00005820" w:rsidRPr="00FE6AC6">
        <w:rPr>
          <w:color w:val="000000"/>
          <w:lang w:val="bg-BG"/>
        </w:rPr>
        <w:t>за</w:t>
      </w:r>
      <w:r w:rsidRPr="00FE6AC6">
        <w:rPr>
          <w:color w:val="000000"/>
          <w:lang w:val="bg-BG"/>
        </w:rPr>
        <w:t xml:space="preserve"> възникване на </w:t>
      </w:r>
      <w:r w:rsidR="0070394A" w:rsidRPr="00FE6AC6">
        <w:rPr>
          <w:color w:val="000000"/>
          <w:lang w:val="bg-BG"/>
        </w:rPr>
        <w:t xml:space="preserve">тумор-лизис </w:t>
      </w:r>
      <w:r w:rsidRPr="00FE6AC6">
        <w:rPr>
          <w:color w:val="000000"/>
          <w:lang w:val="bg-BG"/>
        </w:rPr>
        <w:t>синдром (ТЛ</w:t>
      </w:r>
      <w:r w:rsidR="0070394A" w:rsidRPr="00FE6AC6">
        <w:rPr>
          <w:color w:val="000000"/>
          <w:lang w:val="bg-BG"/>
        </w:rPr>
        <w:t>С</w:t>
      </w:r>
      <w:r w:rsidRPr="00FE6AC6">
        <w:rPr>
          <w:color w:val="000000"/>
          <w:lang w:val="bg-BG"/>
        </w:rPr>
        <w:t xml:space="preserve">) се препоръчва коригиране на клинично значимата дехидратация и високите нива на пикочна киселина преди започване на лечението с </w:t>
      </w:r>
      <w:r w:rsidRPr="00FE6AC6">
        <w:rPr>
          <w:color w:val="000000"/>
          <w:lang w:val="en-US"/>
        </w:rPr>
        <w:t>Glivec</w:t>
      </w:r>
      <w:r w:rsidRPr="00FE6AC6">
        <w:rPr>
          <w:color w:val="000000"/>
          <w:lang w:val="bg-BG"/>
        </w:rPr>
        <w:t xml:space="preserve"> (вж. точка 4.8).</w:t>
      </w:r>
    </w:p>
    <w:p w14:paraId="3E54FBFB" w14:textId="77777777" w:rsidR="00732E13" w:rsidRPr="00FE6AC6" w:rsidRDefault="00732E13" w:rsidP="0063575E">
      <w:pPr>
        <w:widowControl w:val="0"/>
        <w:tabs>
          <w:tab w:val="clear" w:pos="567"/>
        </w:tabs>
        <w:spacing w:line="240" w:lineRule="auto"/>
        <w:rPr>
          <w:color w:val="000000"/>
          <w:lang w:val="bg-BG"/>
        </w:rPr>
      </w:pPr>
    </w:p>
    <w:p w14:paraId="3E54FBFC" w14:textId="77777777" w:rsidR="00732E13" w:rsidRPr="00FE6AC6" w:rsidRDefault="00732E13" w:rsidP="0063575E">
      <w:pPr>
        <w:keepNext/>
        <w:widowControl w:val="0"/>
        <w:tabs>
          <w:tab w:val="clear" w:pos="567"/>
        </w:tabs>
        <w:spacing w:line="240" w:lineRule="auto"/>
        <w:rPr>
          <w:color w:val="000000"/>
          <w:u w:val="single"/>
          <w:lang w:val="bg-BG"/>
        </w:rPr>
      </w:pPr>
      <w:r w:rsidRPr="00FE6AC6">
        <w:rPr>
          <w:color w:val="000000"/>
          <w:u w:val="single"/>
          <w:lang w:val="bg-BG"/>
        </w:rPr>
        <w:t>Реактивация на хепатит В</w:t>
      </w:r>
    </w:p>
    <w:p w14:paraId="3E54FBFD" w14:textId="77777777" w:rsidR="00732E13" w:rsidRPr="00FE6AC6" w:rsidRDefault="00732E13" w:rsidP="0063575E">
      <w:pPr>
        <w:widowControl w:val="0"/>
        <w:tabs>
          <w:tab w:val="clear" w:pos="567"/>
        </w:tabs>
        <w:spacing w:line="240" w:lineRule="auto"/>
        <w:rPr>
          <w:color w:val="000000"/>
          <w:lang w:val="bg-BG"/>
        </w:rPr>
      </w:pPr>
      <w:r w:rsidRPr="00FE6AC6">
        <w:rPr>
          <w:color w:val="000000"/>
          <w:lang w:val="bg-BG"/>
        </w:rPr>
        <w:t>Наблюдавана е реактивация на хепатит В при пациенти, които са хронични носители на този вирус, след като приемат BCR-ABL тирозинкиназни инхибитори. В някои случаи настъпва остра чернодробна недостатъчност или фулминантен хепатит, водещ до чернодробна трансплантация или фатален изход.</w:t>
      </w:r>
    </w:p>
    <w:p w14:paraId="3E54FBFE" w14:textId="77777777" w:rsidR="00732E13" w:rsidRPr="00FE6AC6" w:rsidRDefault="00732E13" w:rsidP="0063575E">
      <w:pPr>
        <w:widowControl w:val="0"/>
        <w:tabs>
          <w:tab w:val="clear" w:pos="567"/>
        </w:tabs>
        <w:spacing w:line="240" w:lineRule="auto"/>
        <w:rPr>
          <w:color w:val="000000"/>
          <w:lang w:val="bg-BG"/>
        </w:rPr>
      </w:pPr>
    </w:p>
    <w:p w14:paraId="3E54FBFF" w14:textId="77777777" w:rsidR="001636FA" w:rsidRPr="00FE6AC6" w:rsidRDefault="00732E13" w:rsidP="0063575E">
      <w:pPr>
        <w:widowControl w:val="0"/>
        <w:tabs>
          <w:tab w:val="clear" w:pos="567"/>
        </w:tabs>
        <w:spacing w:line="240" w:lineRule="auto"/>
        <w:rPr>
          <w:color w:val="000000"/>
          <w:lang w:val="bg-BG"/>
        </w:rPr>
      </w:pPr>
      <w:r w:rsidRPr="00FE6AC6">
        <w:rPr>
          <w:color w:val="000000"/>
          <w:lang w:val="bg-BG"/>
        </w:rPr>
        <w:t xml:space="preserve">Преди да започнат лечение с Glivec, пациентите трябва да бъдат изследвани за HBV инфекция. Преди да започнат лечение, пациентите с позитивна серология за хепатит В (включително тези с активно заболяване) и пациенти, които са положителни за HBV инфекция по време на лечение, трябва бъдат консултарани със специалисти в лечението на хепатит В. Носителите на HBV, които имат нужда от лечение с Glivec, трябва да бъдат внимателно проследявани за признаци и симптоми на активна HBV инфекция по време на лечението и няколко месеца след края на лечението (вж. </w:t>
      </w:r>
      <w:r w:rsidR="00950355" w:rsidRPr="00FE6AC6">
        <w:rPr>
          <w:color w:val="000000"/>
          <w:lang w:val="bg-BG"/>
        </w:rPr>
        <w:t>Т</w:t>
      </w:r>
      <w:r w:rsidRPr="00FE6AC6">
        <w:rPr>
          <w:color w:val="000000"/>
          <w:lang w:val="bg-BG"/>
        </w:rPr>
        <w:t>очка</w:t>
      </w:r>
      <w:r w:rsidR="00950355" w:rsidRPr="00FE6AC6">
        <w:rPr>
          <w:color w:val="000000"/>
          <w:lang w:val="de-CH"/>
        </w:rPr>
        <w:t> </w:t>
      </w:r>
      <w:r w:rsidRPr="00FE6AC6">
        <w:rPr>
          <w:color w:val="000000"/>
          <w:lang w:val="bg-BG"/>
        </w:rPr>
        <w:t>4.8).</w:t>
      </w:r>
    </w:p>
    <w:p w14:paraId="3E54FC00" w14:textId="77777777" w:rsidR="00F16F10" w:rsidRPr="00FE6AC6" w:rsidRDefault="00F16F10" w:rsidP="0063575E">
      <w:pPr>
        <w:pStyle w:val="EndnoteText"/>
        <w:widowControl w:val="0"/>
        <w:tabs>
          <w:tab w:val="clear" w:pos="567"/>
        </w:tabs>
        <w:rPr>
          <w:snapToGrid w:val="0"/>
          <w:color w:val="000000"/>
          <w:szCs w:val="22"/>
          <w:lang w:val="bg-BG"/>
        </w:rPr>
      </w:pPr>
    </w:p>
    <w:p w14:paraId="3E54FC01" w14:textId="77777777" w:rsidR="00F16F10" w:rsidRPr="00FE6AC6" w:rsidRDefault="00F16F10" w:rsidP="0063575E">
      <w:pPr>
        <w:pStyle w:val="EndnoteText"/>
        <w:keepNext/>
        <w:widowControl w:val="0"/>
        <w:tabs>
          <w:tab w:val="clear" w:pos="567"/>
        </w:tabs>
        <w:rPr>
          <w:snapToGrid w:val="0"/>
          <w:color w:val="000000"/>
          <w:szCs w:val="22"/>
          <w:u w:val="single"/>
          <w:lang w:val="bg-BG"/>
        </w:rPr>
      </w:pPr>
      <w:r w:rsidRPr="00FE6AC6">
        <w:rPr>
          <w:snapToGrid w:val="0"/>
          <w:color w:val="000000"/>
          <w:szCs w:val="22"/>
          <w:u w:val="single"/>
          <w:lang w:val="bg-BG"/>
        </w:rPr>
        <w:t>Фототоксичност</w:t>
      </w:r>
    </w:p>
    <w:p w14:paraId="3E54FC02" w14:textId="77777777" w:rsidR="00732E13" w:rsidRPr="00FE6AC6" w:rsidRDefault="00F16F10" w:rsidP="0063575E">
      <w:pPr>
        <w:widowControl w:val="0"/>
        <w:tabs>
          <w:tab w:val="clear" w:pos="567"/>
        </w:tabs>
        <w:spacing w:line="240" w:lineRule="auto"/>
        <w:rPr>
          <w:snapToGrid w:val="0"/>
          <w:color w:val="000000"/>
          <w:szCs w:val="22"/>
          <w:lang w:val="bg-BG"/>
        </w:rPr>
      </w:pPr>
      <w:r w:rsidRPr="00FE6AC6">
        <w:rPr>
          <w:snapToGrid w:val="0"/>
          <w:color w:val="000000"/>
          <w:szCs w:val="22"/>
          <w:lang w:val="bg-BG"/>
        </w:rPr>
        <w:t xml:space="preserve">Излагането на директна слънчева светлина трябва да се избягва или </w:t>
      </w:r>
      <w:r w:rsidR="008B1711" w:rsidRPr="00FE6AC6">
        <w:rPr>
          <w:snapToGrid w:val="0"/>
          <w:color w:val="000000"/>
          <w:szCs w:val="22"/>
          <w:lang w:val="bg-BG"/>
        </w:rPr>
        <w:t>намали до минимум</w:t>
      </w:r>
      <w:r w:rsidRPr="00FE6AC6">
        <w:rPr>
          <w:snapToGrid w:val="0"/>
          <w:color w:val="000000"/>
          <w:szCs w:val="22"/>
          <w:lang w:val="bg-BG"/>
        </w:rPr>
        <w:t xml:space="preserve"> поради риска от фототоксичност, свързана с лечението с иматиниб. Пациентите трябва да бъдат инструктирани да </w:t>
      </w:r>
      <w:r w:rsidR="004B03FE" w:rsidRPr="00FE6AC6">
        <w:rPr>
          <w:snapToGrid w:val="0"/>
          <w:color w:val="000000"/>
          <w:szCs w:val="22"/>
          <w:lang w:val="bg-BG"/>
        </w:rPr>
        <w:t>използват предпазни средства като</w:t>
      </w:r>
      <w:r w:rsidRPr="00FE6AC6">
        <w:rPr>
          <w:snapToGrid w:val="0"/>
          <w:color w:val="000000"/>
          <w:szCs w:val="22"/>
          <w:lang w:val="bg-BG"/>
        </w:rPr>
        <w:t xml:space="preserve"> </w:t>
      </w:r>
      <w:r w:rsidR="004B03FE" w:rsidRPr="00FE6AC6">
        <w:rPr>
          <w:snapToGrid w:val="0"/>
          <w:color w:val="000000"/>
          <w:szCs w:val="22"/>
          <w:lang w:val="bg-BG"/>
        </w:rPr>
        <w:t>предпазно</w:t>
      </w:r>
      <w:r w:rsidRPr="00FE6AC6">
        <w:rPr>
          <w:snapToGrid w:val="0"/>
          <w:color w:val="000000"/>
          <w:szCs w:val="22"/>
          <w:lang w:val="bg-BG"/>
        </w:rPr>
        <w:t xml:space="preserve"> облекло и слънцезащитни продукти с висок </w:t>
      </w:r>
      <w:r w:rsidR="004B03FE" w:rsidRPr="00FE6AC6">
        <w:rPr>
          <w:snapToGrid w:val="0"/>
          <w:color w:val="000000"/>
          <w:szCs w:val="22"/>
          <w:lang w:val="bg-BG"/>
        </w:rPr>
        <w:t>слънцезащитен фактор</w:t>
      </w:r>
      <w:r w:rsidRPr="00FE6AC6">
        <w:rPr>
          <w:snapToGrid w:val="0"/>
          <w:color w:val="000000"/>
          <w:szCs w:val="22"/>
          <w:lang w:val="bg-BG"/>
        </w:rPr>
        <w:t xml:space="preserve"> (</w:t>
      </w:r>
      <w:r w:rsidRPr="00FE6AC6">
        <w:rPr>
          <w:snapToGrid w:val="0"/>
          <w:color w:val="000000"/>
          <w:szCs w:val="22"/>
        </w:rPr>
        <w:t>SPF</w:t>
      </w:r>
      <w:r w:rsidRPr="00FE6AC6">
        <w:rPr>
          <w:snapToGrid w:val="0"/>
          <w:color w:val="000000"/>
          <w:szCs w:val="22"/>
          <w:lang w:val="bg-BG"/>
        </w:rPr>
        <w:t>).</w:t>
      </w:r>
    </w:p>
    <w:p w14:paraId="3E54FC03" w14:textId="77777777" w:rsidR="001901F8" w:rsidRPr="00FE6AC6" w:rsidRDefault="001901F8" w:rsidP="0063575E">
      <w:pPr>
        <w:pStyle w:val="EndnoteText"/>
        <w:widowControl w:val="0"/>
        <w:tabs>
          <w:tab w:val="clear" w:pos="567"/>
        </w:tabs>
        <w:rPr>
          <w:snapToGrid w:val="0"/>
          <w:color w:val="000000"/>
          <w:szCs w:val="22"/>
          <w:lang w:val="bg-BG"/>
        </w:rPr>
      </w:pPr>
    </w:p>
    <w:p w14:paraId="3E54FC04" w14:textId="77777777" w:rsidR="001901F8" w:rsidRPr="00FE6AC6" w:rsidRDefault="001901F8" w:rsidP="0063575E">
      <w:pPr>
        <w:pStyle w:val="EndnoteText"/>
        <w:keepNext/>
        <w:widowControl w:val="0"/>
        <w:tabs>
          <w:tab w:val="clear" w:pos="567"/>
        </w:tabs>
        <w:rPr>
          <w:snapToGrid w:val="0"/>
          <w:color w:val="000000"/>
          <w:szCs w:val="22"/>
          <w:u w:val="single"/>
          <w:lang w:val="bg-BG"/>
        </w:rPr>
      </w:pPr>
      <w:r w:rsidRPr="00FE6AC6">
        <w:rPr>
          <w:snapToGrid w:val="0"/>
          <w:color w:val="000000"/>
          <w:szCs w:val="22"/>
          <w:u w:val="single"/>
          <w:lang w:val="bg-BG"/>
        </w:rPr>
        <w:t>Тромботична микроангиопатия</w:t>
      </w:r>
    </w:p>
    <w:p w14:paraId="3E54FC05" w14:textId="77777777" w:rsidR="001901F8" w:rsidRPr="00FE6AC6" w:rsidRDefault="001901F8" w:rsidP="0063575E">
      <w:pPr>
        <w:pStyle w:val="EndnoteText"/>
        <w:widowControl w:val="0"/>
        <w:tabs>
          <w:tab w:val="clear" w:pos="567"/>
        </w:tabs>
        <w:rPr>
          <w:color w:val="000000"/>
          <w:szCs w:val="22"/>
          <w:lang w:val="bg-BG"/>
        </w:rPr>
      </w:pPr>
      <w:r w:rsidRPr="00FE6AC6">
        <w:rPr>
          <w:color w:val="000000"/>
          <w:szCs w:val="22"/>
        </w:rPr>
        <w:t>BCR</w:t>
      </w:r>
      <w:r w:rsidRPr="00FE6AC6">
        <w:rPr>
          <w:color w:val="000000"/>
          <w:szCs w:val="22"/>
          <w:lang w:val="bg-BG"/>
        </w:rPr>
        <w:t>-</w:t>
      </w:r>
      <w:r w:rsidRPr="00FE6AC6">
        <w:rPr>
          <w:color w:val="000000"/>
          <w:szCs w:val="22"/>
        </w:rPr>
        <w:t>ABL</w:t>
      </w:r>
      <w:r w:rsidRPr="00FE6AC6">
        <w:rPr>
          <w:color w:val="000000"/>
          <w:szCs w:val="22"/>
          <w:lang w:val="bg-BG"/>
        </w:rPr>
        <w:t xml:space="preserve"> тирозинкиназните инхибитори (ТКИ) с</w:t>
      </w:r>
      <w:r w:rsidR="00644B78" w:rsidRPr="00FE6AC6">
        <w:rPr>
          <w:color w:val="000000"/>
          <w:szCs w:val="22"/>
          <w:lang w:val="bg-BG"/>
        </w:rPr>
        <w:t>е</w:t>
      </w:r>
      <w:r w:rsidRPr="00FE6AC6">
        <w:rPr>
          <w:color w:val="000000"/>
          <w:szCs w:val="22"/>
          <w:lang w:val="bg-BG"/>
        </w:rPr>
        <w:t xml:space="preserve"> свърз</w:t>
      </w:r>
      <w:r w:rsidR="00644B78" w:rsidRPr="00FE6AC6">
        <w:rPr>
          <w:color w:val="000000"/>
          <w:szCs w:val="22"/>
          <w:lang w:val="bg-BG"/>
        </w:rPr>
        <w:t>в</w:t>
      </w:r>
      <w:r w:rsidRPr="00FE6AC6">
        <w:rPr>
          <w:color w:val="000000"/>
          <w:szCs w:val="22"/>
          <w:lang w:val="bg-BG"/>
        </w:rPr>
        <w:t>а</w:t>
      </w:r>
      <w:r w:rsidR="00644B78" w:rsidRPr="00FE6AC6">
        <w:rPr>
          <w:color w:val="000000"/>
          <w:szCs w:val="22"/>
          <w:lang w:val="bg-BG"/>
        </w:rPr>
        <w:t>т</w:t>
      </w:r>
      <w:r w:rsidRPr="00FE6AC6">
        <w:rPr>
          <w:color w:val="000000"/>
          <w:szCs w:val="22"/>
          <w:lang w:val="bg-BG"/>
        </w:rPr>
        <w:t xml:space="preserve"> с тромботична микроангиопатия (ТМА), включително съобщени</w:t>
      </w:r>
      <w:r w:rsidR="00410FB2" w:rsidRPr="00FE6AC6">
        <w:rPr>
          <w:color w:val="000000"/>
          <w:szCs w:val="22"/>
          <w:lang w:val="bg-BG"/>
        </w:rPr>
        <w:t>я на</w:t>
      </w:r>
      <w:r w:rsidRPr="00FE6AC6">
        <w:rPr>
          <w:color w:val="000000"/>
          <w:szCs w:val="22"/>
          <w:lang w:val="bg-BG"/>
        </w:rPr>
        <w:t xml:space="preserve"> отделни случаи при </w:t>
      </w:r>
      <w:r w:rsidRPr="00FE6AC6">
        <w:rPr>
          <w:color w:val="000000"/>
          <w:szCs w:val="22"/>
        </w:rPr>
        <w:t>Glivec</w:t>
      </w:r>
      <w:r w:rsidRPr="00FE6AC6">
        <w:rPr>
          <w:color w:val="000000"/>
          <w:szCs w:val="22"/>
          <w:lang w:val="bg-BG"/>
        </w:rPr>
        <w:t xml:space="preserve"> (вж. точка</w:t>
      </w:r>
      <w:r w:rsidRPr="00FE6AC6">
        <w:rPr>
          <w:color w:val="000000"/>
          <w:szCs w:val="22"/>
        </w:rPr>
        <w:t> </w:t>
      </w:r>
      <w:r w:rsidRPr="00FE6AC6">
        <w:rPr>
          <w:color w:val="000000"/>
          <w:szCs w:val="22"/>
          <w:lang w:val="bg-BG"/>
        </w:rPr>
        <w:t xml:space="preserve">4.8). Ако при пациенти на лечение с </w:t>
      </w:r>
      <w:r w:rsidRPr="00FE6AC6">
        <w:rPr>
          <w:color w:val="000000"/>
          <w:szCs w:val="22"/>
          <w:lang w:val="en-US"/>
        </w:rPr>
        <w:t>Glivec</w:t>
      </w:r>
      <w:r w:rsidRPr="00FE6AC6">
        <w:rPr>
          <w:color w:val="000000"/>
          <w:szCs w:val="22"/>
          <w:lang w:val="bg-BG"/>
        </w:rPr>
        <w:t xml:space="preserve"> възникнат лабораторни или клинични находки</w:t>
      </w:r>
      <w:r w:rsidR="003D5697" w:rsidRPr="00FE6AC6">
        <w:rPr>
          <w:color w:val="000000"/>
          <w:szCs w:val="22"/>
          <w:lang w:val="bg-BG"/>
        </w:rPr>
        <w:t>,</w:t>
      </w:r>
      <w:r w:rsidRPr="00FE6AC6">
        <w:rPr>
          <w:color w:val="000000"/>
          <w:szCs w:val="22"/>
          <w:lang w:val="bg-BG"/>
        </w:rPr>
        <w:t xml:space="preserve"> свързани с ТМА, лечението трябва да се преустанови и да се направи </w:t>
      </w:r>
      <w:r w:rsidR="003D5697" w:rsidRPr="00FE6AC6">
        <w:rPr>
          <w:color w:val="000000"/>
          <w:szCs w:val="22"/>
          <w:lang w:val="bg-BG"/>
        </w:rPr>
        <w:t>задълбочена оценка</w:t>
      </w:r>
      <w:r w:rsidRPr="00FE6AC6">
        <w:rPr>
          <w:color w:val="000000"/>
          <w:szCs w:val="22"/>
          <w:lang w:val="bg-BG"/>
        </w:rPr>
        <w:t xml:space="preserve"> за ТМА, включително определяне </w:t>
      </w:r>
      <w:r w:rsidR="003D5697" w:rsidRPr="00FE6AC6">
        <w:rPr>
          <w:color w:val="000000"/>
          <w:szCs w:val="22"/>
          <w:lang w:val="bg-BG"/>
        </w:rPr>
        <w:t xml:space="preserve">на </w:t>
      </w:r>
      <w:r w:rsidRPr="00FE6AC6">
        <w:rPr>
          <w:color w:val="000000"/>
          <w:szCs w:val="22"/>
          <w:lang w:val="bg-BG"/>
        </w:rPr>
        <w:t xml:space="preserve">активността на </w:t>
      </w:r>
      <w:r w:rsidRPr="00FE6AC6">
        <w:rPr>
          <w:color w:val="000000"/>
          <w:szCs w:val="22"/>
        </w:rPr>
        <w:t>ADAMTS</w:t>
      </w:r>
      <w:r w:rsidRPr="00FE6AC6">
        <w:rPr>
          <w:color w:val="000000"/>
          <w:szCs w:val="22"/>
          <w:lang w:val="bg-BG"/>
        </w:rPr>
        <w:t>13 и наличието на анти</w:t>
      </w:r>
      <w:r w:rsidRPr="00FE6AC6">
        <w:rPr>
          <w:color w:val="000000"/>
          <w:szCs w:val="22"/>
          <w:lang w:val="bg-BG"/>
        </w:rPr>
        <w:noBreakHyphen/>
      </w:r>
      <w:r w:rsidRPr="00FE6AC6">
        <w:rPr>
          <w:color w:val="000000"/>
          <w:szCs w:val="22"/>
        </w:rPr>
        <w:t>ADAMTS</w:t>
      </w:r>
      <w:r w:rsidRPr="00FE6AC6">
        <w:rPr>
          <w:color w:val="000000"/>
          <w:szCs w:val="22"/>
          <w:lang w:val="bg-BG"/>
        </w:rPr>
        <w:t>13 антитела. Ако анти</w:t>
      </w:r>
      <w:r w:rsidRPr="00FE6AC6">
        <w:rPr>
          <w:color w:val="000000"/>
          <w:szCs w:val="22"/>
          <w:lang w:val="bg-BG"/>
        </w:rPr>
        <w:noBreakHyphen/>
      </w:r>
      <w:r w:rsidRPr="00FE6AC6">
        <w:rPr>
          <w:color w:val="000000"/>
          <w:szCs w:val="22"/>
        </w:rPr>
        <w:t>ADAMTS</w:t>
      </w:r>
      <w:r w:rsidRPr="00FE6AC6">
        <w:rPr>
          <w:color w:val="000000"/>
          <w:szCs w:val="22"/>
          <w:lang w:val="bg-BG"/>
        </w:rPr>
        <w:t>13</w:t>
      </w:r>
      <w:r w:rsidR="009A69E5" w:rsidRPr="00FE6AC6">
        <w:rPr>
          <w:color w:val="000000"/>
          <w:szCs w:val="22"/>
          <w:lang w:val="bg-BG"/>
        </w:rPr>
        <w:t xml:space="preserve"> антителата са повишени</w:t>
      </w:r>
      <w:r w:rsidR="000F35BC" w:rsidRPr="00FE6AC6">
        <w:rPr>
          <w:color w:val="000000"/>
          <w:szCs w:val="22"/>
          <w:lang w:val="bg-BG"/>
        </w:rPr>
        <w:t>, съчетано</w:t>
      </w:r>
      <w:r w:rsidR="009A69E5" w:rsidRPr="00FE6AC6">
        <w:rPr>
          <w:color w:val="000000"/>
          <w:szCs w:val="22"/>
          <w:lang w:val="bg-BG"/>
        </w:rPr>
        <w:t xml:space="preserve"> с ниска активност на </w:t>
      </w:r>
      <w:r w:rsidRPr="00FE6AC6">
        <w:rPr>
          <w:color w:val="000000"/>
          <w:szCs w:val="22"/>
        </w:rPr>
        <w:t>ADAMTS</w:t>
      </w:r>
      <w:r w:rsidRPr="00FE6AC6">
        <w:rPr>
          <w:color w:val="000000"/>
          <w:szCs w:val="22"/>
          <w:lang w:val="bg-BG"/>
        </w:rPr>
        <w:t xml:space="preserve">13, </w:t>
      </w:r>
      <w:r w:rsidR="009A69E5" w:rsidRPr="00FE6AC6">
        <w:rPr>
          <w:color w:val="000000"/>
          <w:szCs w:val="22"/>
          <w:lang w:val="bg-BG"/>
        </w:rPr>
        <w:t xml:space="preserve">лечението с </w:t>
      </w:r>
      <w:r w:rsidRPr="00FE6AC6">
        <w:rPr>
          <w:color w:val="000000"/>
          <w:szCs w:val="22"/>
        </w:rPr>
        <w:t>Glivec</w:t>
      </w:r>
      <w:r w:rsidRPr="00FE6AC6">
        <w:rPr>
          <w:color w:val="000000"/>
          <w:szCs w:val="22"/>
          <w:lang w:val="bg-BG"/>
        </w:rPr>
        <w:t xml:space="preserve"> </w:t>
      </w:r>
      <w:r w:rsidR="009A69E5" w:rsidRPr="00FE6AC6">
        <w:rPr>
          <w:color w:val="000000"/>
          <w:szCs w:val="22"/>
          <w:lang w:val="bg-BG"/>
        </w:rPr>
        <w:t>не трябва да се подновява</w:t>
      </w:r>
      <w:r w:rsidRPr="00FE6AC6">
        <w:rPr>
          <w:color w:val="000000"/>
          <w:szCs w:val="22"/>
          <w:lang w:val="bg-BG"/>
        </w:rPr>
        <w:t>.</w:t>
      </w:r>
    </w:p>
    <w:p w14:paraId="3E54FC06" w14:textId="77777777" w:rsidR="00F16F10" w:rsidRPr="00FE6AC6" w:rsidRDefault="00F16F10" w:rsidP="0063575E">
      <w:pPr>
        <w:widowControl w:val="0"/>
        <w:tabs>
          <w:tab w:val="clear" w:pos="567"/>
        </w:tabs>
        <w:spacing w:line="240" w:lineRule="auto"/>
        <w:rPr>
          <w:color w:val="000000"/>
          <w:u w:val="single"/>
          <w:lang w:val="bg-BG"/>
        </w:rPr>
      </w:pPr>
    </w:p>
    <w:p w14:paraId="3E54FC07" w14:textId="77777777" w:rsidR="001636FA" w:rsidRPr="00FE6AC6" w:rsidRDefault="001636FA" w:rsidP="0063575E">
      <w:pPr>
        <w:keepNext/>
        <w:widowControl w:val="0"/>
        <w:tabs>
          <w:tab w:val="clear" w:pos="567"/>
        </w:tabs>
        <w:spacing w:line="240" w:lineRule="auto"/>
        <w:rPr>
          <w:color w:val="000000"/>
          <w:u w:val="single"/>
          <w:lang w:val="bg-BG"/>
        </w:rPr>
      </w:pPr>
      <w:r w:rsidRPr="00FE6AC6">
        <w:rPr>
          <w:color w:val="000000"/>
          <w:u w:val="single"/>
          <w:lang w:val="bg-BG"/>
        </w:rPr>
        <w:t>Лабораторни изследвания</w:t>
      </w:r>
    </w:p>
    <w:p w14:paraId="3E54FC08"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По време на лечението с Glivec редовно трябва да се извършва определяне на броя на всички кръвни клетки. Лечението с Glivec на пациентите с ХМЛ е свързано с неутропения или тромбоцитопения. Честотата на тези цитопении обаче вероятно е свързана със стадия на заболяването, в който се прилага лечението и са по-чести при пациенти с ХМЛ във фаза на акцелерация или бластна криза</w:t>
      </w:r>
      <w:r w:rsidR="000A5A1D" w:rsidRPr="00FE6AC6">
        <w:rPr>
          <w:color w:val="000000"/>
          <w:lang w:val="bg-BG"/>
        </w:rPr>
        <w:t>,</w:t>
      </w:r>
      <w:r w:rsidRPr="00FE6AC6">
        <w:rPr>
          <w:color w:val="000000"/>
          <w:lang w:val="bg-BG"/>
        </w:rPr>
        <w:t xml:space="preserve"> в сравнение с пациентите в хронична фаза на ХМЛ. Лечението с Glivec може да се прекъсва или да се понижава дозата според препоръките в точка</w:t>
      </w:r>
      <w:r w:rsidRPr="00FE6AC6">
        <w:rPr>
          <w:color w:val="000000"/>
          <w:lang w:val="en-US"/>
        </w:rPr>
        <w:t> </w:t>
      </w:r>
      <w:r w:rsidRPr="00FE6AC6">
        <w:rPr>
          <w:color w:val="000000"/>
          <w:lang w:val="bg-BG"/>
        </w:rPr>
        <w:t>4.2.</w:t>
      </w:r>
    </w:p>
    <w:p w14:paraId="3E54FC09" w14:textId="77777777" w:rsidR="001636FA" w:rsidRPr="00FE6AC6" w:rsidRDefault="001636FA" w:rsidP="0063575E">
      <w:pPr>
        <w:widowControl w:val="0"/>
        <w:tabs>
          <w:tab w:val="clear" w:pos="567"/>
        </w:tabs>
        <w:spacing w:line="240" w:lineRule="auto"/>
        <w:rPr>
          <w:color w:val="000000"/>
          <w:lang w:val="bg-BG"/>
        </w:rPr>
      </w:pPr>
    </w:p>
    <w:p w14:paraId="3E54FC0A"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 xml:space="preserve">При пациентите, получаващи Glivec, редовно трябва да се следи функцията на черния дроб </w:t>
      </w:r>
      <w:r w:rsidRPr="00FE6AC6">
        <w:rPr>
          <w:color w:val="000000"/>
          <w:lang w:val="bg-BG"/>
        </w:rPr>
        <w:lastRenderedPageBreak/>
        <w:t>(трансаминази, билирубин, алкална фосфатаза).</w:t>
      </w:r>
    </w:p>
    <w:p w14:paraId="3E54FC0B" w14:textId="77777777" w:rsidR="001636FA" w:rsidRPr="00FE6AC6" w:rsidRDefault="001636FA" w:rsidP="0063575E">
      <w:pPr>
        <w:widowControl w:val="0"/>
        <w:tabs>
          <w:tab w:val="clear" w:pos="567"/>
        </w:tabs>
        <w:spacing w:line="240" w:lineRule="auto"/>
        <w:rPr>
          <w:color w:val="000000"/>
          <w:lang w:val="bg-BG"/>
        </w:rPr>
      </w:pPr>
    </w:p>
    <w:p w14:paraId="3E54FC0C" w14:textId="77777777" w:rsidR="008D7A35" w:rsidRPr="00FE6AC6" w:rsidRDefault="00611BE4" w:rsidP="0063575E">
      <w:pPr>
        <w:pStyle w:val="EndnoteText"/>
        <w:widowControl w:val="0"/>
        <w:tabs>
          <w:tab w:val="clear" w:pos="567"/>
        </w:tabs>
        <w:rPr>
          <w:color w:val="000000"/>
          <w:lang w:val="bg-BG"/>
        </w:rPr>
      </w:pPr>
      <w:r w:rsidRPr="00FE6AC6">
        <w:rPr>
          <w:color w:val="000000"/>
          <w:lang w:val="bg-BG"/>
        </w:rPr>
        <w:t>При пациенти с нарушена бъбречна функция</w:t>
      </w:r>
      <w:r w:rsidR="00DB40BF" w:rsidRPr="00FE6AC6">
        <w:rPr>
          <w:color w:val="000000"/>
          <w:lang w:val="bg-BG"/>
        </w:rPr>
        <w:t xml:space="preserve">, </w:t>
      </w:r>
      <w:r w:rsidRPr="00FE6AC6">
        <w:rPr>
          <w:color w:val="000000"/>
          <w:lang w:val="bg-BG"/>
        </w:rPr>
        <w:t>плазм</w:t>
      </w:r>
      <w:r w:rsidR="00C6627B" w:rsidRPr="00FE6AC6">
        <w:rPr>
          <w:color w:val="000000"/>
          <w:lang w:val="bg-BG"/>
        </w:rPr>
        <w:t>е</w:t>
      </w:r>
      <w:r w:rsidRPr="00FE6AC6">
        <w:rPr>
          <w:color w:val="000000"/>
          <w:lang w:val="bg-BG"/>
        </w:rPr>
        <w:t>ната експозиция на иматиниб е по-висока</w:t>
      </w:r>
      <w:r w:rsidR="00DC5D4A" w:rsidRPr="00FE6AC6">
        <w:rPr>
          <w:color w:val="000000"/>
          <w:lang w:val="bg-BG"/>
        </w:rPr>
        <w:t>,</w:t>
      </w:r>
      <w:r w:rsidRPr="00FE6AC6">
        <w:rPr>
          <w:color w:val="000000"/>
          <w:lang w:val="bg-BG"/>
        </w:rPr>
        <w:t xml:space="preserve"> отколкото при </w:t>
      </w:r>
      <w:r w:rsidR="00C54483" w:rsidRPr="00FE6AC6">
        <w:rPr>
          <w:color w:val="000000"/>
          <w:lang w:val="bg-BG"/>
        </w:rPr>
        <w:t>пациенти с нормална бъбречна функция</w:t>
      </w:r>
      <w:r w:rsidR="00DB40BF" w:rsidRPr="00FE6AC6">
        <w:rPr>
          <w:color w:val="000000"/>
          <w:lang w:val="bg-BG"/>
        </w:rPr>
        <w:t xml:space="preserve">, </w:t>
      </w:r>
      <w:r w:rsidR="00C54483" w:rsidRPr="00FE6AC6">
        <w:rPr>
          <w:color w:val="000000"/>
          <w:lang w:val="bg-BG"/>
        </w:rPr>
        <w:t>вероятно поради повишени плазмени нива на</w:t>
      </w:r>
      <w:r w:rsidR="00DB40BF" w:rsidRPr="00FE6AC6">
        <w:rPr>
          <w:color w:val="000000"/>
          <w:lang w:val="bg-BG"/>
        </w:rPr>
        <w:t xml:space="preserve"> </w:t>
      </w:r>
      <w:r w:rsidR="00C54483" w:rsidRPr="00FE6AC6">
        <w:rPr>
          <w:snapToGrid w:val="0"/>
          <w:color w:val="000000"/>
          <w:lang w:val="bg-BG"/>
        </w:rPr>
        <w:t>алфа</w:t>
      </w:r>
      <w:r w:rsidR="00DB40BF" w:rsidRPr="00FE6AC6">
        <w:rPr>
          <w:snapToGrid w:val="0"/>
          <w:color w:val="000000"/>
          <w:lang w:val="bg-BG"/>
        </w:rPr>
        <w:t>-</w:t>
      </w:r>
      <w:r w:rsidR="00C54483" w:rsidRPr="00FE6AC6">
        <w:rPr>
          <w:snapToGrid w:val="0"/>
          <w:color w:val="000000"/>
          <w:lang w:val="bg-BG"/>
        </w:rPr>
        <w:t>киселин</w:t>
      </w:r>
      <w:r w:rsidR="00101306" w:rsidRPr="00FE6AC6">
        <w:rPr>
          <w:snapToGrid w:val="0"/>
          <w:color w:val="000000"/>
          <w:lang w:val="bg-BG"/>
        </w:rPr>
        <w:t>н</w:t>
      </w:r>
      <w:r w:rsidR="00C54483" w:rsidRPr="00FE6AC6">
        <w:rPr>
          <w:snapToGrid w:val="0"/>
          <w:color w:val="000000"/>
          <w:lang w:val="bg-BG"/>
        </w:rPr>
        <w:t>ия гликопротеин</w:t>
      </w:r>
      <w:r w:rsidR="00DB40BF" w:rsidRPr="00FE6AC6">
        <w:rPr>
          <w:color w:val="000000"/>
          <w:lang w:val="bg-BG"/>
        </w:rPr>
        <w:t xml:space="preserve"> (</w:t>
      </w:r>
      <w:r w:rsidR="00DB40BF" w:rsidRPr="00FE6AC6">
        <w:rPr>
          <w:color w:val="000000"/>
        </w:rPr>
        <w:t>AGP</w:t>
      </w:r>
      <w:r w:rsidR="00DB40BF" w:rsidRPr="00FE6AC6">
        <w:rPr>
          <w:color w:val="000000"/>
          <w:lang w:val="bg-BG"/>
        </w:rPr>
        <w:t xml:space="preserve">), </w:t>
      </w:r>
      <w:r w:rsidR="00C54483" w:rsidRPr="00FE6AC6">
        <w:rPr>
          <w:color w:val="000000"/>
          <w:lang w:val="bg-BG"/>
        </w:rPr>
        <w:t>иматиниб-свързващ протеин</w:t>
      </w:r>
      <w:r w:rsidR="00DB40BF" w:rsidRPr="00FE6AC6">
        <w:rPr>
          <w:color w:val="000000"/>
          <w:lang w:val="bg-BG"/>
        </w:rPr>
        <w:t xml:space="preserve">, </w:t>
      </w:r>
      <w:r w:rsidR="00C54483" w:rsidRPr="00FE6AC6">
        <w:rPr>
          <w:color w:val="000000"/>
          <w:lang w:val="bg-BG"/>
        </w:rPr>
        <w:t>при тези пациенти</w:t>
      </w:r>
      <w:r w:rsidR="00DB40BF" w:rsidRPr="00FE6AC6">
        <w:rPr>
          <w:color w:val="000000"/>
          <w:lang w:val="bg-BG"/>
        </w:rPr>
        <w:t xml:space="preserve">. </w:t>
      </w:r>
      <w:r w:rsidR="00C54483" w:rsidRPr="00FE6AC6">
        <w:rPr>
          <w:color w:val="000000"/>
          <w:lang w:val="bg-BG"/>
        </w:rPr>
        <w:t>При пациентите с бъбречна недостатъчн</w:t>
      </w:r>
      <w:r w:rsidR="00101306" w:rsidRPr="00FE6AC6">
        <w:rPr>
          <w:color w:val="000000"/>
          <w:lang w:val="bg-BG"/>
        </w:rPr>
        <w:t>о</w:t>
      </w:r>
      <w:r w:rsidR="00C54483" w:rsidRPr="00FE6AC6">
        <w:rPr>
          <w:color w:val="000000"/>
          <w:lang w:val="bg-BG"/>
        </w:rPr>
        <w:t>ст трябва да се прилага минималната начална доза. Пациентите с тежка бъбречна недостатъчност</w:t>
      </w:r>
      <w:r w:rsidR="00DB40BF" w:rsidRPr="00FE6AC6">
        <w:rPr>
          <w:color w:val="000000"/>
          <w:lang w:val="bg-BG"/>
        </w:rPr>
        <w:t xml:space="preserve"> </w:t>
      </w:r>
      <w:r w:rsidR="00C54483" w:rsidRPr="00FE6AC6">
        <w:rPr>
          <w:color w:val="000000"/>
          <w:lang w:val="bg-BG"/>
        </w:rPr>
        <w:t>трябва да бъдат лекувани с повишено внимание</w:t>
      </w:r>
      <w:r w:rsidR="00DB40BF" w:rsidRPr="00FE6AC6">
        <w:rPr>
          <w:color w:val="000000"/>
          <w:lang w:val="bg-BG"/>
        </w:rPr>
        <w:t xml:space="preserve">. </w:t>
      </w:r>
      <w:r w:rsidR="00C54483" w:rsidRPr="00FE6AC6">
        <w:rPr>
          <w:color w:val="000000"/>
          <w:lang w:val="bg-BG"/>
        </w:rPr>
        <w:t>Дозата може да бъде понижена</w:t>
      </w:r>
      <w:r w:rsidR="00DC5D4A" w:rsidRPr="00FE6AC6">
        <w:rPr>
          <w:color w:val="000000"/>
          <w:lang w:val="bg-BG"/>
        </w:rPr>
        <w:t>,</w:t>
      </w:r>
      <w:r w:rsidR="00C54483" w:rsidRPr="00FE6AC6">
        <w:rPr>
          <w:color w:val="000000"/>
          <w:lang w:val="bg-BG"/>
        </w:rPr>
        <w:t xml:space="preserve"> ако не се понася</w:t>
      </w:r>
      <w:r w:rsidR="00DB40BF" w:rsidRPr="00FE6AC6">
        <w:rPr>
          <w:color w:val="000000"/>
          <w:lang w:val="bg-BG"/>
        </w:rPr>
        <w:t xml:space="preserve"> (</w:t>
      </w:r>
      <w:r w:rsidR="00C54483" w:rsidRPr="00FE6AC6">
        <w:rPr>
          <w:color w:val="000000"/>
          <w:lang w:val="bg-BG"/>
        </w:rPr>
        <w:t>вж. точка</w:t>
      </w:r>
      <w:r w:rsidR="00DB40BF" w:rsidRPr="00FE6AC6">
        <w:rPr>
          <w:color w:val="000000"/>
          <w:lang w:val="bg-BG"/>
        </w:rPr>
        <w:t xml:space="preserve"> 4.2 </w:t>
      </w:r>
      <w:r w:rsidR="00C54483" w:rsidRPr="00FE6AC6">
        <w:rPr>
          <w:color w:val="000000"/>
          <w:lang w:val="bg-BG"/>
        </w:rPr>
        <w:t>и</w:t>
      </w:r>
      <w:r w:rsidR="00DB40BF" w:rsidRPr="00FE6AC6">
        <w:rPr>
          <w:color w:val="000000"/>
          <w:lang w:val="bg-BG"/>
        </w:rPr>
        <w:t xml:space="preserve"> 5.2).</w:t>
      </w:r>
    </w:p>
    <w:p w14:paraId="3E54FC0D" w14:textId="77777777" w:rsidR="00491C5C" w:rsidRPr="00FE6AC6" w:rsidRDefault="00491C5C" w:rsidP="0063575E">
      <w:pPr>
        <w:pStyle w:val="EndnoteText"/>
        <w:widowControl w:val="0"/>
        <w:tabs>
          <w:tab w:val="clear" w:pos="567"/>
        </w:tabs>
        <w:rPr>
          <w:color w:val="000000"/>
          <w:szCs w:val="22"/>
          <w:lang w:val="bg-BG"/>
        </w:rPr>
      </w:pPr>
    </w:p>
    <w:p w14:paraId="3E54FC0E" w14:textId="77777777" w:rsidR="00491C5C" w:rsidRPr="00FE6AC6" w:rsidRDefault="00491C5C" w:rsidP="0063575E">
      <w:pPr>
        <w:pStyle w:val="EndnoteText"/>
        <w:widowControl w:val="0"/>
        <w:tabs>
          <w:tab w:val="clear" w:pos="567"/>
        </w:tabs>
        <w:rPr>
          <w:color w:val="000000"/>
          <w:szCs w:val="22"/>
          <w:lang w:val="bg-BG"/>
        </w:rPr>
      </w:pPr>
      <w:r w:rsidRPr="00FE6AC6">
        <w:rPr>
          <w:color w:val="000000"/>
          <w:szCs w:val="22"/>
          <w:lang w:val="bg-BG"/>
        </w:rPr>
        <w:t xml:space="preserve">Продължителното лечение с иматиниб може да бъде свръзано с клинично значимо намаляване на бъбречната функция. Поради тази причина бъбречната функция трябва да </w:t>
      </w:r>
      <w:r w:rsidR="007A5AB6" w:rsidRPr="00FE6AC6">
        <w:rPr>
          <w:color w:val="000000"/>
          <w:szCs w:val="22"/>
          <w:lang w:val="bg-BG"/>
        </w:rPr>
        <w:t>бъде оценена преди започване на лечението с иматиниб и да бъде внимателно прослед</w:t>
      </w:r>
      <w:r w:rsidR="00A27119" w:rsidRPr="00FE6AC6">
        <w:rPr>
          <w:color w:val="000000"/>
          <w:szCs w:val="22"/>
          <w:lang w:val="bg-BG"/>
        </w:rPr>
        <w:t>явана</w:t>
      </w:r>
      <w:r w:rsidR="007A5AB6" w:rsidRPr="00FE6AC6">
        <w:rPr>
          <w:color w:val="000000"/>
          <w:szCs w:val="22"/>
          <w:lang w:val="bg-BG"/>
        </w:rPr>
        <w:t xml:space="preserve"> по време на лечението, като се обърне специално внимание на пациентите, изложени на рискови фактори за развитие на бъбречна дисфункция. Ако се наблюдава бъбречна дисфункция, трябва да бъде предписано </w:t>
      </w:r>
      <w:r w:rsidR="00A27119" w:rsidRPr="00FE6AC6">
        <w:rPr>
          <w:color w:val="000000"/>
          <w:szCs w:val="22"/>
          <w:lang w:val="bg-BG"/>
        </w:rPr>
        <w:t>подходящо</w:t>
      </w:r>
      <w:r w:rsidR="007A5AB6" w:rsidRPr="00FE6AC6">
        <w:rPr>
          <w:color w:val="000000"/>
          <w:szCs w:val="22"/>
          <w:lang w:val="bg-BG"/>
        </w:rPr>
        <w:t xml:space="preserve"> лечение в съответствие със стандарт</w:t>
      </w:r>
      <w:r w:rsidR="00EB0BB4" w:rsidRPr="00FE6AC6">
        <w:rPr>
          <w:color w:val="000000"/>
          <w:szCs w:val="22"/>
          <w:lang w:val="bg-BG"/>
        </w:rPr>
        <w:t>ите</w:t>
      </w:r>
      <w:r w:rsidR="007A5AB6" w:rsidRPr="00FE6AC6">
        <w:rPr>
          <w:color w:val="000000"/>
          <w:szCs w:val="22"/>
          <w:lang w:val="bg-BG"/>
        </w:rPr>
        <w:t xml:space="preserve"> за лечение</w:t>
      </w:r>
      <w:r w:rsidRPr="00FE6AC6">
        <w:rPr>
          <w:color w:val="000000"/>
          <w:szCs w:val="22"/>
          <w:lang w:val="bg-BG"/>
        </w:rPr>
        <w:t>.</w:t>
      </w:r>
    </w:p>
    <w:p w14:paraId="3E54FC0F" w14:textId="77777777" w:rsidR="008D7A35" w:rsidRPr="00FE6AC6" w:rsidRDefault="008D7A35" w:rsidP="0063575E">
      <w:pPr>
        <w:pStyle w:val="EndnoteText"/>
        <w:widowControl w:val="0"/>
        <w:tabs>
          <w:tab w:val="clear" w:pos="567"/>
        </w:tabs>
        <w:rPr>
          <w:color w:val="000000"/>
          <w:lang w:val="bg-BG"/>
        </w:rPr>
      </w:pPr>
    </w:p>
    <w:p w14:paraId="3E54FC10" w14:textId="77777777" w:rsidR="008D7A35" w:rsidRPr="00FE6AC6" w:rsidRDefault="00501972" w:rsidP="0063575E">
      <w:pPr>
        <w:pStyle w:val="EndnoteText"/>
        <w:keepNext/>
        <w:widowControl w:val="0"/>
        <w:tabs>
          <w:tab w:val="clear" w:pos="567"/>
        </w:tabs>
        <w:rPr>
          <w:color w:val="000000"/>
          <w:u w:val="single"/>
          <w:lang w:val="bg-BG"/>
        </w:rPr>
      </w:pPr>
      <w:r w:rsidRPr="00FE6AC6">
        <w:rPr>
          <w:color w:val="000000"/>
          <w:u w:val="single"/>
          <w:lang w:val="bg-BG"/>
        </w:rPr>
        <w:t>Педиатрична популация</w:t>
      </w:r>
    </w:p>
    <w:p w14:paraId="3E54FC11" w14:textId="77777777" w:rsidR="008D7A35" w:rsidRPr="00FE6AC6" w:rsidRDefault="008D7A35" w:rsidP="0063575E">
      <w:pPr>
        <w:pStyle w:val="EndnoteText"/>
        <w:widowControl w:val="0"/>
        <w:tabs>
          <w:tab w:val="clear" w:pos="567"/>
        </w:tabs>
        <w:rPr>
          <w:color w:val="000000"/>
          <w:lang w:val="bg-BG"/>
        </w:rPr>
      </w:pPr>
      <w:r w:rsidRPr="00FE6AC6">
        <w:rPr>
          <w:color w:val="000000"/>
          <w:lang w:val="bg-BG"/>
        </w:rPr>
        <w:t xml:space="preserve">Има съобщения за случаи на изоставане в растежа при деца и подрастващи, приемащи иматиниб. </w:t>
      </w:r>
      <w:r w:rsidR="00C61C6B" w:rsidRPr="00FE6AC6">
        <w:rPr>
          <w:color w:val="000000"/>
          <w:lang w:val="bg-BG"/>
        </w:rPr>
        <w:t xml:space="preserve">В обсервационно проучване </w:t>
      </w:r>
      <w:r w:rsidR="000816BD" w:rsidRPr="00FE6AC6">
        <w:rPr>
          <w:color w:val="000000"/>
          <w:lang w:val="bg-BG"/>
        </w:rPr>
        <w:t>при</w:t>
      </w:r>
      <w:r w:rsidR="00C61C6B" w:rsidRPr="00FE6AC6">
        <w:rPr>
          <w:color w:val="000000"/>
          <w:lang w:val="bg-BG"/>
        </w:rPr>
        <w:t xml:space="preserve"> педиатричната популация с ХМЛ се съобщава за </w:t>
      </w:r>
      <w:r w:rsidR="001374F8" w:rsidRPr="00FE6AC6">
        <w:rPr>
          <w:color w:val="000000"/>
          <w:lang w:val="bg-BG"/>
        </w:rPr>
        <w:t xml:space="preserve">статистически значимо (но с </w:t>
      </w:r>
      <w:r w:rsidR="001A1117" w:rsidRPr="00FE6AC6">
        <w:rPr>
          <w:color w:val="000000"/>
          <w:lang w:val="bg-BG"/>
        </w:rPr>
        <w:t>неопределено</w:t>
      </w:r>
      <w:r w:rsidR="001374F8" w:rsidRPr="00FE6AC6">
        <w:rPr>
          <w:color w:val="000000"/>
          <w:lang w:val="bg-BG"/>
        </w:rPr>
        <w:t xml:space="preserve"> клинично значение) понижение в</w:t>
      </w:r>
      <w:r w:rsidR="00C61C6B" w:rsidRPr="00FE6AC6">
        <w:rPr>
          <w:color w:val="000000"/>
          <w:lang w:val="bg-BG"/>
        </w:rPr>
        <w:t xml:space="preserve"> медианата на скоровете за стандартно отклонение в ръста след 12 и 24 месеца лечение в две малки подгрупи, независимо от пубертетния статус или пола</w:t>
      </w:r>
      <w:r w:rsidR="00D521B2" w:rsidRPr="00FE6AC6">
        <w:rPr>
          <w:color w:val="000000"/>
          <w:lang w:val="bg-BG"/>
        </w:rPr>
        <w:t>. Препоръчва се внимателно проследяване на растежа</w:t>
      </w:r>
      <w:r w:rsidRPr="00FE6AC6">
        <w:rPr>
          <w:color w:val="000000"/>
          <w:lang w:val="bg-BG"/>
        </w:rPr>
        <w:t xml:space="preserve"> при децата на лечение с иматиниб (вж. точка</w:t>
      </w:r>
      <w:r w:rsidR="00041540" w:rsidRPr="00FE6AC6">
        <w:rPr>
          <w:color w:val="000000"/>
          <w:lang w:val="en-US"/>
        </w:rPr>
        <w:t> </w:t>
      </w:r>
      <w:r w:rsidRPr="00FE6AC6">
        <w:rPr>
          <w:color w:val="000000"/>
          <w:lang w:val="bg-BG"/>
        </w:rPr>
        <w:t>4.8).</w:t>
      </w:r>
    </w:p>
    <w:p w14:paraId="3E54FC12" w14:textId="77777777" w:rsidR="001636FA" w:rsidRPr="00FE6AC6" w:rsidRDefault="001636FA" w:rsidP="0063575E">
      <w:pPr>
        <w:widowControl w:val="0"/>
        <w:tabs>
          <w:tab w:val="clear" w:pos="567"/>
        </w:tabs>
        <w:spacing w:line="240" w:lineRule="auto"/>
        <w:rPr>
          <w:color w:val="000000"/>
          <w:lang w:val="bg-BG"/>
        </w:rPr>
      </w:pPr>
    </w:p>
    <w:p w14:paraId="3E54FC13" w14:textId="77777777" w:rsidR="001636FA" w:rsidRPr="00FE6AC6" w:rsidRDefault="001636FA" w:rsidP="0063575E">
      <w:pPr>
        <w:keepNext/>
        <w:widowControl w:val="0"/>
        <w:spacing w:line="240" w:lineRule="auto"/>
        <w:ind w:left="567" w:hanging="567"/>
        <w:rPr>
          <w:color w:val="000000"/>
          <w:lang w:val="bg-BG"/>
        </w:rPr>
      </w:pPr>
      <w:r w:rsidRPr="00FE6AC6">
        <w:rPr>
          <w:b/>
          <w:color w:val="000000"/>
          <w:lang w:val="bg-BG"/>
        </w:rPr>
        <w:t>4.5</w:t>
      </w:r>
      <w:r w:rsidRPr="00FE6AC6">
        <w:rPr>
          <w:b/>
          <w:color w:val="000000"/>
          <w:lang w:val="bg-BG"/>
        </w:rPr>
        <w:tab/>
        <w:t>Взаимодействие с други лекарствени продукти и други форми на взаимодействие</w:t>
      </w:r>
    </w:p>
    <w:p w14:paraId="3E54FC14" w14:textId="77777777" w:rsidR="001636FA" w:rsidRPr="00FE6AC6" w:rsidRDefault="001636FA" w:rsidP="0063575E">
      <w:pPr>
        <w:keepNext/>
        <w:widowControl w:val="0"/>
        <w:tabs>
          <w:tab w:val="clear" w:pos="567"/>
        </w:tabs>
        <w:spacing w:line="240" w:lineRule="auto"/>
        <w:rPr>
          <w:color w:val="000000"/>
          <w:lang w:val="bg-BG"/>
        </w:rPr>
      </w:pPr>
    </w:p>
    <w:p w14:paraId="3E54FC15"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 xml:space="preserve">Активни вещества, които могат да </w:t>
      </w:r>
      <w:r w:rsidRPr="00FE6AC6">
        <w:rPr>
          <w:b/>
          <w:color w:val="000000"/>
          <w:u w:val="single"/>
          <w:lang w:val="bg-BG"/>
        </w:rPr>
        <w:t xml:space="preserve">повишат </w:t>
      </w:r>
      <w:r w:rsidRPr="00FE6AC6">
        <w:rPr>
          <w:color w:val="000000"/>
          <w:u w:val="single"/>
          <w:lang w:val="bg-BG"/>
        </w:rPr>
        <w:t>плазмените концентрации на иматиниб:</w:t>
      </w:r>
    </w:p>
    <w:p w14:paraId="3E54FC16" w14:textId="77777777" w:rsidR="001636FA" w:rsidRPr="00FE6AC6" w:rsidRDefault="001636FA" w:rsidP="0063575E">
      <w:pPr>
        <w:widowControl w:val="0"/>
        <w:spacing w:line="240" w:lineRule="auto"/>
        <w:rPr>
          <w:color w:val="000000"/>
          <w:lang w:val="bg-BG"/>
        </w:rPr>
      </w:pPr>
      <w:r w:rsidRPr="00FE6AC6">
        <w:rPr>
          <w:color w:val="000000"/>
          <w:lang w:val="bg-BG"/>
        </w:rPr>
        <w:t>Веществата, които инхибират активността на цитохром P450</w:t>
      </w:r>
      <w:r w:rsidRPr="00FE6AC6">
        <w:rPr>
          <w:color w:val="000000"/>
          <w:lang w:val="en-US"/>
        </w:rPr>
        <w:t> </w:t>
      </w:r>
      <w:r w:rsidRPr="00FE6AC6">
        <w:rPr>
          <w:color w:val="000000"/>
          <w:lang w:val="bg-BG"/>
        </w:rPr>
        <w:t>изоензима CYP</w:t>
      </w:r>
      <w:r w:rsidR="00DC5D4A" w:rsidRPr="00FE6AC6">
        <w:rPr>
          <w:color w:val="000000"/>
          <w:lang w:val="bg-BG"/>
        </w:rPr>
        <w:t>3</w:t>
      </w:r>
      <w:r w:rsidRPr="00FE6AC6">
        <w:rPr>
          <w:color w:val="000000"/>
          <w:lang w:val="bg-BG"/>
        </w:rPr>
        <w:t>A4</w:t>
      </w:r>
      <w:r w:rsidRPr="00FE6AC6">
        <w:rPr>
          <w:color w:val="000000"/>
          <w:lang w:val="en-US"/>
        </w:rPr>
        <w:t> </w:t>
      </w:r>
      <w:r w:rsidRPr="00FE6AC6">
        <w:rPr>
          <w:color w:val="000000"/>
          <w:lang w:val="bg-BG"/>
        </w:rPr>
        <w:t xml:space="preserve">(напр. </w:t>
      </w:r>
      <w:r w:rsidR="005A3AC5" w:rsidRPr="00FE6AC6">
        <w:rPr>
          <w:color w:val="000000"/>
          <w:lang w:val="bg-BG"/>
        </w:rPr>
        <w:t xml:space="preserve">протеазни инхибитори като индинавир, лопинавир/ритонавир, ритонавир, саквинавир, телапревир, нелфинавир, боцепревир; противогъбични азоли като </w:t>
      </w:r>
      <w:r w:rsidRPr="00FE6AC6">
        <w:rPr>
          <w:color w:val="000000"/>
          <w:lang w:val="bg-BG"/>
        </w:rPr>
        <w:t xml:space="preserve">кетоконазол, итраконазол, </w:t>
      </w:r>
      <w:r w:rsidR="005A3AC5" w:rsidRPr="00FE6AC6">
        <w:rPr>
          <w:color w:val="000000"/>
          <w:lang w:val="bg-BG"/>
        </w:rPr>
        <w:t xml:space="preserve">позаконазол, вориконазол; някои макролиди като </w:t>
      </w:r>
      <w:r w:rsidRPr="00FE6AC6">
        <w:rPr>
          <w:color w:val="000000"/>
          <w:lang w:val="bg-BG"/>
        </w:rPr>
        <w:t>еритромицин, кларитромицин</w:t>
      </w:r>
      <w:r w:rsidR="005A3AC5" w:rsidRPr="00FE6AC6">
        <w:rPr>
          <w:color w:val="000000"/>
          <w:lang w:val="bg-BG"/>
        </w:rPr>
        <w:t xml:space="preserve"> и телитромицин</w:t>
      </w:r>
      <w:r w:rsidRPr="00FE6AC6">
        <w:rPr>
          <w:color w:val="000000"/>
          <w:lang w:val="bg-BG"/>
        </w:rPr>
        <w:t xml:space="preserve">) може да забавят метаболизма и да повишат концентрациите на иматиниб. При здрави лица </w:t>
      </w:r>
      <w:r w:rsidR="00E9609D" w:rsidRPr="00FE6AC6">
        <w:rPr>
          <w:color w:val="000000"/>
          <w:lang w:val="bg-BG"/>
        </w:rPr>
        <w:t>е наблюдавано</w:t>
      </w:r>
      <w:r w:rsidRPr="00FE6AC6">
        <w:rPr>
          <w:color w:val="000000"/>
          <w:lang w:val="bg-BG"/>
        </w:rPr>
        <w:t xml:space="preserve"> значимо повишение на ек</w:t>
      </w:r>
      <w:r w:rsidR="00101306" w:rsidRPr="00FE6AC6">
        <w:rPr>
          <w:color w:val="000000"/>
          <w:lang w:val="bg-BG"/>
        </w:rPr>
        <w:t>с</w:t>
      </w:r>
      <w:r w:rsidRPr="00FE6AC6">
        <w:rPr>
          <w:color w:val="000000"/>
          <w:lang w:val="bg-BG"/>
        </w:rPr>
        <w:t>позицията на иматиниб (средната C</w:t>
      </w:r>
      <w:r w:rsidRPr="00FE6AC6">
        <w:rPr>
          <w:color w:val="000000"/>
          <w:vertAlign w:val="subscript"/>
          <w:lang w:val="bg-BG"/>
        </w:rPr>
        <w:t>max</w:t>
      </w:r>
      <w:r w:rsidRPr="00FE6AC6">
        <w:rPr>
          <w:color w:val="000000"/>
          <w:lang w:val="bg-BG"/>
        </w:rPr>
        <w:t xml:space="preserve"> и AUC на иматиниб нарастват съответно с</w:t>
      </w:r>
      <w:r w:rsidRPr="00FE6AC6">
        <w:rPr>
          <w:color w:val="000000"/>
          <w:lang w:val="en-US"/>
        </w:rPr>
        <w:t> </w:t>
      </w:r>
      <w:r w:rsidRPr="00FE6AC6">
        <w:rPr>
          <w:color w:val="000000"/>
          <w:lang w:val="bg-BG"/>
        </w:rPr>
        <w:t>26% и</w:t>
      </w:r>
      <w:r w:rsidRPr="00FE6AC6">
        <w:rPr>
          <w:color w:val="000000"/>
          <w:lang w:val="en-US"/>
        </w:rPr>
        <w:t> </w:t>
      </w:r>
      <w:r w:rsidRPr="00FE6AC6">
        <w:rPr>
          <w:color w:val="000000"/>
          <w:lang w:val="bg-BG"/>
        </w:rPr>
        <w:t>40%), ако той се прилага заедно с единична доза кетоконазол (CYP3A4</w:t>
      </w:r>
      <w:r w:rsidRPr="00FE6AC6">
        <w:rPr>
          <w:color w:val="000000"/>
          <w:lang w:val="en-US"/>
        </w:rPr>
        <w:t> </w:t>
      </w:r>
      <w:r w:rsidRPr="00FE6AC6">
        <w:rPr>
          <w:color w:val="000000"/>
          <w:lang w:val="bg-BG"/>
        </w:rPr>
        <w:t>инхибитор). Трябва да се подхожда предпазливо, ако Glivec се прилага съвместно с инхибитори от групата на CYP3A4 ензимите.</w:t>
      </w:r>
    </w:p>
    <w:p w14:paraId="3E54FC17" w14:textId="77777777" w:rsidR="001636FA" w:rsidRPr="00FE6AC6" w:rsidRDefault="001636FA" w:rsidP="0063575E">
      <w:pPr>
        <w:widowControl w:val="0"/>
        <w:spacing w:line="240" w:lineRule="auto"/>
        <w:rPr>
          <w:color w:val="000000"/>
          <w:lang w:val="bg-BG"/>
        </w:rPr>
      </w:pPr>
    </w:p>
    <w:p w14:paraId="3E54FC18"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 xml:space="preserve">Активни вещества, които могат да </w:t>
      </w:r>
      <w:r w:rsidRPr="00FE6AC6">
        <w:rPr>
          <w:b/>
          <w:color w:val="000000"/>
          <w:u w:val="single"/>
          <w:lang w:val="bg-BG"/>
        </w:rPr>
        <w:t xml:space="preserve">понижат </w:t>
      </w:r>
      <w:r w:rsidRPr="00FE6AC6">
        <w:rPr>
          <w:color w:val="000000"/>
          <w:u w:val="single"/>
          <w:lang w:val="bg-BG"/>
        </w:rPr>
        <w:t>плазмените концентрации на иматиниб:</w:t>
      </w:r>
    </w:p>
    <w:p w14:paraId="3E54FC19" w14:textId="77777777" w:rsidR="001636FA" w:rsidRPr="00FE6AC6" w:rsidRDefault="001636FA" w:rsidP="0063575E">
      <w:pPr>
        <w:widowControl w:val="0"/>
        <w:spacing w:line="240" w:lineRule="auto"/>
        <w:rPr>
          <w:color w:val="000000"/>
          <w:lang w:val="bg-BG"/>
        </w:rPr>
      </w:pPr>
      <w:r w:rsidRPr="00FE6AC6">
        <w:rPr>
          <w:color w:val="000000"/>
          <w:lang w:val="bg-BG"/>
        </w:rPr>
        <w:t>Веществата, които са индуктoри на активността на CYP3A4</w:t>
      </w:r>
      <w:r w:rsidR="00637938" w:rsidRPr="00FE6AC6">
        <w:rPr>
          <w:color w:val="000000"/>
          <w:lang w:val="bg-BG"/>
        </w:rPr>
        <w:t xml:space="preserve"> </w:t>
      </w:r>
      <w:r w:rsidRPr="00FE6AC6">
        <w:rPr>
          <w:color w:val="000000"/>
          <w:lang w:val="bg-BG"/>
        </w:rPr>
        <w:t>(напр. дексаметазон, фенитоин, карбамазепин, рифампицин, фенобарбитал</w:t>
      </w:r>
      <w:r w:rsidR="001A79DA" w:rsidRPr="00FE6AC6">
        <w:rPr>
          <w:color w:val="000000"/>
          <w:lang w:val="bg-BG"/>
        </w:rPr>
        <w:t xml:space="preserve">, </w:t>
      </w:r>
      <w:r w:rsidR="001A79DA" w:rsidRPr="00FE6AC6">
        <w:rPr>
          <w:color w:val="000000"/>
          <w:szCs w:val="22"/>
          <w:lang w:val="bg-BG"/>
        </w:rPr>
        <w:t>фосфенитоин, примидон</w:t>
      </w:r>
      <w:r w:rsidRPr="00FE6AC6">
        <w:rPr>
          <w:color w:val="000000"/>
          <w:lang w:val="bg-BG"/>
        </w:rPr>
        <w:t xml:space="preserve"> или растението </w:t>
      </w:r>
      <w:r w:rsidRPr="00FE6AC6">
        <w:rPr>
          <w:i/>
          <w:color w:val="000000"/>
        </w:rPr>
        <w:t>Hypericum</w:t>
      </w:r>
      <w:r w:rsidRPr="00FE6AC6">
        <w:rPr>
          <w:i/>
          <w:color w:val="000000"/>
          <w:lang w:val="ru-RU"/>
        </w:rPr>
        <w:t xml:space="preserve"> </w:t>
      </w:r>
      <w:r w:rsidRPr="00FE6AC6">
        <w:rPr>
          <w:i/>
          <w:color w:val="000000"/>
        </w:rPr>
        <w:t>perforatum</w:t>
      </w:r>
      <w:r w:rsidRPr="00FE6AC6">
        <w:rPr>
          <w:color w:val="000000"/>
          <w:lang w:val="bg-BG"/>
        </w:rPr>
        <w:t>, известно още като жълт кантарион) могат значително да понижат експозицията на Glivec като така е възможно да повишат риска за неуспех от терапията. П</w:t>
      </w:r>
      <w:r w:rsidR="00E9609D" w:rsidRPr="00FE6AC6">
        <w:rPr>
          <w:color w:val="000000"/>
          <w:lang w:val="bg-BG"/>
        </w:rPr>
        <w:t>ри п</w:t>
      </w:r>
      <w:r w:rsidRPr="00FE6AC6">
        <w:rPr>
          <w:color w:val="000000"/>
          <w:lang w:val="bg-BG"/>
        </w:rPr>
        <w:t>редварителното прилагане на многократни дози рифампицин</w:t>
      </w:r>
      <w:r w:rsidRPr="00FE6AC6">
        <w:rPr>
          <w:color w:val="000000"/>
          <w:lang w:val="en-US"/>
        </w:rPr>
        <w:t> </w:t>
      </w:r>
      <w:r w:rsidRPr="00FE6AC6">
        <w:rPr>
          <w:color w:val="000000"/>
          <w:lang w:val="bg-BG"/>
        </w:rPr>
        <w:t>600 mg, последвано от единична доза от</w:t>
      </w:r>
      <w:r w:rsidRPr="00FE6AC6">
        <w:rPr>
          <w:color w:val="000000"/>
          <w:lang w:val="en-US"/>
        </w:rPr>
        <w:t> </w:t>
      </w:r>
      <w:r w:rsidRPr="00FE6AC6">
        <w:rPr>
          <w:color w:val="000000"/>
          <w:lang w:val="bg-BG"/>
        </w:rPr>
        <w:t xml:space="preserve">400 mg Glivec </w:t>
      </w:r>
      <w:r w:rsidR="00E9609D" w:rsidRPr="00FE6AC6">
        <w:rPr>
          <w:color w:val="000000"/>
          <w:lang w:val="bg-BG"/>
        </w:rPr>
        <w:t>е наблюдавано</w:t>
      </w:r>
      <w:r w:rsidRPr="00FE6AC6">
        <w:rPr>
          <w:color w:val="000000"/>
          <w:lang w:val="bg-BG"/>
        </w:rPr>
        <w:t xml:space="preserve"> понижение на C</w:t>
      </w:r>
      <w:r w:rsidRPr="00FE6AC6">
        <w:rPr>
          <w:color w:val="000000"/>
          <w:vertAlign w:val="subscript"/>
          <w:lang w:val="bg-BG"/>
        </w:rPr>
        <w:t xml:space="preserve">max </w:t>
      </w:r>
      <w:r w:rsidRPr="00FE6AC6">
        <w:rPr>
          <w:color w:val="000000"/>
          <w:lang w:val="bg-BG"/>
        </w:rPr>
        <w:t>и AUC</w:t>
      </w:r>
      <w:r w:rsidRPr="00FE6AC6">
        <w:rPr>
          <w:color w:val="000000"/>
          <w:vertAlign w:val="subscript"/>
          <w:lang w:val="ru-RU"/>
        </w:rPr>
        <w:t>(0-∞)</w:t>
      </w:r>
      <w:r w:rsidRPr="00FE6AC6">
        <w:rPr>
          <w:color w:val="000000"/>
          <w:lang w:val="ru-RU"/>
        </w:rPr>
        <w:t xml:space="preserve"> </w:t>
      </w:r>
      <w:r w:rsidRPr="00FE6AC6">
        <w:rPr>
          <w:color w:val="000000"/>
          <w:lang w:val="bg-BG"/>
        </w:rPr>
        <w:t>с поне</w:t>
      </w:r>
      <w:r w:rsidRPr="00FE6AC6">
        <w:rPr>
          <w:color w:val="000000"/>
          <w:lang w:val="en-US"/>
        </w:rPr>
        <w:t> </w:t>
      </w:r>
      <w:r w:rsidRPr="00FE6AC6">
        <w:rPr>
          <w:color w:val="000000"/>
          <w:lang w:val="bg-BG"/>
        </w:rPr>
        <w:t>54% и</w:t>
      </w:r>
      <w:r w:rsidRPr="00FE6AC6">
        <w:rPr>
          <w:color w:val="000000"/>
          <w:lang w:val="en-US"/>
        </w:rPr>
        <w:t> </w:t>
      </w:r>
      <w:r w:rsidRPr="00FE6AC6">
        <w:rPr>
          <w:color w:val="000000"/>
          <w:lang w:val="bg-BG"/>
        </w:rPr>
        <w:t>74% от съответните стойности</w:t>
      </w:r>
      <w:r w:rsidR="00E9609D" w:rsidRPr="00FE6AC6">
        <w:rPr>
          <w:color w:val="000000"/>
          <w:lang w:val="bg-BG"/>
        </w:rPr>
        <w:t>, сравнявано с тези</w:t>
      </w:r>
      <w:r w:rsidRPr="00FE6AC6">
        <w:rPr>
          <w:color w:val="000000"/>
          <w:lang w:val="bg-BG"/>
        </w:rPr>
        <w:t xml:space="preserve"> без лечение с рифампицин. </w:t>
      </w:r>
      <w:r w:rsidR="000D32FA" w:rsidRPr="00FE6AC6">
        <w:rPr>
          <w:color w:val="000000"/>
          <w:lang w:val="bg-BG"/>
        </w:rPr>
        <w:t xml:space="preserve">Подобни резултати са наблюдавани при пациенти с малигнени глиоми, които са лекувани с Glivec </w:t>
      </w:r>
      <w:r w:rsidR="000A703A" w:rsidRPr="00FE6AC6">
        <w:rPr>
          <w:color w:val="000000"/>
          <w:lang w:val="bg-BG"/>
        </w:rPr>
        <w:t xml:space="preserve">по време на приема на ензим-индуциращи антиепилептични лекарствени </w:t>
      </w:r>
      <w:r w:rsidR="00BF0F1A" w:rsidRPr="00FE6AC6">
        <w:rPr>
          <w:color w:val="000000"/>
          <w:lang w:val="bg-BG"/>
        </w:rPr>
        <w:t>продукти</w:t>
      </w:r>
      <w:r w:rsidR="000A703A" w:rsidRPr="00FE6AC6">
        <w:rPr>
          <w:color w:val="000000"/>
          <w:lang w:val="bg-BG"/>
        </w:rPr>
        <w:t xml:space="preserve"> (EIAEDs) като карбамазепин, </w:t>
      </w:r>
      <w:r w:rsidR="007D128F" w:rsidRPr="00FE6AC6">
        <w:rPr>
          <w:color w:val="000000"/>
          <w:lang w:val="bg-BG"/>
        </w:rPr>
        <w:t>окскарбазепин</w:t>
      </w:r>
      <w:r w:rsidR="00DA6ECA" w:rsidRPr="00FE6AC6">
        <w:rPr>
          <w:color w:val="000000"/>
          <w:lang w:val="bg-BG"/>
        </w:rPr>
        <w:t xml:space="preserve"> и фенитоин. Плазмената </w:t>
      </w:r>
      <w:r w:rsidR="00DA6ECA" w:rsidRPr="00FE6AC6">
        <w:t>AUC</w:t>
      </w:r>
      <w:r w:rsidR="00DA6ECA" w:rsidRPr="00FE6AC6">
        <w:rPr>
          <w:lang w:val="bg-BG"/>
        </w:rPr>
        <w:t xml:space="preserve"> за иматиниб се понижава с</w:t>
      </w:r>
      <w:r w:rsidR="00E9609D" w:rsidRPr="00FE6AC6">
        <w:rPr>
          <w:lang w:val="bg-BG"/>
        </w:rPr>
        <w:t>ъс</w:t>
      </w:r>
      <w:r w:rsidR="00106E6D" w:rsidRPr="00FE6AC6">
        <w:rPr>
          <w:lang w:val="de-CH"/>
        </w:rPr>
        <w:t> </w:t>
      </w:r>
      <w:r w:rsidR="00DA6ECA" w:rsidRPr="00FE6AC6">
        <w:rPr>
          <w:lang w:val="bg-BG"/>
        </w:rPr>
        <w:t>73%</w:t>
      </w:r>
      <w:r w:rsidR="00E9609D" w:rsidRPr="00FE6AC6">
        <w:rPr>
          <w:lang w:val="bg-BG"/>
        </w:rPr>
        <w:t>,</w:t>
      </w:r>
      <w:r w:rsidR="00DA6ECA" w:rsidRPr="00FE6AC6">
        <w:rPr>
          <w:lang w:val="bg-BG"/>
        </w:rPr>
        <w:t xml:space="preserve"> в сравнение с п</w:t>
      </w:r>
      <w:r w:rsidR="00EC59B2" w:rsidRPr="00FE6AC6">
        <w:rPr>
          <w:lang w:val="en-US"/>
        </w:rPr>
        <w:t>a</w:t>
      </w:r>
      <w:r w:rsidR="00DA6ECA" w:rsidRPr="00FE6AC6">
        <w:rPr>
          <w:lang w:val="bg-BG"/>
        </w:rPr>
        <w:t>циентите, които не приемат EIAEDs.</w:t>
      </w:r>
      <w:r w:rsidR="00DA6ECA" w:rsidRPr="00FE6AC6">
        <w:rPr>
          <w:lang w:val="ru-RU"/>
        </w:rPr>
        <w:t xml:space="preserve"> </w:t>
      </w:r>
      <w:r w:rsidRPr="00FE6AC6">
        <w:rPr>
          <w:lang w:val="ru-RU"/>
        </w:rPr>
        <w:t>Трябва</w:t>
      </w:r>
      <w:r w:rsidRPr="00FE6AC6">
        <w:rPr>
          <w:color w:val="000000"/>
          <w:lang w:val="bg-BG"/>
        </w:rPr>
        <w:t xml:space="preserve"> да се избягва съвместната употреба на рифампицин или други мощни индуктори на CYP3A4 и иматиниб.</w:t>
      </w:r>
    </w:p>
    <w:p w14:paraId="3E54FC1A" w14:textId="77777777" w:rsidR="001636FA" w:rsidRPr="00FE6AC6" w:rsidRDefault="001636FA" w:rsidP="0063575E">
      <w:pPr>
        <w:widowControl w:val="0"/>
        <w:spacing w:line="240" w:lineRule="auto"/>
        <w:rPr>
          <w:color w:val="000000"/>
          <w:lang w:val="bg-BG"/>
        </w:rPr>
      </w:pPr>
    </w:p>
    <w:p w14:paraId="3E54FC1B" w14:textId="77777777" w:rsidR="001636FA" w:rsidRPr="00FE6AC6" w:rsidRDefault="001636FA" w:rsidP="0063575E">
      <w:pPr>
        <w:keepNext/>
        <w:widowControl w:val="0"/>
        <w:spacing w:line="240" w:lineRule="auto"/>
        <w:rPr>
          <w:b/>
          <w:color w:val="000000"/>
          <w:lang w:val="bg-BG"/>
        </w:rPr>
      </w:pPr>
      <w:r w:rsidRPr="00FE6AC6">
        <w:rPr>
          <w:b/>
          <w:color w:val="000000"/>
          <w:lang w:val="bg-BG"/>
        </w:rPr>
        <w:t>Активни вещества, чиито плазмени концентрации могат да се променят от Glivec</w:t>
      </w:r>
    </w:p>
    <w:p w14:paraId="3E54FC1C" w14:textId="77777777" w:rsidR="001636FA" w:rsidRPr="00FE6AC6" w:rsidRDefault="001636FA" w:rsidP="0063575E">
      <w:pPr>
        <w:widowControl w:val="0"/>
        <w:spacing w:line="240" w:lineRule="auto"/>
        <w:rPr>
          <w:color w:val="000000"/>
          <w:lang w:val="bg-BG"/>
        </w:rPr>
      </w:pPr>
      <w:r w:rsidRPr="00FE6AC6">
        <w:rPr>
          <w:color w:val="000000"/>
          <w:lang w:val="bg-BG"/>
        </w:rPr>
        <w:t>Иматиниб повишава средните C</w:t>
      </w:r>
      <w:r w:rsidRPr="00FE6AC6">
        <w:rPr>
          <w:color w:val="000000"/>
          <w:vertAlign w:val="subscript"/>
          <w:lang w:val="bg-BG"/>
        </w:rPr>
        <w:t>max</w:t>
      </w:r>
      <w:r w:rsidRPr="00FE6AC6">
        <w:rPr>
          <w:color w:val="000000"/>
          <w:lang w:val="bg-BG"/>
        </w:rPr>
        <w:t xml:space="preserve"> и AUC на симвастатин (субстрат на CYP3A4) съответно</w:t>
      </w:r>
      <w:r w:rsidRPr="00FE6AC6">
        <w:rPr>
          <w:color w:val="000000"/>
          <w:lang w:val="en-US"/>
        </w:rPr>
        <w:t> </w:t>
      </w:r>
      <w:r w:rsidRPr="00FE6AC6">
        <w:rPr>
          <w:color w:val="000000"/>
          <w:lang w:val="bg-BG"/>
        </w:rPr>
        <w:t>2</w:t>
      </w:r>
      <w:r w:rsidRPr="00FE6AC6">
        <w:rPr>
          <w:color w:val="000000"/>
          <w:lang w:val="en-US"/>
        </w:rPr>
        <w:t> </w:t>
      </w:r>
      <w:r w:rsidRPr="00FE6AC6">
        <w:rPr>
          <w:color w:val="000000"/>
          <w:lang w:val="bg-BG"/>
        </w:rPr>
        <w:t>и</w:t>
      </w:r>
      <w:r w:rsidRPr="00FE6AC6">
        <w:rPr>
          <w:color w:val="000000"/>
          <w:lang w:val="en-US"/>
        </w:rPr>
        <w:t> </w:t>
      </w:r>
      <w:r w:rsidRPr="00FE6AC6">
        <w:rPr>
          <w:color w:val="000000"/>
          <w:lang w:val="bg-BG"/>
        </w:rPr>
        <w:t>3,5</w:t>
      </w:r>
      <w:r w:rsidRPr="00FE6AC6">
        <w:rPr>
          <w:color w:val="000000"/>
          <w:lang w:val="en-US"/>
        </w:rPr>
        <w:t> </w:t>
      </w:r>
      <w:r w:rsidRPr="00FE6AC6">
        <w:rPr>
          <w:color w:val="000000"/>
          <w:lang w:val="bg-BG"/>
        </w:rPr>
        <w:t>пъти, което показва инхибиране на CYP3A4</w:t>
      </w:r>
      <w:r w:rsidRPr="00FE6AC6">
        <w:rPr>
          <w:color w:val="000000"/>
          <w:lang w:val="en-US"/>
        </w:rPr>
        <w:t> </w:t>
      </w:r>
      <w:r w:rsidRPr="00FE6AC6">
        <w:rPr>
          <w:color w:val="000000"/>
          <w:lang w:val="bg-BG"/>
        </w:rPr>
        <w:t>от иматиниб. Затова се препоръчва внимателно поведение, ако Glivec се прилага със субстрати на CYP3A4</w:t>
      </w:r>
      <w:r w:rsidRPr="00FE6AC6">
        <w:rPr>
          <w:color w:val="000000"/>
          <w:lang w:val="en-US"/>
        </w:rPr>
        <w:t> </w:t>
      </w:r>
      <w:r w:rsidRPr="00FE6AC6">
        <w:rPr>
          <w:color w:val="000000"/>
          <w:lang w:val="bg-BG"/>
        </w:rPr>
        <w:t>с тесен терапевтичен индекс (напр. циклоспорин</w:t>
      </w:r>
      <w:r w:rsidR="0054657C" w:rsidRPr="00FE6AC6">
        <w:rPr>
          <w:color w:val="000000"/>
          <w:lang w:val="bg-BG"/>
        </w:rPr>
        <w:t>,</w:t>
      </w:r>
      <w:r w:rsidRPr="00FE6AC6">
        <w:rPr>
          <w:color w:val="000000"/>
          <w:lang w:val="bg-BG"/>
        </w:rPr>
        <w:t xml:space="preserve"> пимозид</w:t>
      </w:r>
      <w:r w:rsidR="0054657C" w:rsidRPr="00FE6AC6">
        <w:rPr>
          <w:color w:val="000000"/>
          <w:lang w:val="bg-BG"/>
        </w:rPr>
        <w:t>, такролимус, сиролимус, ерготамин, диерготамин, фентанил, а</w:t>
      </w:r>
      <w:r w:rsidR="00E9609D" w:rsidRPr="00FE6AC6">
        <w:rPr>
          <w:color w:val="000000"/>
          <w:lang w:val="bg-BG"/>
        </w:rPr>
        <w:t>л</w:t>
      </w:r>
      <w:r w:rsidR="0054657C" w:rsidRPr="00FE6AC6">
        <w:rPr>
          <w:color w:val="000000"/>
          <w:lang w:val="bg-BG"/>
        </w:rPr>
        <w:t>фентанил, терфенадин, бортезомиб, доцетаксел и хинидин</w:t>
      </w:r>
      <w:r w:rsidRPr="00FE6AC6">
        <w:rPr>
          <w:color w:val="000000"/>
          <w:lang w:val="bg-BG"/>
        </w:rPr>
        <w:t xml:space="preserve">). Glivec </w:t>
      </w:r>
      <w:r w:rsidRPr="00FE6AC6">
        <w:rPr>
          <w:color w:val="000000"/>
          <w:lang w:val="bg-BG"/>
        </w:rPr>
        <w:lastRenderedPageBreak/>
        <w:t>може да повиши плазмените концентрации на други метаболизирани от CYP3A4</w:t>
      </w:r>
      <w:r w:rsidRPr="00FE6AC6">
        <w:rPr>
          <w:color w:val="000000"/>
          <w:lang w:val="en-US"/>
        </w:rPr>
        <w:t> </w:t>
      </w:r>
      <w:r w:rsidRPr="00FE6AC6">
        <w:rPr>
          <w:color w:val="000000"/>
          <w:lang w:val="bg-BG"/>
        </w:rPr>
        <w:t>лекарства (напр. триазолови бензодиазипини, блокери на калциевите канали от дихидропиридинов тип, определени инхибитори на HMG-CoA редуктазата, напр. статини и т.н.).</w:t>
      </w:r>
    </w:p>
    <w:p w14:paraId="3E54FC1D" w14:textId="77777777" w:rsidR="001636FA" w:rsidRPr="00FE6AC6" w:rsidRDefault="001636FA" w:rsidP="0063575E">
      <w:pPr>
        <w:widowControl w:val="0"/>
        <w:spacing w:line="240" w:lineRule="auto"/>
        <w:rPr>
          <w:color w:val="000000"/>
          <w:lang w:val="bg-BG"/>
        </w:rPr>
      </w:pPr>
    </w:p>
    <w:p w14:paraId="3E54FC1E" w14:textId="77777777" w:rsidR="001636FA" w:rsidRPr="00FE6AC6" w:rsidRDefault="00C54C1F" w:rsidP="0063575E">
      <w:pPr>
        <w:widowControl w:val="0"/>
        <w:spacing w:line="240" w:lineRule="auto"/>
        <w:rPr>
          <w:color w:val="000000"/>
          <w:lang w:val="bg-BG"/>
        </w:rPr>
      </w:pPr>
      <w:r w:rsidRPr="00FE6AC6">
        <w:rPr>
          <w:color w:val="000000"/>
          <w:lang w:val="bg-BG"/>
        </w:rPr>
        <w:t>Поради известния повишен риск от</w:t>
      </w:r>
      <w:r w:rsidR="00ED021F" w:rsidRPr="00FE6AC6">
        <w:rPr>
          <w:color w:val="000000"/>
          <w:lang w:val="bg-BG"/>
        </w:rPr>
        <w:t xml:space="preserve"> </w:t>
      </w:r>
      <w:r w:rsidRPr="00FE6AC6">
        <w:rPr>
          <w:color w:val="000000"/>
          <w:lang w:val="bg-BG"/>
        </w:rPr>
        <w:t>кървене</w:t>
      </w:r>
      <w:r w:rsidR="006F6949" w:rsidRPr="00FE6AC6">
        <w:rPr>
          <w:color w:val="000000"/>
          <w:lang w:val="bg-BG"/>
        </w:rPr>
        <w:t>, свързан с</w:t>
      </w:r>
      <w:r w:rsidRPr="00FE6AC6">
        <w:rPr>
          <w:color w:val="000000"/>
          <w:lang w:val="bg-BG"/>
        </w:rPr>
        <w:t xml:space="preserve"> употреба</w:t>
      </w:r>
      <w:r w:rsidR="006F6949" w:rsidRPr="00FE6AC6">
        <w:rPr>
          <w:color w:val="000000"/>
          <w:lang w:val="bg-BG"/>
        </w:rPr>
        <w:t>та</w:t>
      </w:r>
      <w:r w:rsidRPr="00FE6AC6">
        <w:rPr>
          <w:color w:val="000000"/>
          <w:lang w:val="bg-BG"/>
        </w:rPr>
        <w:t xml:space="preserve"> на иматиниб (напр. хеморагия)</w:t>
      </w:r>
      <w:r w:rsidR="001636FA" w:rsidRPr="00FE6AC6">
        <w:rPr>
          <w:color w:val="000000"/>
          <w:lang w:val="bg-BG"/>
        </w:rPr>
        <w:t>, пациентите, които се нуждаят от антикоагулантна терапия, трябва да получават нискомолекулен или стандартен хепарин</w:t>
      </w:r>
      <w:r w:rsidR="00E9609D" w:rsidRPr="00FE6AC6">
        <w:rPr>
          <w:color w:val="000000"/>
          <w:lang w:val="bg-BG"/>
        </w:rPr>
        <w:t>,</w:t>
      </w:r>
      <w:r w:rsidRPr="00FE6AC6">
        <w:rPr>
          <w:color w:val="000000"/>
          <w:lang w:val="bg-BG"/>
        </w:rPr>
        <w:t xml:space="preserve"> вместо кумаринови производни, като варфарин</w:t>
      </w:r>
      <w:r w:rsidR="001636FA" w:rsidRPr="00FE6AC6">
        <w:rPr>
          <w:color w:val="000000"/>
          <w:lang w:val="bg-BG"/>
        </w:rPr>
        <w:t>.</w:t>
      </w:r>
    </w:p>
    <w:p w14:paraId="3E54FC1F" w14:textId="77777777" w:rsidR="001636FA" w:rsidRPr="00FE6AC6" w:rsidRDefault="001636FA" w:rsidP="0063575E">
      <w:pPr>
        <w:widowControl w:val="0"/>
        <w:spacing w:line="240" w:lineRule="auto"/>
        <w:rPr>
          <w:color w:val="000000"/>
          <w:lang w:val="bg-BG"/>
        </w:rPr>
      </w:pPr>
    </w:p>
    <w:p w14:paraId="3E54FC20" w14:textId="77777777" w:rsidR="001636FA" w:rsidRPr="00FE6AC6" w:rsidRDefault="001636FA" w:rsidP="0063575E">
      <w:pPr>
        <w:widowControl w:val="0"/>
        <w:spacing w:line="240" w:lineRule="auto"/>
        <w:rPr>
          <w:color w:val="000000"/>
          <w:lang w:val="bg-BG"/>
        </w:rPr>
      </w:pPr>
      <w:r w:rsidRPr="00FE6AC6">
        <w:rPr>
          <w:i/>
          <w:color w:val="000000"/>
          <w:lang w:val="bg-BG"/>
        </w:rPr>
        <w:t xml:space="preserve">In vitro </w:t>
      </w:r>
      <w:r w:rsidRPr="00FE6AC6">
        <w:rPr>
          <w:color w:val="000000"/>
          <w:lang w:val="bg-BG"/>
        </w:rPr>
        <w:t>Glivec инхибира активността на цитохром P450</w:t>
      </w:r>
      <w:r w:rsidRPr="00FE6AC6">
        <w:rPr>
          <w:color w:val="000000"/>
          <w:lang w:val="en-US"/>
        </w:rPr>
        <w:t> </w:t>
      </w:r>
      <w:r w:rsidRPr="00FE6AC6">
        <w:rPr>
          <w:color w:val="000000"/>
          <w:lang w:val="bg-BG"/>
        </w:rPr>
        <w:t>изоензима CYP2D6</w:t>
      </w:r>
      <w:r w:rsidRPr="00FE6AC6">
        <w:rPr>
          <w:color w:val="000000"/>
          <w:lang w:val="en-US"/>
        </w:rPr>
        <w:t> </w:t>
      </w:r>
      <w:r w:rsidRPr="00FE6AC6">
        <w:rPr>
          <w:color w:val="000000"/>
          <w:lang w:val="bg-BG"/>
        </w:rPr>
        <w:t xml:space="preserve">в концентрации, подобни на тези, които повлияват активността на CYP3A4. </w:t>
      </w:r>
      <w:r w:rsidR="003B4CC7" w:rsidRPr="00FE6AC6">
        <w:rPr>
          <w:color w:val="000000"/>
          <w:lang w:val="bg-BG"/>
        </w:rPr>
        <w:t>Иматиниб 400 </w:t>
      </w:r>
      <w:r w:rsidR="003B4CC7" w:rsidRPr="00FE6AC6">
        <w:rPr>
          <w:color w:val="000000"/>
          <w:lang w:val="en-US"/>
        </w:rPr>
        <w:t>mg</w:t>
      </w:r>
      <w:r w:rsidR="000B70B9" w:rsidRPr="00FE6AC6">
        <w:rPr>
          <w:color w:val="000000"/>
          <w:lang w:val="bg-BG"/>
        </w:rPr>
        <w:t>,</w:t>
      </w:r>
      <w:r w:rsidR="003B4CC7" w:rsidRPr="00FE6AC6">
        <w:rPr>
          <w:color w:val="000000"/>
          <w:lang w:val="bg-BG"/>
        </w:rPr>
        <w:t xml:space="preserve"> два пъти дневно има </w:t>
      </w:r>
      <w:r w:rsidR="00013E43" w:rsidRPr="00FE6AC6">
        <w:rPr>
          <w:color w:val="000000"/>
          <w:lang w:val="bg-BG"/>
        </w:rPr>
        <w:t>инхибиращ</w:t>
      </w:r>
      <w:r w:rsidR="003B4CC7" w:rsidRPr="00FE6AC6">
        <w:rPr>
          <w:color w:val="000000"/>
          <w:lang w:val="bg-BG"/>
        </w:rPr>
        <w:t xml:space="preserve"> ефект върху </w:t>
      </w:r>
      <w:r w:rsidR="003B4CC7" w:rsidRPr="00FE6AC6">
        <w:rPr>
          <w:color w:val="000000"/>
          <w:lang w:val="en-US"/>
        </w:rPr>
        <w:t>CYP</w:t>
      </w:r>
      <w:r w:rsidR="003B4CC7" w:rsidRPr="00FE6AC6">
        <w:rPr>
          <w:color w:val="000000"/>
          <w:lang w:val="bg-BG"/>
        </w:rPr>
        <w:t>2</w:t>
      </w:r>
      <w:r w:rsidR="003B4CC7" w:rsidRPr="00FE6AC6">
        <w:rPr>
          <w:color w:val="000000"/>
          <w:lang w:val="en-US"/>
        </w:rPr>
        <w:t>D</w:t>
      </w:r>
      <w:r w:rsidR="003B4CC7" w:rsidRPr="00FE6AC6">
        <w:rPr>
          <w:color w:val="000000"/>
          <w:lang w:val="bg-BG"/>
        </w:rPr>
        <w:t>6-медиирания метаболизъм на метопролол, с приблизително п</w:t>
      </w:r>
      <w:r w:rsidR="00101306" w:rsidRPr="00FE6AC6">
        <w:rPr>
          <w:color w:val="000000"/>
          <w:lang w:val="bg-BG"/>
        </w:rPr>
        <w:t>о</w:t>
      </w:r>
      <w:r w:rsidR="003B4CC7" w:rsidRPr="00FE6AC6">
        <w:rPr>
          <w:color w:val="000000"/>
          <w:lang w:val="bg-BG"/>
        </w:rPr>
        <w:t xml:space="preserve">вишение на </w:t>
      </w:r>
      <w:r w:rsidR="003B4CC7" w:rsidRPr="00FE6AC6">
        <w:rPr>
          <w:color w:val="000000"/>
          <w:szCs w:val="22"/>
        </w:rPr>
        <w:t>C</w:t>
      </w:r>
      <w:r w:rsidR="003B4CC7" w:rsidRPr="00FE6AC6">
        <w:rPr>
          <w:color w:val="000000"/>
          <w:szCs w:val="22"/>
          <w:vertAlign w:val="subscript"/>
        </w:rPr>
        <w:t>max</w:t>
      </w:r>
      <w:r w:rsidR="003B4CC7" w:rsidRPr="00FE6AC6">
        <w:rPr>
          <w:color w:val="000000"/>
          <w:szCs w:val="22"/>
          <w:lang w:val="bg-BG"/>
        </w:rPr>
        <w:t xml:space="preserve"> и </w:t>
      </w:r>
      <w:r w:rsidR="003B4CC7" w:rsidRPr="00FE6AC6">
        <w:rPr>
          <w:color w:val="000000"/>
          <w:szCs w:val="22"/>
        </w:rPr>
        <w:t>AUC</w:t>
      </w:r>
      <w:r w:rsidR="003B4CC7" w:rsidRPr="00FE6AC6">
        <w:rPr>
          <w:color w:val="000000"/>
          <w:szCs w:val="22"/>
          <w:lang w:val="bg-BG"/>
        </w:rPr>
        <w:t xml:space="preserve"> </w:t>
      </w:r>
      <w:r w:rsidR="000B70B9" w:rsidRPr="00FE6AC6">
        <w:rPr>
          <w:color w:val="000000"/>
          <w:szCs w:val="22"/>
          <w:lang w:val="bg-BG"/>
        </w:rPr>
        <w:t>н</w:t>
      </w:r>
      <w:r w:rsidR="003B4CC7" w:rsidRPr="00FE6AC6">
        <w:rPr>
          <w:color w:val="000000"/>
          <w:szCs w:val="22"/>
          <w:lang w:val="bg-BG"/>
        </w:rPr>
        <w:t>а метопролол с</w:t>
      </w:r>
      <w:r w:rsidR="00106E6D" w:rsidRPr="00FE6AC6">
        <w:rPr>
          <w:color w:val="000000"/>
          <w:szCs w:val="22"/>
          <w:lang w:val="de-CH"/>
        </w:rPr>
        <w:t> </w:t>
      </w:r>
      <w:r w:rsidR="003B4CC7" w:rsidRPr="00FE6AC6">
        <w:rPr>
          <w:color w:val="000000"/>
          <w:szCs w:val="22"/>
          <w:lang w:val="bg-BG"/>
        </w:rPr>
        <w:t>23% (90%</w:t>
      </w:r>
      <w:r w:rsidR="00B33277" w:rsidRPr="00FE6AC6">
        <w:rPr>
          <w:color w:val="000000"/>
          <w:szCs w:val="22"/>
          <w:lang w:val="bg-BG"/>
        </w:rPr>
        <w:t xml:space="preserve"> </w:t>
      </w:r>
      <w:r w:rsidR="00B33277" w:rsidRPr="00FE6AC6">
        <w:rPr>
          <w:color w:val="000000"/>
          <w:szCs w:val="22"/>
          <w:lang w:val="en-US"/>
        </w:rPr>
        <w:t>CI</w:t>
      </w:r>
      <w:r w:rsidR="003B4CC7" w:rsidRPr="00FE6AC6">
        <w:rPr>
          <w:color w:val="000000"/>
          <w:szCs w:val="22"/>
          <w:lang w:val="bg-BG"/>
        </w:rPr>
        <w:t xml:space="preserve"> [1</w:t>
      </w:r>
      <w:r w:rsidR="00013E43" w:rsidRPr="00FE6AC6">
        <w:rPr>
          <w:color w:val="000000"/>
          <w:szCs w:val="22"/>
          <w:lang w:val="bg-BG"/>
        </w:rPr>
        <w:t>,</w:t>
      </w:r>
      <w:r w:rsidR="003B4CC7" w:rsidRPr="00FE6AC6">
        <w:rPr>
          <w:color w:val="000000"/>
          <w:szCs w:val="22"/>
          <w:lang w:val="bg-BG"/>
        </w:rPr>
        <w:t>16</w:t>
      </w:r>
      <w:r w:rsidR="003B4CC7" w:rsidRPr="00FE6AC6">
        <w:rPr>
          <w:color w:val="000000"/>
          <w:szCs w:val="22"/>
          <w:lang w:val="bg-BG"/>
        </w:rPr>
        <w:noBreakHyphen/>
        <w:t>1</w:t>
      </w:r>
      <w:r w:rsidR="00013E43" w:rsidRPr="00FE6AC6">
        <w:rPr>
          <w:color w:val="000000"/>
          <w:szCs w:val="22"/>
          <w:lang w:val="bg-BG"/>
        </w:rPr>
        <w:t>,</w:t>
      </w:r>
      <w:r w:rsidR="003B4CC7" w:rsidRPr="00FE6AC6">
        <w:rPr>
          <w:color w:val="000000"/>
          <w:szCs w:val="22"/>
          <w:lang w:val="bg-BG"/>
        </w:rPr>
        <w:t xml:space="preserve">30]). Няма данни за необходимост от адаптиране на дозировката, когато иматиниб се приема едновременно с </w:t>
      </w:r>
      <w:r w:rsidR="003B4CC7" w:rsidRPr="00FE6AC6">
        <w:rPr>
          <w:color w:val="000000"/>
          <w:szCs w:val="22"/>
        </w:rPr>
        <w:t>CYP</w:t>
      </w:r>
      <w:r w:rsidR="003B4CC7" w:rsidRPr="00FE6AC6">
        <w:rPr>
          <w:color w:val="000000"/>
          <w:szCs w:val="22"/>
          <w:lang w:val="bg-BG"/>
        </w:rPr>
        <w:t>2</w:t>
      </w:r>
      <w:r w:rsidR="003B4CC7" w:rsidRPr="00FE6AC6">
        <w:rPr>
          <w:color w:val="000000"/>
          <w:szCs w:val="22"/>
        </w:rPr>
        <w:t>D</w:t>
      </w:r>
      <w:r w:rsidR="003B4CC7" w:rsidRPr="00FE6AC6">
        <w:rPr>
          <w:color w:val="000000"/>
          <w:szCs w:val="22"/>
          <w:lang w:val="bg-BG"/>
        </w:rPr>
        <w:t xml:space="preserve">6 субстрати, </w:t>
      </w:r>
      <w:r w:rsidR="000B70B9" w:rsidRPr="00FE6AC6">
        <w:rPr>
          <w:color w:val="000000"/>
          <w:szCs w:val="22"/>
          <w:lang w:val="bg-BG"/>
        </w:rPr>
        <w:t xml:space="preserve">но </w:t>
      </w:r>
      <w:r w:rsidR="003B4CC7" w:rsidRPr="00FE6AC6">
        <w:rPr>
          <w:color w:val="000000"/>
          <w:szCs w:val="22"/>
          <w:lang w:val="bg-BG"/>
        </w:rPr>
        <w:t xml:space="preserve">все пак е необходимо повишено внимание при </w:t>
      </w:r>
      <w:r w:rsidR="003B4CC7" w:rsidRPr="00FE6AC6">
        <w:rPr>
          <w:color w:val="000000"/>
          <w:szCs w:val="22"/>
        </w:rPr>
        <w:t>CYP</w:t>
      </w:r>
      <w:r w:rsidR="003B4CC7" w:rsidRPr="00FE6AC6">
        <w:rPr>
          <w:color w:val="000000"/>
          <w:szCs w:val="22"/>
          <w:lang w:val="bg-BG"/>
        </w:rPr>
        <w:t>2</w:t>
      </w:r>
      <w:r w:rsidR="003B4CC7" w:rsidRPr="00FE6AC6">
        <w:rPr>
          <w:color w:val="000000"/>
          <w:szCs w:val="22"/>
        </w:rPr>
        <w:t>D</w:t>
      </w:r>
      <w:r w:rsidR="003B4CC7" w:rsidRPr="00FE6AC6">
        <w:rPr>
          <w:color w:val="000000"/>
          <w:szCs w:val="22"/>
          <w:lang w:val="bg-BG"/>
        </w:rPr>
        <w:t>6 субстрати с малка терапевтична ширина, като метопролол</w:t>
      </w:r>
      <w:r w:rsidR="00D464D0" w:rsidRPr="00FE6AC6">
        <w:rPr>
          <w:color w:val="000000"/>
          <w:szCs w:val="22"/>
          <w:lang w:val="bg-BG"/>
        </w:rPr>
        <w:t>. При пациенти, лекувани с метопролол, трябва да се има предвид клинично наблюдение.</w:t>
      </w:r>
    </w:p>
    <w:p w14:paraId="3E54FC21" w14:textId="77777777" w:rsidR="009A23ED" w:rsidRPr="00FE6AC6" w:rsidRDefault="009A23ED" w:rsidP="0063575E">
      <w:pPr>
        <w:widowControl w:val="0"/>
        <w:spacing w:line="240" w:lineRule="auto"/>
        <w:rPr>
          <w:color w:val="000000"/>
          <w:lang w:val="bg-BG"/>
        </w:rPr>
      </w:pPr>
    </w:p>
    <w:p w14:paraId="3E54FC22" w14:textId="77777777" w:rsidR="009A23ED" w:rsidRPr="00FE6AC6" w:rsidRDefault="009A23ED" w:rsidP="0063575E">
      <w:pPr>
        <w:widowControl w:val="0"/>
        <w:spacing w:line="240" w:lineRule="auto"/>
        <w:rPr>
          <w:color w:val="000000"/>
          <w:lang w:val="bg-BG"/>
        </w:rPr>
      </w:pPr>
      <w:r w:rsidRPr="00FE6AC6">
        <w:rPr>
          <w:i/>
          <w:color w:val="000000"/>
          <w:lang w:val="bg-BG"/>
        </w:rPr>
        <w:t xml:space="preserve">In vitro </w:t>
      </w:r>
      <w:r w:rsidRPr="00FE6AC6">
        <w:rPr>
          <w:color w:val="000000"/>
          <w:lang w:val="bg-BG"/>
        </w:rPr>
        <w:t xml:space="preserve">Glivec инхибира O-глюкуронидирането на парацетамол </w:t>
      </w:r>
      <w:r w:rsidR="00DD7142" w:rsidRPr="00FE6AC6">
        <w:rPr>
          <w:color w:val="000000"/>
          <w:lang w:val="bg-BG"/>
        </w:rPr>
        <w:t xml:space="preserve">със </w:t>
      </w:r>
      <w:r w:rsidRPr="00FE6AC6">
        <w:rPr>
          <w:color w:val="000000"/>
          <w:lang w:val="bg-BG"/>
        </w:rPr>
        <w:t>стойност на Ki –</w:t>
      </w:r>
      <w:r w:rsidRPr="00FE6AC6">
        <w:rPr>
          <w:color w:val="000000"/>
          <w:lang w:val="en-US"/>
        </w:rPr>
        <w:t> </w:t>
      </w:r>
      <w:r w:rsidRPr="00FE6AC6">
        <w:rPr>
          <w:color w:val="000000"/>
          <w:lang w:val="bg-BG"/>
        </w:rPr>
        <w:t>58,5</w:t>
      </w:r>
      <w:r w:rsidRPr="00FE6AC6">
        <w:rPr>
          <w:color w:val="000000"/>
          <w:lang w:val="en-US"/>
        </w:rPr>
        <w:t> </w:t>
      </w:r>
      <w:r w:rsidRPr="00FE6AC6">
        <w:rPr>
          <w:color w:val="000000"/>
          <w:lang w:val="bg-BG"/>
        </w:rPr>
        <w:t>micromol/l</w:t>
      </w:r>
      <w:r w:rsidR="00DD7142" w:rsidRPr="00FE6AC6">
        <w:rPr>
          <w:color w:val="000000"/>
          <w:lang w:val="bg-BG"/>
        </w:rPr>
        <w:t xml:space="preserve">. </w:t>
      </w:r>
      <w:r w:rsidR="00DD7142" w:rsidRPr="00FE6AC6">
        <w:rPr>
          <w:i/>
          <w:color w:val="000000"/>
          <w:lang w:val="bg-BG"/>
        </w:rPr>
        <w:t>In</w:t>
      </w:r>
      <w:r w:rsidR="00DD7142" w:rsidRPr="00FE6AC6">
        <w:rPr>
          <w:i/>
          <w:iCs/>
          <w:color w:val="000000"/>
          <w:szCs w:val="22"/>
          <w:lang w:val="bg-BG"/>
        </w:rPr>
        <w:t xml:space="preserve"> </w:t>
      </w:r>
      <w:r w:rsidR="00DD7142" w:rsidRPr="00FE6AC6">
        <w:rPr>
          <w:i/>
          <w:iCs/>
          <w:color w:val="000000"/>
          <w:szCs w:val="22"/>
        </w:rPr>
        <w:t>vivo</w:t>
      </w:r>
      <w:r w:rsidR="00DD7142" w:rsidRPr="00FE6AC6">
        <w:rPr>
          <w:iCs/>
          <w:color w:val="000000"/>
          <w:szCs w:val="22"/>
          <w:lang w:val="bg-BG"/>
        </w:rPr>
        <w:t xml:space="preserve"> н</w:t>
      </w:r>
      <w:r w:rsidR="00DD7142" w:rsidRPr="00FE6AC6">
        <w:rPr>
          <w:color w:val="000000"/>
          <w:lang w:val="bg-BG"/>
        </w:rPr>
        <w:t xml:space="preserve">е е наблюдавано подобно инхибиране при съвместно приложение на </w:t>
      </w:r>
      <w:r w:rsidR="00DD7142" w:rsidRPr="00FE6AC6">
        <w:rPr>
          <w:color w:val="000000"/>
          <w:lang w:val="en-US"/>
        </w:rPr>
        <w:t>Glivec</w:t>
      </w:r>
      <w:r w:rsidR="00DD7142" w:rsidRPr="00FE6AC6">
        <w:rPr>
          <w:color w:val="000000"/>
          <w:lang w:val="bg-BG"/>
        </w:rPr>
        <w:t xml:space="preserve"> 400</w:t>
      </w:r>
      <w:r w:rsidR="00DD7142" w:rsidRPr="00FE6AC6">
        <w:rPr>
          <w:color w:val="000000"/>
          <w:lang w:val="en-US"/>
        </w:rPr>
        <w:t> mg</w:t>
      </w:r>
      <w:r w:rsidR="00DD7142" w:rsidRPr="00FE6AC6">
        <w:rPr>
          <w:color w:val="000000"/>
          <w:lang w:val="bg-BG"/>
        </w:rPr>
        <w:t xml:space="preserve"> и парацетамол 1</w:t>
      </w:r>
      <w:r w:rsidR="00D21DCB" w:rsidRPr="00FE6AC6">
        <w:rPr>
          <w:color w:val="000000"/>
          <w:lang w:val="en-US"/>
        </w:rPr>
        <w:t> </w:t>
      </w:r>
      <w:r w:rsidR="00DD7142" w:rsidRPr="00FE6AC6">
        <w:rPr>
          <w:color w:val="000000"/>
          <w:lang w:val="bg-BG"/>
        </w:rPr>
        <w:t>000</w:t>
      </w:r>
      <w:r w:rsidR="00DD7142" w:rsidRPr="00FE6AC6">
        <w:rPr>
          <w:color w:val="000000"/>
          <w:lang w:val="en-US"/>
        </w:rPr>
        <w:t> mg</w:t>
      </w:r>
      <w:r w:rsidR="00DD7142" w:rsidRPr="00FE6AC6">
        <w:rPr>
          <w:color w:val="000000"/>
          <w:lang w:val="bg-BG"/>
        </w:rPr>
        <w:t xml:space="preserve">. </w:t>
      </w:r>
      <w:r w:rsidR="00F66587" w:rsidRPr="00FE6AC6">
        <w:rPr>
          <w:color w:val="000000"/>
          <w:lang w:val="bg-BG"/>
        </w:rPr>
        <w:t>П</w:t>
      </w:r>
      <w:r w:rsidR="00DD7142" w:rsidRPr="00FE6AC6">
        <w:rPr>
          <w:color w:val="000000"/>
          <w:lang w:val="bg-BG"/>
        </w:rPr>
        <w:t xml:space="preserve">риложение на по-високи дози </w:t>
      </w:r>
      <w:r w:rsidR="00DD7142" w:rsidRPr="00FE6AC6">
        <w:rPr>
          <w:color w:val="000000"/>
          <w:lang w:val="en-US"/>
        </w:rPr>
        <w:t>Glivec</w:t>
      </w:r>
      <w:r w:rsidR="00DD7142" w:rsidRPr="00FE6AC6">
        <w:rPr>
          <w:color w:val="000000"/>
          <w:lang w:val="bg-BG"/>
        </w:rPr>
        <w:t xml:space="preserve"> и парацетамол не е проучвано</w:t>
      </w:r>
      <w:r w:rsidRPr="00FE6AC6">
        <w:rPr>
          <w:color w:val="000000"/>
          <w:lang w:val="bg-BG"/>
        </w:rPr>
        <w:t>.</w:t>
      </w:r>
    </w:p>
    <w:p w14:paraId="3E54FC23" w14:textId="77777777" w:rsidR="009A23ED" w:rsidRPr="00FE6AC6" w:rsidRDefault="009A23ED" w:rsidP="0063575E">
      <w:pPr>
        <w:widowControl w:val="0"/>
        <w:spacing w:line="240" w:lineRule="auto"/>
        <w:rPr>
          <w:color w:val="000000"/>
          <w:lang w:val="bg-BG"/>
        </w:rPr>
      </w:pPr>
    </w:p>
    <w:p w14:paraId="3E54FC24" w14:textId="77777777" w:rsidR="009A23ED" w:rsidRPr="00FE6AC6" w:rsidRDefault="009A23ED" w:rsidP="0063575E">
      <w:pPr>
        <w:widowControl w:val="0"/>
        <w:spacing w:line="240" w:lineRule="auto"/>
        <w:rPr>
          <w:color w:val="000000"/>
          <w:lang w:val="bg-BG"/>
        </w:rPr>
      </w:pPr>
      <w:r w:rsidRPr="00FE6AC6">
        <w:rPr>
          <w:color w:val="000000"/>
          <w:lang w:val="bg-BG"/>
        </w:rPr>
        <w:t xml:space="preserve">Следователно трябва да се подхожда предпазливо, ако </w:t>
      </w:r>
      <w:r w:rsidR="001C2024" w:rsidRPr="00FE6AC6">
        <w:rPr>
          <w:color w:val="000000"/>
          <w:lang w:val="bg-BG"/>
        </w:rPr>
        <w:t xml:space="preserve">високи </w:t>
      </w:r>
      <w:r w:rsidR="00F66587" w:rsidRPr="00FE6AC6">
        <w:rPr>
          <w:color w:val="000000"/>
          <w:lang w:val="bg-BG"/>
        </w:rPr>
        <w:t xml:space="preserve">дози </w:t>
      </w:r>
      <w:r w:rsidRPr="00FE6AC6">
        <w:rPr>
          <w:color w:val="000000"/>
          <w:lang w:val="bg-BG"/>
        </w:rPr>
        <w:t>Glivec се прилага</w:t>
      </w:r>
      <w:r w:rsidR="001C2024" w:rsidRPr="00FE6AC6">
        <w:rPr>
          <w:color w:val="000000"/>
          <w:lang w:val="bg-BG"/>
        </w:rPr>
        <w:t>т</w:t>
      </w:r>
      <w:r w:rsidRPr="00FE6AC6">
        <w:rPr>
          <w:color w:val="000000"/>
          <w:lang w:val="bg-BG"/>
        </w:rPr>
        <w:t xml:space="preserve"> съвместно с парацетамол.</w:t>
      </w:r>
    </w:p>
    <w:p w14:paraId="3E54FC25" w14:textId="77777777" w:rsidR="009A23ED" w:rsidRPr="00FE6AC6" w:rsidRDefault="009A23ED" w:rsidP="0063575E">
      <w:pPr>
        <w:widowControl w:val="0"/>
        <w:spacing w:line="240" w:lineRule="auto"/>
        <w:rPr>
          <w:color w:val="000000"/>
          <w:szCs w:val="22"/>
          <w:lang w:val="bg-BG"/>
        </w:rPr>
      </w:pPr>
    </w:p>
    <w:p w14:paraId="3E54FC26" w14:textId="77777777" w:rsidR="00DB40BF" w:rsidRPr="00FE6AC6" w:rsidRDefault="009A23ED" w:rsidP="0063575E">
      <w:pPr>
        <w:widowControl w:val="0"/>
        <w:spacing w:line="240" w:lineRule="auto"/>
        <w:rPr>
          <w:color w:val="000000"/>
          <w:szCs w:val="22"/>
          <w:lang w:val="bg-BG"/>
        </w:rPr>
      </w:pPr>
      <w:r w:rsidRPr="00FE6AC6">
        <w:rPr>
          <w:color w:val="000000"/>
          <w:szCs w:val="22"/>
          <w:lang w:val="bg-BG"/>
        </w:rPr>
        <w:t>П</w:t>
      </w:r>
      <w:r w:rsidR="00C54483" w:rsidRPr="00FE6AC6">
        <w:rPr>
          <w:color w:val="000000"/>
          <w:szCs w:val="22"/>
          <w:lang w:val="bg-BG"/>
        </w:rPr>
        <w:t>ри ти</w:t>
      </w:r>
      <w:r w:rsidR="00F607AF" w:rsidRPr="00FE6AC6">
        <w:rPr>
          <w:color w:val="000000"/>
          <w:szCs w:val="22"/>
          <w:lang w:val="bg-BG"/>
        </w:rPr>
        <w:t>роидектомирани пациенти, получаващи левотироксин</w:t>
      </w:r>
      <w:r w:rsidR="00DB40BF" w:rsidRPr="00FE6AC6">
        <w:rPr>
          <w:color w:val="000000"/>
          <w:szCs w:val="22"/>
          <w:lang w:val="bg-BG"/>
        </w:rPr>
        <w:t xml:space="preserve">, </w:t>
      </w:r>
      <w:r w:rsidR="00F607AF" w:rsidRPr="00FE6AC6">
        <w:rPr>
          <w:color w:val="000000"/>
          <w:szCs w:val="22"/>
          <w:lang w:val="bg-BG"/>
        </w:rPr>
        <w:t>плазмената експозиция на левотироксин</w:t>
      </w:r>
      <w:r w:rsidR="00DB40BF" w:rsidRPr="00FE6AC6">
        <w:rPr>
          <w:color w:val="000000"/>
          <w:szCs w:val="22"/>
          <w:lang w:val="bg-BG"/>
        </w:rPr>
        <w:t xml:space="preserve"> </w:t>
      </w:r>
      <w:r w:rsidR="00F607AF" w:rsidRPr="00FE6AC6">
        <w:rPr>
          <w:color w:val="000000"/>
          <w:szCs w:val="22"/>
          <w:lang w:val="bg-BG"/>
        </w:rPr>
        <w:t>може да бъде понижена при едновременно приложение с</w:t>
      </w:r>
      <w:r w:rsidR="00DB40BF" w:rsidRPr="00FE6AC6">
        <w:rPr>
          <w:color w:val="000000"/>
          <w:szCs w:val="22"/>
          <w:lang w:val="bg-BG"/>
        </w:rPr>
        <w:t xml:space="preserve"> </w:t>
      </w:r>
      <w:r w:rsidR="00DB40BF" w:rsidRPr="00FE6AC6">
        <w:rPr>
          <w:color w:val="000000"/>
          <w:szCs w:val="22"/>
        </w:rPr>
        <w:t>Glivec</w:t>
      </w:r>
      <w:r w:rsidR="00DB40BF" w:rsidRPr="00FE6AC6">
        <w:rPr>
          <w:color w:val="000000"/>
          <w:szCs w:val="22"/>
          <w:lang w:val="bg-BG"/>
        </w:rPr>
        <w:t xml:space="preserve"> (</w:t>
      </w:r>
      <w:r w:rsidR="00F607AF" w:rsidRPr="00FE6AC6">
        <w:rPr>
          <w:color w:val="000000"/>
          <w:szCs w:val="22"/>
          <w:lang w:val="bg-BG"/>
        </w:rPr>
        <w:t>вж. точка</w:t>
      </w:r>
      <w:r w:rsidR="00DB40BF" w:rsidRPr="00FE6AC6">
        <w:rPr>
          <w:color w:val="000000"/>
          <w:szCs w:val="22"/>
          <w:lang w:val="bg-BG"/>
        </w:rPr>
        <w:t xml:space="preserve"> 4.4). </w:t>
      </w:r>
      <w:r w:rsidR="00F607AF" w:rsidRPr="00FE6AC6">
        <w:rPr>
          <w:color w:val="000000"/>
          <w:szCs w:val="22"/>
          <w:lang w:val="bg-BG"/>
        </w:rPr>
        <w:t>Поради тази причина се препоръчва повишено внимание</w:t>
      </w:r>
      <w:r w:rsidR="00DB40BF" w:rsidRPr="00FE6AC6">
        <w:rPr>
          <w:color w:val="000000"/>
          <w:szCs w:val="22"/>
          <w:lang w:val="bg-BG"/>
        </w:rPr>
        <w:t xml:space="preserve">. </w:t>
      </w:r>
      <w:r w:rsidR="00F607AF" w:rsidRPr="00FE6AC6">
        <w:rPr>
          <w:color w:val="000000"/>
          <w:szCs w:val="22"/>
          <w:lang w:val="bg-BG"/>
        </w:rPr>
        <w:t>Все пак, понастоящем не е известен механизмът на наблюдаваното взаимодействие</w:t>
      </w:r>
      <w:r w:rsidR="00DB40BF" w:rsidRPr="00FE6AC6">
        <w:rPr>
          <w:color w:val="000000"/>
          <w:szCs w:val="22"/>
          <w:lang w:val="bg-BG"/>
        </w:rPr>
        <w:t>.</w:t>
      </w:r>
    </w:p>
    <w:p w14:paraId="3E54FC27" w14:textId="77777777" w:rsidR="001636FA" w:rsidRPr="00FE6AC6" w:rsidRDefault="001636FA" w:rsidP="0063575E">
      <w:pPr>
        <w:widowControl w:val="0"/>
        <w:spacing w:line="240" w:lineRule="auto"/>
        <w:rPr>
          <w:color w:val="000000"/>
          <w:lang w:val="bg-BG"/>
        </w:rPr>
      </w:pPr>
    </w:p>
    <w:p w14:paraId="3E54FC28" w14:textId="77777777" w:rsidR="001636FA" w:rsidRPr="00FE6AC6" w:rsidRDefault="001636FA" w:rsidP="0063575E">
      <w:pPr>
        <w:widowControl w:val="0"/>
        <w:spacing w:line="240" w:lineRule="auto"/>
        <w:rPr>
          <w:color w:val="000000"/>
          <w:lang w:val="bg-BG"/>
        </w:rPr>
      </w:pPr>
      <w:r w:rsidRPr="00FE6AC6">
        <w:rPr>
          <w:color w:val="000000"/>
          <w:lang w:val="bg-BG"/>
        </w:rPr>
        <w:t xml:space="preserve">При пациентите с </w:t>
      </w:r>
      <w:r w:rsidRPr="00FE6AC6">
        <w:rPr>
          <w:color w:val="000000"/>
          <w:lang w:val="en-US"/>
        </w:rPr>
        <w:t>Ph</w:t>
      </w:r>
      <w:r w:rsidRPr="00FE6AC6">
        <w:rPr>
          <w:color w:val="000000"/>
          <w:lang w:val="ru-RU"/>
        </w:rPr>
        <w:t xml:space="preserve">+ОЛЛ има клиничен опит с едновременното приложение на </w:t>
      </w:r>
      <w:r w:rsidRPr="00FE6AC6">
        <w:rPr>
          <w:color w:val="000000"/>
          <w:lang w:val="en-US"/>
        </w:rPr>
        <w:t>Glivec</w:t>
      </w:r>
      <w:r w:rsidRPr="00FE6AC6">
        <w:rPr>
          <w:color w:val="000000"/>
          <w:lang w:val="bg-BG"/>
        </w:rPr>
        <w:t xml:space="preserve"> и химиотерапия (вж. точка 5.1), но лекарствените взаимодействия между иматиниб и химиотерапевтичните схеми не са добре характеризирани. Нежеланите лекарствени реакции на иматиниб напр. хепатотоксичност, миелосупресия или други, могат да се увеличат и има съобщения, че едновременната употреба с </w:t>
      </w:r>
      <w:r w:rsidRPr="00FE6AC6">
        <w:rPr>
          <w:color w:val="000000"/>
          <w:lang w:val="en-US"/>
        </w:rPr>
        <w:t>L</w:t>
      </w:r>
      <w:r w:rsidRPr="00FE6AC6">
        <w:rPr>
          <w:color w:val="000000"/>
          <w:lang w:val="ru-RU"/>
        </w:rPr>
        <w:t xml:space="preserve">-аспарагиназа може да се свърже с повишена хепатотоксичност (вж. точка 4.8). Следователно употребата на </w:t>
      </w:r>
      <w:r w:rsidRPr="00FE6AC6">
        <w:rPr>
          <w:color w:val="000000"/>
          <w:lang w:val="en-US"/>
        </w:rPr>
        <w:t>Glivec</w:t>
      </w:r>
      <w:r w:rsidRPr="00FE6AC6">
        <w:rPr>
          <w:color w:val="000000"/>
          <w:lang w:val="ru-RU"/>
        </w:rPr>
        <w:t xml:space="preserve"> </w:t>
      </w:r>
      <w:r w:rsidRPr="00FE6AC6">
        <w:rPr>
          <w:color w:val="000000"/>
          <w:lang w:val="bg-BG"/>
        </w:rPr>
        <w:t>в комбинация изисква специални предпазни мерки.</w:t>
      </w:r>
    </w:p>
    <w:p w14:paraId="3E54FC29" w14:textId="77777777" w:rsidR="001636FA" w:rsidRPr="00FE6AC6" w:rsidRDefault="001636FA" w:rsidP="0063575E">
      <w:pPr>
        <w:widowControl w:val="0"/>
        <w:spacing w:line="240" w:lineRule="auto"/>
        <w:rPr>
          <w:color w:val="000000"/>
          <w:lang w:val="bg-BG"/>
        </w:rPr>
      </w:pPr>
    </w:p>
    <w:p w14:paraId="3E54FC2A" w14:textId="77777777" w:rsidR="001636FA" w:rsidRPr="00FE6AC6" w:rsidRDefault="001636FA" w:rsidP="0063575E">
      <w:pPr>
        <w:keepNext/>
        <w:widowControl w:val="0"/>
        <w:tabs>
          <w:tab w:val="clear" w:pos="567"/>
        </w:tabs>
        <w:spacing w:line="240" w:lineRule="auto"/>
        <w:rPr>
          <w:b/>
          <w:color w:val="000000"/>
          <w:lang w:val="bg-BG"/>
        </w:rPr>
      </w:pPr>
      <w:r w:rsidRPr="00FE6AC6">
        <w:rPr>
          <w:b/>
          <w:color w:val="000000"/>
          <w:lang w:val="bg-BG"/>
        </w:rPr>
        <w:t>4.6</w:t>
      </w:r>
      <w:r w:rsidRPr="00FE6AC6">
        <w:rPr>
          <w:b/>
          <w:color w:val="000000"/>
          <w:lang w:val="bg-BG"/>
        </w:rPr>
        <w:tab/>
      </w:r>
      <w:r w:rsidR="00A3322D" w:rsidRPr="00FE6AC6">
        <w:rPr>
          <w:b/>
          <w:color w:val="000000"/>
          <w:lang w:val="bg-BG"/>
        </w:rPr>
        <w:t>Фертилитет, б</w:t>
      </w:r>
      <w:r w:rsidRPr="00FE6AC6">
        <w:rPr>
          <w:b/>
          <w:color w:val="000000"/>
          <w:lang w:val="bg-BG"/>
        </w:rPr>
        <w:t>ременност и кърмене</w:t>
      </w:r>
    </w:p>
    <w:p w14:paraId="3E54FC2B" w14:textId="77777777" w:rsidR="001636FA" w:rsidRPr="00FE6AC6" w:rsidRDefault="001636FA" w:rsidP="0063575E">
      <w:pPr>
        <w:keepNext/>
        <w:widowControl w:val="0"/>
        <w:spacing w:line="240" w:lineRule="auto"/>
        <w:rPr>
          <w:color w:val="000000"/>
          <w:lang w:val="bg-BG"/>
        </w:rPr>
      </w:pPr>
    </w:p>
    <w:p w14:paraId="3E54FC2C" w14:textId="77777777" w:rsidR="00D87118" w:rsidRPr="00FE6AC6" w:rsidRDefault="00D87118" w:rsidP="0063575E">
      <w:pPr>
        <w:keepNext/>
        <w:widowControl w:val="0"/>
        <w:spacing w:line="240" w:lineRule="auto"/>
        <w:rPr>
          <w:color w:val="000000"/>
          <w:u w:val="single"/>
          <w:lang w:val="bg-BG"/>
        </w:rPr>
      </w:pPr>
      <w:r w:rsidRPr="00FE6AC6">
        <w:rPr>
          <w:color w:val="000000"/>
          <w:u w:val="single"/>
          <w:lang w:val="bg-BG"/>
        </w:rPr>
        <w:t>Жени с детероден потенциал</w:t>
      </w:r>
    </w:p>
    <w:p w14:paraId="3E54FC2D" w14:textId="77777777" w:rsidR="00D87118" w:rsidRPr="00FE6AC6" w:rsidRDefault="00D87118" w:rsidP="0063575E">
      <w:pPr>
        <w:widowControl w:val="0"/>
        <w:spacing w:line="240" w:lineRule="auto"/>
        <w:rPr>
          <w:color w:val="000000"/>
          <w:lang w:val="bg-BG"/>
        </w:rPr>
      </w:pPr>
      <w:r w:rsidRPr="00FE6AC6">
        <w:rPr>
          <w:color w:val="000000"/>
          <w:lang w:val="bg-BG"/>
        </w:rPr>
        <w:t>Жени с детероден потенциал трябва да бъдат посъветвани да използват ефективна контрацепция по време на лечението</w:t>
      </w:r>
      <w:r w:rsidR="003C333E">
        <w:rPr>
          <w:color w:val="000000"/>
          <w:lang w:val="bg-BG"/>
        </w:rPr>
        <w:t xml:space="preserve"> </w:t>
      </w:r>
      <w:r w:rsidR="003C333E" w:rsidRPr="003C333E">
        <w:rPr>
          <w:color w:val="000000"/>
          <w:lang w:val="bg-BG"/>
        </w:rPr>
        <w:t>и най-малко 15</w:t>
      </w:r>
      <w:r w:rsidR="003C333E">
        <w:rPr>
          <w:color w:val="000000"/>
          <w:lang w:val="bg-BG"/>
        </w:rPr>
        <w:t> </w:t>
      </w:r>
      <w:r w:rsidR="003C333E" w:rsidRPr="003C333E">
        <w:rPr>
          <w:color w:val="000000"/>
          <w:lang w:val="bg-BG"/>
        </w:rPr>
        <w:t>дни след спиране на лечението с Glivec</w:t>
      </w:r>
      <w:r w:rsidRPr="00FE6AC6">
        <w:rPr>
          <w:color w:val="000000"/>
          <w:lang w:val="bg-BG"/>
        </w:rPr>
        <w:t>.</w:t>
      </w:r>
    </w:p>
    <w:p w14:paraId="3E54FC2E" w14:textId="77777777" w:rsidR="00D87118" w:rsidRPr="00FE6AC6" w:rsidRDefault="00D87118" w:rsidP="0063575E">
      <w:pPr>
        <w:widowControl w:val="0"/>
        <w:spacing w:line="240" w:lineRule="auto"/>
        <w:rPr>
          <w:color w:val="000000"/>
          <w:u w:val="single"/>
          <w:lang w:val="bg-BG"/>
        </w:rPr>
      </w:pPr>
    </w:p>
    <w:p w14:paraId="3E54FC2F"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Бременност</w:t>
      </w:r>
    </w:p>
    <w:p w14:paraId="3E54FC30" w14:textId="77777777" w:rsidR="00053C3E" w:rsidRPr="00FE6AC6" w:rsidRDefault="00053C3E" w:rsidP="0063575E">
      <w:pPr>
        <w:widowControl w:val="0"/>
        <w:spacing w:line="240" w:lineRule="auto"/>
        <w:rPr>
          <w:color w:val="000000"/>
          <w:lang w:val="bg-BG"/>
        </w:rPr>
      </w:pPr>
      <w:r w:rsidRPr="00FE6AC6">
        <w:rPr>
          <w:color w:val="000000"/>
          <w:lang w:val="bg-BG"/>
        </w:rPr>
        <w:t>Има ограничени</w:t>
      </w:r>
      <w:r w:rsidR="001636FA" w:rsidRPr="00FE6AC6">
        <w:rPr>
          <w:color w:val="000000"/>
          <w:lang w:val="bg-BG"/>
        </w:rPr>
        <w:t xml:space="preserve"> данни за употребата на иматиниб при бременни жени. </w:t>
      </w:r>
      <w:r w:rsidR="006F2524" w:rsidRPr="00FE6AC6">
        <w:rPr>
          <w:color w:val="000000"/>
          <w:lang w:val="bg-BG"/>
        </w:rPr>
        <w:t xml:space="preserve">Има постмаркетингови съобщения за спонтанни аборти и вродени аномалии </w:t>
      </w:r>
      <w:r w:rsidR="00047E13" w:rsidRPr="00FE6AC6">
        <w:rPr>
          <w:color w:val="000000"/>
          <w:lang w:val="bg-BG"/>
        </w:rPr>
        <w:t xml:space="preserve">при новородени </w:t>
      </w:r>
      <w:r w:rsidR="006F2524" w:rsidRPr="00FE6AC6">
        <w:rPr>
          <w:color w:val="000000"/>
          <w:lang w:val="bg-BG"/>
        </w:rPr>
        <w:t xml:space="preserve">от жени, които са приемали </w:t>
      </w:r>
      <w:r w:rsidR="006F2524" w:rsidRPr="00FE6AC6">
        <w:rPr>
          <w:color w:val="000000"/>
          <w:lang w:val="en-US"/>
        </w:rPr>
        <w:t>Glivec</w:t>
      </w:r>
      <w:r w:rsidR="006F2524" w:rsidRPr="00FE6AC6">
        <w:rPr>
          <w:color w:val="000000"/>
          <w:lang w:val="bg-BG"/>
        </w:rPr>
        <w:t xml:space="preserve"> по време на бременността. </w:t>
      </w:r>
      <w:r w:rsidR="00BF554E" w:rsidRPr="00FE6AC6">
        <w:rPr>
          <w:color w:val="000000"/>
          <w:lang w:val="bg-BG"/>
        </w:rPr>
        <w:t>Въпреки че</w:t>
      </w:r>
      <w:r w:rsidR="001636FA" w:rsidRPr="00FE6AC6">
        <w:rPr>
          <w:color w:val="000000"/>
          <w:lang w:val="bg-BG"/>
        </w:rPr>
        <w:t xml:space="preserve"> проучвания</w:t>
      </w:r>
      <w:r w:rsidR="00BF554E" w:rsidRPr="00FE6AC6">
        <w:rPr>
          <w:color w:val="000000"/>
          <w:lang w:val="bg-BG"/>
        </w:rPr>
        <w:t>та</w:t>
      </w:r>
      <w:r w:rsidR="001636FA" w:rsidRPr="00FE6AC6">
        <w:rPr>
          <w:color w:val="000000"/>
          <w:lang w:val="bg-BG"/>
        </w:rPr>
        <w:t xml:space="preserve"> при животни показват репродуктивна токсичност (вж. точка</w:t>
      </w:r>
      <w:r w:rsidR="001636FA" w:rsidRPr="00FE6AC6">
        <w:rPr>
          <w:color w:val="000000"/>
          <w:lang w:val="en-US"/>
        </w:rPr>
        <w:t> </w:t>
      </w:r>
      <w:r w:rsidR="001636FA" w:rsidRPr="00FE6AC6">
        <w:rPr>
          <w:color w:val="000000"/>
          <w:lang w:val="bg-BG"/>
        </w:rPr>
        <w:t xml:space="preserve">5.3), потенциалният риск за плода не е известен. Glivec не трябва да се </w:t>
      </w:r>
      <w:r w:rsidR="00BF554E" w:rsidRPr="00FE6AC6">
        <w:rPr>
          <w:color w:val="000000"/>
          <w:lang w:val="bg-BG"/>
        </w:rPr>
        <w:t>прилага по време на</w:t>
      </w:r>
      <w:r w:rsidR="001636FA" w:rsidRPr="00FE6AC6">
        <w:rPr>
          <w:color w:val="000000"/>
          <w:lang w:val="bg-BG"/>
        </w:rPr>
        <w:t xml:space="preserve"> бременност, освен в случай на категорична необходимост. Ако той се използва по време на бременност, пациентката трябва да бъде информирана за възможния риск за плода.</w:t>
      </w:r>
    </w:p>
    <w:p w14:paraId="3E54FC31" w14:textId="77777777" w:rsidR="001636FA" w:rsidRPr="00FE6AC6" w:rsidRDefault="001636FA" w:rsidP="0063575E">
      <w:pPr>
        <w:widowControl w:val="0"/>
        <w:spacing w:line="240" w:lineRule="auto"/>
        <w:rPr>
          <w:color w:val="000000"/>
          <w:lang w:val="bg-BG"/>
        </w:rPr>
      </w:pPr>
    </w:p>
    <w:p w14:paraId="3E54FC32"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Кърмене</w:t>
      </w:r>
    </w:p>
    <w:p w14:paraId="3E54FC33" w14:textId="1B94A087" w:rsidR="001636FA" w:rsidRPr="00FE6AC6" w:rsidRDefault="006C5E21" w:rsidP="0063575E">
      <w:pPr>
        <w:widowControl w:val="0"/>
        <w:spacing w:line="240" w:lineRule="auto"/>
        <w:rPr>
          <w:color w:val="000000"/>
          <w:lang w:val="bg-BG"/>
        </w:rPr>
      </w:pPr>
      <w:r w:rsidRPr="00FE6AC6">
        <w:rPr>
          <w:color w:val="000000"/>
          <w:lang w:val="bg-BG"/>
        </w:rPr>
        <w:t>Налице е ограничена информация</w:t>
      </w:r>
      <w:r w:rsidR="00E9609D" w:rsidRPr="00FE6AC6">
        <w:rPr>
          <w:color w:val="000000"/>
          <w:lang w:val="bg-BG"/>
        </w:rPr>
        <w:t>,</w:t>
      </w:r>
      <w:r w:rsidRPr="00FE6AC6">
        <w:rPr>
          <w:color w:val="000000"/>
          <w:lang w:val="bg-BG"/>
        </w:rPr>
        <w:t xml:space="preserve"> относно разпределението на иматиниб в </w:t>
      </w:r>
      <w:r w:rsidR="00A13FE8" w:rsidRPr="00FE6AC6">
        <w:rPr>
          <w:color w:val="000000"/>
          <w:lang w:val="bg-BG"/>
        </w:rPr>
        <w:t>кърмата</w:t>
      </w:r>
      <w:r w:rsidR="00054A56" w:rsidRPr="00FE6AC6">
        <w:rPr>
          <w:color w:val="000000"/>
          <w:lang w:val="bg-BG"/>
        </w:rPr>
        <w:t xml:space="preserve">. Проучвания при две </w:t>
      </w:r>
      <w:r w:rsidR="00016EB6" w:rsidRPr="00FE6AC6">
        <w:rPr>
          <w:color w:val="000000"/>
          <w:lang w:val="bg-BG"/>
        </w:rPr>
        <w:t>кърмачки показват, че к</w:t>
      </w:r>
      <w:r w:rsidR="00815987" w:rsidRPr="00FE6AC6">
        <w:rPr>
          <w:color w:val="000000"/>
          <w:lang w:val="bg-BG"/>
        </w:rPr>
        <w:t xml:space="preserve">акто иматиниб, така и неговите активни метаболити могат да преминават в човешкото мляко. </w:t>
      </w:r>
      <w:r w:rsidR="00A23FD1" w:rsidRPr="00FE6AC6">
        <w:rPr>
          <w:color w:val="000000"/>
          <w:lang w:val="bg-BG"/>
        </w:rPr>
        <w:t xml:space="preserve">Установено е, че съотношението </w:t>
      </w:r>
      <w:r w:rsidR="00A13FE8" w:rsidRPr="00FE6AC6">
        <w:rPr>
          <w:color w:val="000000"/>
          <w:lang w:val="bg-BG"/>
        </w:rPr>
        <w:lastRenderedPageBreak/>
        <w:t>кърма</w:t>
      </w:r>
      <w:r w:rsidR="00A23FD1" w:rsidRPr="00FE6AC6">
        <w:rPr>
          <w:color w:val="000000"/>
          <w:lang w:val="bg-BG"/>
        </w:rPr>
        <w:t>:</w:t>
      </w:r>
      <w:r w:rsidR="00815987" w:rsidRPr="00FE6AC6">
        <w:rPr>
          <w:color w:val="000000"/>
          <w:lang w:val="bg-BG"/>
        </w:rPr>
        <w:t>плазма</w:t>
      </w:r>
      <w:r w:rsidR="00F310EE" w:rsidRPr="00FE6AC6">
        <w:rPr>
          <w:color w:val="000000"/>
          <w:lang w:val="bg-BG"/>
        </w:rPr>
        <w:t>, проучено при едн</w:t>
      </w:r>
      <w:r w:rsidR="00A13FE8" w:rsidRPr="00FE6AC6">
        <w:rPr>
          <w:color w:val="000000"/>
          <w:lang w:val="bg-BG"/>
        </w:rPr>
        <w:t>а</w:t>
      </w:r>
      <w:r w:rsidR="00F310EE" w:rsidRPr="00FE6AC6">
        <w:rPr>
          <w:color w:val="000000"/>
          <w:lang w:val="bg-BG"/>
        </w:rPr>
        <w:t xml:space="preserve"> пациент</w:t>
      </w:r>
      <w:r w:rsidR="00A13FE8" w:rsidRPr="00FE6AC6">
        <w:rPr>
          <w:color w:val="000000"/>
          <w:lang w:val="bg-BG"/>
        </w:rPr>
        <w:t>ка</w:t>
      </w:r>
      <w:r w:rsidR="00F310EE" w:rsidRPr="00FE6AC6">
        <w:rPr>
          <w:color w:val="000000"/>
          <w:lang w:val="bg-BG"/>
        </w:rPr>
        <w:t>,</w:t>
      </w:r>
      <w:r w:rsidR="00815987" w:rsidRPr="00FE6AC6">
        <w:rPr>
          <w:color w:val="000000"/>
          <w:lang w:val="bg-BG"/>
        </w:rPr>
        <w:t xml:space="preserve"> е </w:t>
      </w:r>
      <w:r w:rsidR="00A23FD1" w:rsidRPr="00FE6AC6">
        <w:rPr>
          <w:color w:val="000000"/>
          <w:lang w:val="bg-BG"/>
        </w:rPr>
        <w:t>0,5 за иматиниб и 0,9 за метаболитите</w:t>
      </w:r>
      <w:r w:rsidR="003C3C15" w:rsidRPr="00FE6AC6">
        <w:rPr>
          <w:color w:val="000000"/>
          <w:lang w:val="bg-BG"/>
        </w:rPr>
        <w:t xml:space="preserve"> му</w:t>
      </w:r>
      <w:r w:rsidR="00A23FD1" w:rsidRPr="00FE6AC6">
        <w:rPr>
          <w:color w:val="000000"/>
          <w:lang w:val="bg-BG"/>
        </w:rPr>
        <w:t xml:space="preserve">, което предполага по-високо разпределение на метаболитите в </w:t>
      </w:r>
      <w:r w:rsidR="00A13FE8" w:rsidRPr="00FE6AC6">
        <w:rPr>
          <w:color w:val="000000"/>
          <w:lang w:val="bg-BG"/>
        </w:rPr>
        <w:t>кърмата</w:t>
      </w:r>
      <w:r w:rsidR="004F2626" w:rsidRPr="00FE6AC6">
        <w:rPr>
          <w:color w:val="000000"/>
          <w:lang w:val="bg-BG"/>
        </w:rPr>
        <w:t xml:space="preserve">. </w:t>
      </w:r>
      <w:r w:rsidR="003C3C15" w:rsidRPr="00FE6AC6">
        <w:rPr>
          <w:color w:val="000000"/>
          <w:lang w:val="bg-BG"/>
        </w:rPr>
        <w:t xml:space="preserve">Като се има предвид </w:t>
      </w:r>
      <w:r w:rsidR="00170712" w:rsidRPr="00FE6AC6">
        <w:rPr>
          <w:color w:val="000000"/>
          <w:lang w:val="bg-BG"/>
        </w:rPr>
        <w:t xml:space="preserve">общата </w:t>
      </w:r>
      <w:r w:rsidR="003C3C15" w:rsidRPr="00FE6AC6">
        <w:rPr>
          <w:color w:val="000000"/>
          <w:lang w:val="bg-BG"/>
        </w:rPr>
        <w:t>концентрация на иматиниб и метаболитите</w:t>
      </w:r>
      <w:r w:rsidR="009A30AE" w:rsidRPr="00FE6AC6">
        <w:rPr>
          <w:color w:val="000000"/>
          <w:lang w:val="bg-BG"/>
        </w:rPr>
        <w:t xml:space="preserve"> му</w:t>
      </w:r>
      <w:r w:rsidR="00833C67" w:rsidRPr="00FE6AC6">
        <w:rPr>
          <w:color w:val="000000"/>
          <w:lang w:val="bg-BG"/>
        </w:rPr>
        <w:t xml:space="preserve"> и максималния дневен прием на </w:t>
      </w:r>
      <w:r w:rsidR="00A13FE8" w:rsidRPr="00FE6AC6">
        <w:rPr>
          <w:color w:val="000000"/>
          <w:lang w:val="bg-BG"/>
        </w:rPr>
        <w:t>кърма</w:t>
      </w:r>
      <w:r w:rsidR="00833C67" w:rsidRPr="00FE6AC6">
        <w:rPr>
          <w:color w:val="000000"/>
          <w:lang w:val="bg-BG"/>
        </w:rPr>
        <w:t xml:space="preserve"> от </w:t>
      </w:r>
      <w:r w:rsidR="00A13FE8" w:rsidRPr="00FE6AC6">
        <w:rPr>
          <w:color w:val="000000"/>
          <w:lang w:val="bg-BG"/>
        </w:rPr>
        <w:t>кърмачета</w:t>
      </w:r>
      <w:r w:rsidR="00833C67" w:rsidRPr="00FE6AC6">
        <w:rPr>
          <w:color w:val="000000"/>
          <w:lang w:val="bg-BG"/>
        </w:rPr>
        <w:t>,</w:t>
      </w:r>
      <w:r w:rsidR="0020798E" w:rsidRPr="00FE6AC6">
        <w:rPr>
          <w:color w:val="000000"/>
          <w:lang w:val="bg-BG"/>
        </w:rPr>
        <w:t xml:space="preserve"> би могло да се очаква, че</w:t>
      </w:r>
      <w:r w:rsidR="00833C67" w:rsidRPr="00FE6AC6">
        <w:rPr>
          <w:color w:val="000000"/>
          <w:lang w:val="bg-BG"/>
        </w:rPr>
        <w:t xml:space="preserve"> общата експозиция</w:t>
      </w:r>
      <w:r w:rsidR="0020798E" w:rsidRPr="00FE6AC6">
        <w:rPr>
          <w:color w:val="000000"/>
          <w:lang w:val="bg-BG"/>
        </w:rPr>
        <w:t xml:space="preserve"> ще е ниска (</w:t>
      </w:r>
      <w:r w:rsidR="0020798E" w:rsidRPr="00FE6AC6">
        <w:rPr>
          <w:color w:val="000000"/>
          <w:lang w:val="ru-RU"/>
        </w:rPr>
        <w:t>~10% от терапевтичната доза)</w:t>
      </w:r>
      <w:r w:rsidR="00276588" w:rsidRPr="00FE6AC6">
        <w:rPr>
          <w:color w:val="000000"/>
          <w:lang w:val="ru-RU"/>
        </w:rPr>
        <w:t>.</w:t>
      </w:r>
      <w:r w:rsidR="00833C67" w:rsidRPr="00FE6AC6">
        <w:rPr>
          <w:color w:val="000000"/>
          <w:lang w:val="bg-BG"/>
        </w:rPr>
        <w:t xml:space="preserve"> </w:t>
      </w:r>
      <w:r w:rsidR="00276588" w:rsidRPr="00FE6AC6">
        <w:rPr>
          <w:color w:val="000000"/>
          <w:lang w:val="bg-BG"/>
        </w:rPr>
        <w:t>Независимо от това</w:t>
      </w:r>
      <w:r w:rsidR="006E0AB7" w:rsidRPr="00FE6AC6">
        <w:rPr>
          <w:color w:val="000000"/>
          <w:lang w:val="bg-BG"/>
        </w:rPr>
        <w:t xml:space="preserve">, тъй като ефектите от експозицията на </w:t>
      </w:r>
      <w:r w:rsidR="00A13FE8" w:rsidRPr="00FE6AC6">
        <w:rPr>
          <w:color w:val="000000"/>
          <w:lang w:val="bg-BG"/>
        </w:rPr>
        <w:t>кърмачето</w:t>
      </w:r>
      <w:r w:rsidR="006E0AB7" w:rsidRPr="00FE6AC6">
        <w:rPr>
          <w:color w:val="000000"/>
          <w:lang w:val="bg-BG"/>
        </w:rPr>
        <w:t xml:space="preserve"> на ниски дози иматиниб </w:t>
      </w:r>
      <w:r w:rsidR="00A13FE8" w:rsidRPr="00FE6AC6">
        <w:rPr>
          <w:color w:val="000000"/>
          <w:lang w:val="bg-BG"/>
        </w:rPr>
        <w:t xml:space="preserve">не </w:t>
      </w:r>
      <w:r w:rsidR="006E0AB7" w:rsidRPr="00FE6AC6">
        <w:rPr>
          <w:color w:val="000000"/>
          <w:lang w:val="bg-BG"/>
        </w:rPr>
        <w:t>са известни, жени</w:t>
      </w:r>
      <w:r w:rsidR="003C333E">
        <w:rPr>
          <w:color w:val="000000"/>
          <w:lang w:val="bg-BG"/>
        </w:rPr>
        <w:t>те</w:t>
      </w:r>
      <w:r w:rsidR="006E0AB7" w:rsidRPr="00FE6AC6">
        <w:rPr>
          <w:color w:val="000000"/>
          <w:lang w:val="bg-BG"/>
        </w:rPr>
        <w:t xml:space="preserve"> не трябва да кърмят</w:t>
      </w:r>
      <w:r w:rsidR="003C333E">
        <w:rPr>
          <w:color w:val="000000"/>
          <w:lang w:val="bg-BG"/>
        </w:rPr>
        <w:t xml:space="preserve"> </w:t>
      </w:r>
      <w:r w:rsidR="003C333E" w:rsidRPr="003C333E">
        <w:rPr>
          <w:color w:val="000000"/>
          <w:lang w:val="bg-BG"/>
        </w:rPr>
        <w:t>по време на лечението и най-малко 15</w:t>
      </w:r>
      <w:r w:rsidR="003C333E">
        <w:rPr>
          <w:color w:val="000000"/>
          <w:lang w:val="bg-BG"/>
        </w:rPr>
        <w:t> </w:t>
      </w:r>
      <w:r w:rsidR="003C333E" w:rsidRPr="003C333E">
        <w:rPr>
          <w:color w:val="000000"/>
          <w:lang w:val="bg-BG"/>
        </w:rPr>
        <w:t>дни след спиране на лечението с Glivec</w:t>
      </w:r>
      <w:r w:rsidR="006E0AB7" w:rsidRPr="00FE6AC6">
        <w:rPr>
          <w:color w:val="000000"/>
          <w:lang w:val="bg-BG"/>
        </w:rPr>
        <w:t>.</w:t>
      </w:r>
    </w:p>
    <w:p w14:paraId="3E54FC34" w14:textId="77777777" w:rsidR="006C22AC" w:rsidRPr="00FE6AC6" w:rsidRDefault="006C22AC" w:rsidP="0063575E">
      <w:pPr>
        <w:widowControl w:val="0"/>
        <w:spacing w:line="240" w:lineRule="auto"/>
        <w:rPr>
          <w:color w:val="000000"/>
          <w:lang w:val="bg-BG"/>
        </w:rPr>
      </w:pPr>
    </w:p>
    <w:p w14:paraId="3E54FC35" w14:textId="77777777" w:rsidR="006C22AC" w:rsidRPr="00FE6AC6" w:rsidRDefault="006C22AC" w:rsidP="0063575E">
      <w:pPr>
        <w:keepNext/>
        <w:widowControl w:val="0"/>
        <w:spacing w:line="240" w:lineRule="auto"/>
        <w:rPr>
          <w:color w:val="000000"/>
          <w:u w:val="single"/>
          <w:lang w:val="ru-RU"/>
        </w:rPr>
      </w:pPr>
      <w:r w:rsidRPr="00FE6AC6">
        <w:rPr>
          <w:color w:val="000000"/>
          <w:u w:val="single"/>
          <w:lang w:val="bg-BG"/>
        </w:rPr>
        <w:t>Фертилитет</w:t>
      </w:r>
    </w:p>
    <w:p w14:paraId="3E54FC36" w14:textId="77777777" w:rsidR="00206E7F" w:rsidRPr="00FE6AC6" w:rsidRDefault="00C61673" w:rsidP="0063575E">
      <w:pPr>
        <w:widowControl w:val="0"/>
        <w:spacing w:line="240" w:lineRule="auto"/>
        <w:rPr>
          <w:color w:val="000000"/>
          <w:lang w:val="bg-BG"/>
        </w:rPr>
      </w:pPr>
      <w:r w:rsidRPr="00FE6AC6">
        <w:rPr>
          <w:color w:val="000000"/>
          <w:lang w:val="bg-BG"/>
        </w:rPr>
        <w:t>При</w:t>
      </w:r>
      <w:r w:rsidR="00206E7F" w:rsidRPr="00FE6AC6">
        <w:rPr>
          <w:color w:val="000000"/>
          <w:lang w:val="bg-BG"/>
        </w:rPr>
        <w:t xml:space="preserve"> не-клинични проучвания</w:t>
      </w:r>
      <w:r w:rsidRPr="00FE6AC6">
        <w:rPr>
          <w:color w:val="000000"/>
          <w:lang w:val="bg-BG"/>
        </w:rPr>
        <w:t>,</w:t>
      </w:r>
      <w:r w:rsidR="00206E7F" w:rsidRPr="00FE6AC6">
        <w:rPr>
          <w:color w:val="000000"/>
          <w:lang w:val="bg-BG"/>
        </w:rPr>
        <w:t xml:space="preserve"> фертилитетът при мъжки и женски плъхове не е </w:t>
      </w:r>
      <w:r w:rsidRPr="00FE6AC6">
        <w:rPr>
          <w:color w:val="000000"/>
          <w:lang w:val="bg-BG"/>
        </w:rPr>
        <w:t>засегнат</w:t>
      </w:r>
      <w:r w:rsidR="003C333E">
        <w:rPr>
          <w:color w:val="000000"/>
          <w:lang w:val="bg-BG"/>
        </w:rPr>
        <w:t>,</w:t>
      </w:r>
      <w:r w:rsidR="00206E7F" w:rsidRPr="00FE6AC6">
        <w:rPr>
          <w:color w:val="000000"/>
          <w:lang w:val="bg-BG"/>
        </w:rPr>
        <w:t xml:space="preserve"> </w:t>
      </w:r>
      <w:r w:rsidR="003C333E" w:rsidRPr="003C333E">
        <w:rPr>
          <w:color w:val="000000"/>
          <w:lang w:val="bg-BG"/>
        </w:rPr>
        <w:t xml:space="preserve">въпреки че са наблюдавани ефекти върху репродуктивните параметри </w:t>
      </w:r>
      <w:r w:rsidR="00206E7F" w:rsidRPr="00FE6AC6">
        <w:rPr>
          <w:color w:val="000000"/>
          <w:lang w:val="bg-BG"/>
        </w:rPr>
        <w:t xml:space="preserve">(вж. точка 5.3). Не са провеждани проучвания при пациенти, приемащи </w:t>
      </w:r>
      <w:r w:rsidR="00206E7F" w:rsidRPr="00FE6AC6">
        <w:rPr>
          <w:color w:val="000000"/>
          <w:lang w:val="en-US"/>
        </w:rPr>
        <w:t>Glivec</w:t>
      </w:r>
      <w:r w:rsidR="00206E7F" w:rsidRPr="00FE6AC6">
        <w:rPr>
          <w:color w:val="000000"/>
          <w:lang w:val="bg-BG"/>
        </w:rPr>
        <w:t xml:space="preserve"> във връзка с повлияването на фертилитета и гаметогенезата. Пациентите, които се притесняват</w:t>
      </w:r>
      <w:r w:rsidR="00E9609D" w:rsidRPr="00FE6AC6">
        <w:rPr>
          <w:color w:val="000000"/>
          <w:lang w:val="bg-BG"/>
        </w:rPr>
        <w:t>,</w:t>
      </w:r>
      <w:r w:rsidR="00206E7F" w:rsidRPr="00FE6AC6">
        <w:rPr>
          <w:color w:val="000000"/>
          <w:lang w:val="bg-BG"/>
        </w:rPr>
        <w:t xml:space="preserve"> относно влиянието на </w:t>
      </w:r>
      <w:r w:rsidR="00206E7F" w:rsidRPr="00FE6AC6">
        <w:rPr>
          <w:color w:val="000000"/>
          <w:lang w:val="en-US"/>
        </w:rPr>
        <w:t>Glivec</w:t>
      </w:r>
      <w:r w:rsidR="00206E7F" w:rsidRPr="00FE6AC6">
        <w:rPr>
          <w:color w:val="000000"/>
          <w:lang w:val="bg-BG"/>
        </w:rPr>
        <w:t xml:space="preserve"> върху фертилитет</w:t>
      </w:r>
      <w:r w:rsidR="00B0034C" w:rsidRPr="00FE6AC6">
        <w:rPr>
          <w:color w:val="000000"/>
          <w:lang w:val="bg-BG"/>
        </w:rPr>
        <w:t>а</w:t>
      </w:r>
      <w:r w:rsidRPr="00FE6AC6">
        <w:rPr>
          <w:color w:val="000000"/>
          <w:lang w:val="bg-BG"/>
        </w:rPr>
        <w:t xml:space="preserve"> им</w:t>
      </w:r>
      <w:r w:rsidR="00354469" w:rsidRPr="00FE6AC6">
        <w:rPr>
          <w:color w:val="000000"/>
          <w:lang w:val="bg-BG"/>
        </w:rPr>
        <w:t>,</w:t>
      </w:r>
      <w:r w:rsidR="00206E7F" w:rsidRPr="00FE6AC6">
        <w:rPr>
          <w:color w:val="000000"/>
          <w:lang w:val="bg-BG"/>
        </w:rPr>
        <w:t xml:space="preserve"> трябва да се консултират с техния лекуващ лекар.</w:t>
      </w:r>
    </w:p>
    <w:p w14:paraId="3E54FC37" w14:textId="77777777" w:rsidR="001636FA" w:rsidRPr="00FE6AC6" w:rsidRDefault="001636FA" w:rsidP="0063575E">
      <w:pPr>
        <w:widowControl w:val="0"/>
        <w:spacing w:line="240" w:lineRule="auto"/>
        <w:rPr>
          <w:color w:val="000000"/>
          <w:lang w:val="bg-BG"/>
        </w:rPr>
      </w:pPr>
    </w:p>
    <w:p w14:paraId="3E54FC38" w14:textId="77777777" w:rsidR="001636FA" w:rsidRPr="00FE6AC6" w:rsidRDefault="001636FA" w:rsidP="0063575E">
      <w:pPr>
        <w:keepNext/>
        <w:widowControl w:val="0"/>
        <w:spacing w:line="240" w:lineRule="auto"/>
        <w:ind w:left="567" w:hanging="567"/>
        <w:rPr>
          <w:color w:val="000000"/>
          <w:lang w:val="bg-BG"/>
        </w:rPr>
      </w:pPr>
      <w:r w:rsidRPr="00FE6AC6">
        <w:rPr>
          <w:b/>
          <w:color w:val="000000"/>
          <w:lang w:val="bg-BG"/>
        </w:rPr>
        <w:t>4.7</w:t>
      </w:r>
      <w:r w:rsidRPr="00FE6AC6">
        <w:rPr>
          <w:b/>
          <w:color w:val="000000"/>
          <w:lang w:val="bg-BG"/>
        </w:rPr>
        <w:tab/>
        <w:t>Ефекти върху способността за шофиране и работа с машини</w:t>
      </w:r>
    </w:p>
    <w:p w14:paraId="3E54FC39" w14:textId="77777777" w:rsidR="001636FA" w:rsidRPr="00FE6AC6" w:rsidRDefault="001636FA" w:rsidP="0063575E">
      <w:pPr>
        <w:keepNext/>
        <w:widowControl w:val="0"/>
        <w:tabs>
          <w:tab w:val="clear" w:pos="567"/>
        </w:tabs>
        <w:spacing w:line="240" w:lineRule="auto"/>
        <w:rPr>
          <w:color w:val="000000"/>
          <w:lang w:val="bg-BG"/>
        </w:rPr>
      </w:pPr>
    </w:p>
    <w:p w14:paraId="3E54FC3A" w14:textId="77777777" w:rsidR="001636FA" w:rsidRPr="00FE6AC6" w:rsidRDefault="00B71F06" w:rsidP="0063575E">
      <w:pPr>
        <w:widowControl w:val="0"/>
        <w:spacing w:line="240" w:lineRule="auto"/>
        <w:rPr>
          <w:color w:val="000000"/>
          <w:lang w:val="bg-BG"/>
        </w:rPr>
      </w:pPr>
      <w:r w:rsidRPr="00FE6AC6">
        <w:rPr>
          <w:color w:val="000000"/>
          <w:lang w:val="bg-BG"/>
        </w:rPr>
        <w:t>Н</w:t>
      </w:r>
      <w:r w:rsidR="001636FA" w:rsidRPr="00FE6AC6">
        <w:rPr>
          <w:color w:val="000000"/>
          <w:lang w:val="bg-BG"/>
        </w:rPr>
        <w:t>а пациентите трябва да се обясни, че биха могли да почувстват нежелани реакции като замаяност</w:t>
      </w:r>
      <w:r w:rsidRPr="00FE6AC6">
        <w:rPr>
          <w:color w:val="000000"/>
          <w:lang w:val="bg-BG"/>
        </w:rPr>
        <w:t>,</w:t>
      </w:r>
      <w:r w:rsidR="001636FA" w:rsidRPr="00FE6AC6">
        <w:rPr>
          <w:color w:val="000000"/>
          <w:lang w:val="bg-BG"/>
        </w:rPr>
        <w:t xml:space="preserve"> замъглено виждане </w:t>
      </w:r>
      <w:r w:rsidRPr="00FE6AC6">
        <w:rPr>
          <w:color w:val="000000"/>
          <w:lang w:val="bg-BG"/>
        </w:rPr>
        <w:t xml:space="preserve">или сънливост </w:t>
      </w:r>
      <w:r w:rsidR="001636FA" w:rsidRPr="00FE6AC6">
        <w:rPr>
          <w:color w:val="000000"/>
          <w:lang w:val="bg-BG"/>
        </w:rPr>
        <w:t>по време на лечението с иматиниб. Затова трябва да се препоръча предпазливост при шофиране или работа с машини.</w:t>
      </w:r>
    </w:p>
    <w:p w14:paraId="3E54FC3B" w14:textId="77777777" w:rsidR="001636FA" w:rsidRPr="00FE6AC6" w:rsidRDefault="001636FA" w:rsidP="0063575E">
      <w:pPr>
        <w:widowControl w:val="0"/>
        <w:tabs>
          <w:tab w:val="clear" w:pos="567"/>
        </w:tabs>
        <w:spacing w:line="240" w:lineRule="auto"/>
        <w:rPr>
          <w:color w:val="000000"/>
          <w:lang w:val="bg-BG"/>
        </w:rPr>
      </w:pPr>
    </w:p>
    <w:p w14:paraId="3E54FC3C" w14:textId="77777777" w:rsidR="001636FA" w:rsidRPr="00FE6AC6" w:rsidRDefault="00461FF0" w:rsidP="0063575E">
      <w:pPr>
        <w:keepNext/>
        <w:widowControl w:val="0"/>
        <w:tabs>
          <w:tab w:val="clear" w:pos="567"/>
        </w:tabs>
        <w:spacing w:line="240" w:lineRule="auto"/>
        <w:rPr>
          <w:b/>
          <w:color w:val="000000"/>
          <w:lang w:val="bg-BG"/>
        </w:rPr>
      </w:pPr>
      <w:r w:rsidRPr="00FE6AC6">
        <w:rPr>
          <w:b/>
          <w:color w:val="000000"/>
          <w:lang w:val="bg-BG"/>
        </w:rPr>
        <w:t>4.8</w:t>
      </w:r>
      <w:r w:rsidRPr="00FE6AC6">
        <w:rPr>
          <w:b/>
          <w:color w:val="000000"/>
          <w:lang w:val="bg-BG"/>
        </w:rPr>
        <w:tab/>
      </w:r>
      <w:r w:rsidR="001636FA" w:rsidRPr="00FE6AC6">
        <w:rPr>
          <w:b/>
          <w:color w:val="000000"/>
          <w:lang w:val="bg-BG"/>
        </w:rPr>
        <w:t>Нежелани лекарствени реакции</w:t>
      </w:r>
    </w:p>
    <w:p w14:paraId="3E54FC3D" w14:textId="77777777" w:rsidR="001636FA" w:rsidRPr="00FE6AC6" w:rsidRDefault="001636FA" w:rsidP="0063575E">
      <w:pPr>
        <w:keepNext/>
        <w:widowControl w:val="0"/>
        <w:spacing w:line="240" w:lineRule="auto"/>
        <w:rPr>
          <w:color w:val="000000"/>
          <w:lang w:val="bg-BG"/>
        </w:rPr>
      </w:pPr>
    </w:p>
    <w:p w14:paraId="3E54FC3E" w14:textId="77777777" w:rsidR="001636FA" w:rsidRPr="00FE6AC6" w:rsidRDefault="001636FA" w:rsidP="0063575E">
      <w:pPr>
        <w:widowControl w:val="0"/>
        <w:spacing w:line="240" w:lineRule="auto"/>
        <w:rPr>
          <w:color w:val="000000"/>
          <w:lang w:val="bg-BG"/>
        </w:rPr>
      </w:pPr>
      <w:r w:rsidRPr="00FE6AC6">
        <w:rPr>
          <w:color w:val="000000"/>
          <w:lang w:val="bg-BG"/>
        </w:rPr>
        <w:t>Пациенти в напреднали стадии на злокачествени заболявания могат да имат многобройни припокриващи се медицински състояния, което затруднява оценката на причинно-следствената връзка за нежеланите реакции</w:t>
      </w:r>
      <w:r w:rsidR="00E9609D" w:rsidRPr="00FE6AC6">
        <w:rPr>
          <w:color w:val="000000"/>
          <w:lang w:val="bg-BG"/>
        </w:rPr>
        <w:t>,</w:t>
      </w:r>
      <w:r w:rsidRPr="00FE6AC6">
        <w:rPr>
          <w:color w:val="000000"/>
          <w:lang w:val="bg-BG"/>
        </w:rPr>
        <w:t xml:space="preserve"> поради разнообразието на симптоми, свързани с основното заболяване, неговата прогресия и съвместното приложение на множество лекарствени продукти.</w:t>
      </w:r>
    </w:p>
    <w:p w14:paraId="3E54FC3F" w14:textId="77777777" w:rsidR="001636FA" w:rsidRPr="00FE6AC6" w:rsidRDefault="001636FA" w:rsidP="0063575E">
      <w:pPr>
        <w:widowControl w:val="0"/>
        <w:spacing w:line="240" w:lineRule="auto"/>
        <w:rPr>
          <w:color w:val="000000"/>
          <w:lang w:val="bg-BG"/>
        </w:rPr>
      </w:pPr>
    </w:p>
    <w:p w14:paraId="3E54FC40"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В хода на клинични проучвания при ХМЛ преустановяването на приема на лекарството</w:t>
      </w:r>
      <w:r w:rsidR="006D5D7A" w:rsidRPr="00FE6AC6">
        <w:rPr>
          <w:color w:val="000000"/>
          <w:lang w:val="bg-BG"/>
        </w:rPr>
        <w:t>,</w:t>
      </w:r>
      <w:r w:rsidRPr="00FE6AC6">
        <w:rPr>
          <w:color w:val="000000"/>
          <w:lang w:val="bg-BG"/>
        </w:rPr>
        <w:t xml:space="preserve"> поради </w:t>
      </w:r>
      <w:r w:rsidR="006D5D7A" w:rsidRPr="00FE6AC6">
        <w:rPr>
          <w:color w:val="000000"/>
          <w:lang w:val="bg-BG"/>
        </w:rPr>
        <w:t xml:space="preserve">свързани с лекарството </w:t>
      </w:r>
      <w:r w:rsidRPr="00FE6AC6">
        <w:rPr>
          <w:color w:val="000000"/>
          <w:lang w:val="bg-BG"/>
        </w:rPr>
        <w:t>нежелани лекарствени реакции се наблюдава при</w:t>
      </w:r>
      <w:r w:rsidRPr="00FE6AC6">
        <w:rPr>
          <w:color w:val="000000"/>
          <w:lang w:val="de-CH"/>
        </w:rPr>
        <w:t> </w:t>
      </w:r>
      <w:r w:rsidRPr="00FE6AC6">
        <w:rPr>
          <w:color w:val="000000"/>
          <w:lang w:val="bg-BG"/>
        </w:rPr>
        <w:t>2</w:t>
      </w:r>
      <w:r w:rsidR="00196BDE" w:rsidRPr="00FE6AC6">
        <w:rPr>
          <w:color w:val="000000"/>
          <w:lang w:val="bg-BG"/>
        </w:rPr>
        <w:t>,4</w:t>
      </w:r>
      <w:r w:rsidRPr="00FE6AC6">
        <w:rPr>
          <w:color w:val="000000"/>
          <w:lang w:val="bg-BG"/>
        </w:rPr>
        <w:t>% от новодиагно</w:t>
      </w:r>
      <w:r w:rsidR="00A64DDB" w:rsidRPr="00FE6AC6">
        <w:rPr>
          <w:color w:val="000000"/>
          <w:lang w:val="bg-BG"/>
        </w:rPr>
        <w:t>с</w:t>
      </w:r>
      <w:r w:rsidRPr="00FE6AC6">
        <w:rPr>
          <w:color w:val="000000"/>
          <w:lang w:val="bg-BG"/>
        </w:rPr>
        <w:t>тицираните пациенти, при</w:t>
      </w:r>
      <w:r w:rsidRPr="00FE6AC6">
        <w:rPr>
          <w:color w:val="000000"/>
          <w:lang w:val="de-CH"/>
        </w:rPr>
        <w:t> </w:t>
      </w:r>
      <w:r w:rsidRPr="00FE6AC6">
        <w:rPr>
          <w:color w:val="000000"/>
          <w:lang w:val="bg-BG"/>
        </w:rPr>
        <w:t>4% от пациенти в късен хроничен стадий след неуспех от лечението с интерферон, при</w:t>
      </w:r>
      <w:r w:rsidRPr="00FE6AC6">
        <w:rPr>
          <w:color w:val="000000"/>
          <w:lang w:val="de-CH"/>
        </w:rPr>
        <w:t> </w:t>
      </w:r>
      <w:r w:rsidRPr="00FE6AC6">
        <w:rPr>
          <w:color w:val="000000"/>
          <w:lang w:val="bg-BG"/>
        </w:rPr>
        <w:t>4% от пациентите във фаза на акцелерация след неуспех от лечението с интерферон и при</w:t>
      </w:r>
      <w:r w:rsidRPr="00FE6AC6">
        <w:rPr>
          <w:color w:val="000000"/>
          <w:lang w:val="de-CH"/>
        </w:rPr>
        <w:t> </w:t>
      </w:r>
      <w:r w:rsidRPr="00FE6AC6">
        <w:rPr>
          <w:color w:val="000000"/>
          <w:lang w:val="bg-BG"/>
        </w:rPr>
        <w:t>5% от пациентите с бластна криза след неуспех от лечението с интерферон. При ГИСТ, приложението на изследваното лекарство е спряно</w:t>
      </w:r>
      <w:r w:rsidR="006D5D7A" w:rsidRPr="00FE6AC6">
        <w:rPr>
          <w:color w:val="000000"/>
          <w:lang w:val="bg-BG"/>
        </w:rPr>
        <w:t>,</w:t>
      </w:r>
      <w:r w:rsidRPr="00FE6AC6">
        <w:rPr>
          <w:color w:val="000000"/>
          <w:lang w:val="bg-BG"/>
        </w:rPr>
        <w:t xml:space="preserve"> поради </w:t>
      </w:r>
      <w:r w:rsidR="006D5D7A" w:rsidRPr="00FE6AC6">
        <w:rPr>
          <w:color w:val="000000"/>
          <w:lang w:val="bg-BG"/>
        </w:rPr>
        <w:t xml:space="preserve">свързани с лекарството </w:t>
      </w:r>
      <w:r w:rsidRPr="00FE6AC6">
        <w:rPr>
          <w:color w:val="000000"/>
          <w:lang w:val="bg-BG"/>
        </w:rPr>
        <w:t>нежелани лекарствени реакции при</w:t>
      </w:r>
      <w:r w:rsidRPr="00FE6AC6">
        <w:rPr>
          <w:color w:val="000000"/>
          <w:lang w:val="en-US"/>
        </w:rPr>
        <w:t> </w:t>
      </w:r>
      <w:r w:rsidRPr="00FE6AC6">
        <w:rPr>
          <w:color w:val="000000"/>
          <w:lang w:val="bg-BG"/>
        </w:rPr>
        <w:t>4% от пациентите.</w:t>
      </w:r>
    </w:p>
    <w:p w14:paraId="3E54FC41" w14:textId="77777777" w:rsidR="001636FA" w:rsidRPr="00FE6AC6" w:rsidRDefault="001636FA" w:rsidP="0063575E">
      <w:pPr>
        <w:widowControl w:val="0"/>
        <w:tabs>
          <w:tab w:val="clear" w:pos="567"/>
        </w:tabs>
        <w:spacing w:line="240" w:lineRule="auto"/>
        <w:rPr>
          <w:color w:val="000000"/>
          <w:lang w:val="bg-BG"/>
        </w:rPr>
      </w:pPr>
    </w:p>
    <w:p w14:paraId="3E54FC42"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Нежеланите реакции при всички показания са сходни, с две изключения. По-често е наблюдава</w:t>
      </w:r>
      <w:r w:rsidR="006D5D7A" w:rsidRPr="00FE6AC6">
        <w:rPr>
          <w:color w:val="000000"/>
          <w:lang w:val="bg-BG"/>
        </w:rPr>
        <w:t>на</w:t>
      </w:r>
      <w:r w:rsidRPr="00FE6AC6">
        <w:rPr>
          <w:color w:val="000000"/>
          <w:lang w:val="bg-BG"/>
        </w:rPr>
        <w:t xml:space="preserve"> миелосупресия при пациенти с ХМЛ отколкото при тези с ГИСТ, което вероятно се дължи на основното заболяване. </w:t>
      </w:r>
      <w:r w:rsidR="007D128F" w:rsidRPr="00FE6AC6">
        <w:rPr>
          <w:color w:val="000000"/>
          <w:lang w:val="bg-BG"/>
        </w:rPr>
        <w:t>В проучване при пациенти с неподлежащи на резекция и/или метастатични ГИСТ,</w:t>
      </w:r>
      <w:r w:rsidR="007D128F" w:rsidRPr="00FE6AC6">
        <w:rPr>
          <w:color w:val="000000"/>
          <w:lang w:val="en-US"/>
        </w:rPr>
        <w:t> </w:t>
      </w:r>
      <w:r w:rsidR="007D128F" w:rsidRPr="00FE6AC6">
        <w:rPr>
          <w:color w:val="000000"/>
          <w:lang w:val="bg-BG"/>
        </w:rPr>
        <w:t>7</w:t>
      </w:r>
      <w:r w:rsidR="007D128F" w:rsidRPr="00FE6AC6">
        <w:rPr>
          <w:color w:val="000000"/>
          <w:lang w:val="en-US"/>
        </w:rPr>
        <w:t> </w:t>
      </w:r>
      <w:r w:rsidR="007D128F" w:rsidRPr="00FE6AC6">
        <w:rPr>
          <w:color w:val="000000"/>
          <w:lang w:val="bg-BG"/>
        </w:rPr>
        <w:t>(5%)</w:t>
      </w:r>
      <w:r w:rsidRPr="00FE6AC6">
        <w:rPr>
          <w:color w:val="000000"/>
          <w:lang w:val="bg-BG"/>
        </w:rPr>
        <w:t xml:space="preserve"> пациенти получават CTC степен</w:t>
      </w:r>
      <w:r w:rsidRPr="00FE6AC6">
        <w:rPr>
          <w:color w:val="000000"/>
          <w:lang w:val="en-US"/>
        </w:rPr>
        <w:t> </w:t>
      </w:r>
      <w:r w:rsidRPr="00FE6AC6">
        <w:rPr>
          <w:color w:val="000000"/>
          <w:lang w:val="bg-BG"/>
        </w:rPr>
        <w:t>3/4</w:t>
      </w:r>
      <w:r w:rsidRPr="00FE6AC6">
        <w:rPr>
          <w:color w:val="000000"/>
          <w:lang w:val="en-US"/>
        </w:rPr>
        <w:t> </w:t>
      </w:r>
      <w:r w:rsidRPr="00FE6AC6">
        <w:rPr>
          <w:color w:val="000000"/>
          <w:lang w:val="bg-BG"/>
        </w:rPr>
        <w:t>гастроинтестинално кървене (3</w:t>
      </w:r>
      <w:r w:rsidRPr="00FE6AC6">
        <w:rPr>
          <w:color w:val="000000"/>
          <w:lang w:val="en-US"/>
        </w:rPr>
        <w:t> </w:t>
      </w:r>
      <w:r w:rsidRPr="00FE6AC6">
        <w:rPr>
          <w:color w:val="000000"/>
          <w:lang w:val="bg-BG"/>
        </w:rPr>
        <w:t>пациенти), вътретуморно кървене (3</w:t>
      </w:r>
      <w:r w:rsidRPr="00FE6AC6">
        <w:rPr>
          <w:color w:val="000000"/>
          <w:lang w:val="en-US"/>
        </w:rPr>
        <w:t> </w:t>
      </w:r>
      <w:r w:rsidRPr="00FE6AC6">
        <w:rPr>
          <w:color w:val="000000"/>
          <w:lang w:val="bg-BG"/>
        </w:rPr>
        <w:t>пациенти) или и двете (1</w:t>
      </w:r>
      <w:r w:rsidRPr="00FE6AC6">
        <w:rPr>
          <w:color w:val="000000"/>
          <w:lang w:val="en-US"/>
        </w:rPr>
        <w:t> </w:t>
      </w:r>
      <w:r w:rsidRPr="00FE6AC6">
        <w:rPr>
          <w:color w:val="000000"/>
          <w:lang w:val="bg-BG"/>
        </w:rPr>
        <w:t>пациент). Местата на гастро-интестиналния тумор може би са източника на гастроинтестиналното кървене (виж точка</w:t>
      </w:r>
      <w:r w:rsidRPr="00FE6AC6">
        <w:rPr>
          <w:color w:val="000000"/>
          <w:lang w:val="en-US"/>
        </w:rPr>
        <w:t> </w:t>
      </w:r>
      <w:r w:rsidRPr="00FE6AC6">
        <w:rPr>
          <w:color w:val="000000"/>
          <w:lang w:val="bg-BG"/>
        </w:rPr>
        <w:t xml:space="preserve">4.4). Гастроинтестиналното и туморното кървене могат да бъдат сериозни и понякога фатални. Най-често съобщаваните (≥10%) </w:t>
      </w:r>
      <w:r w:rsidR="006D5D7A" w:rsidRPr="00FE6AC6">
        <w:rPr>
          <w:color w:val="000000"/>
          <w:lang w:val="bg-BG"/>
        </w:rPr>
        <w:t xml:space="preserve">свързани с лекарството </w:t>
      </w:r>
      <w:r w:rsidRPr="00FE6AC6">
        <w:rPr>
          <w:color w:val="000000"/>
          <w:lang w:val="bg-BG"/>
        </w:rPr>
        <w:t xml:space="preserve">нежелани лекарствени реакции и </w:t>
      </w:r>
      <w:r w:rsidR="006D5D7A" w:rsidRPr="00FE6AC6">
        <w:rPr>
          <w:color w:val="000000"/>
          <w:lang w:val="bg-BG"/>
        </w:rPr>
        <w:t>при двете показания са</w:t>
      </w:r>
      <w:r w:rsidRPr="00FE6AC6">
        <w:rPr>
          <w:color w:val="000000"/>
          <w:lang w:val="bg-BG"/>
        </w:rPr>
        <w:t xml:space="preserve"> леко гадене, повръщане, диария, коремна болка, умора, миалгия, мускулни крампи и обрив. Повърхностните отоци са обичайна находка във всички проучвания и са предимно периорбитални или на долните крайници. Тези отоци обаче рядко са тежки и </w:t>
      </w:r>
      <w:r w:rsidR="006D5D7A" w:rsidRPr="00FE6AC6">
        <w:rPr>
          <w:color w:val="000000"/>
          <w:lang w:val="bg-BG"/>
        </w:rPr>
        <w:t xml:space="preserve">могат да бъдат повлиявани </w:t>
      </w:r>
      <w:r w:rsidRPr="00FE6AC6">
        <w:rPr>
          <w:color w:val="000000"/>
          <w:lang w:val="bg-BG"/>
        </w:rPr>
        <w:t>с диуретици, други под</w:t>
      </w:r>
      <w:r w:rsidR="00101306" w:rsidRPr="00FE6AC6">
        <w:rPr>
          <w:color w:val="000000"/>
          <w:lang w:val="bg-BG"/>
        </w:rPr>
        <w:t>д</w:t>
      </w:r>
      <w:r w:rsidRPr="00FE6AC6">
        <w:rPr>
          <w:color w:val="000000"/>
          <w:lang w:val="bg-BG"/>
        </w:rPr>
        <w:t>ържащи мерки или чрез намаляване на дозата на Glivec.</w:t>
      </w:r>
    </w:p>
    <w:p w14:paraId="3E54FC43" w14:textId="77777777" w:rsidR="001636FA" w:rsidRPr="00FE6AC6" w:rsidRDefault="001636FA" w:rsidP="0063575E">
      <w:pPr>
        <w:widowControl w:val="0"/>
        <w:tabs>
          <w:tab w:val="clear" w:pos="567"/>
        </w:tabs>
        <w:spacing w:line="240" w:lineRule="auto"/>
        <w:rPr>
          <w:color w:val="000000"/>
          <w:lang w:val="bg-BG"/>
        </w:rPr>
      </w:pPr>
    </w:p>
    <w:p w14:paraId="3E54FC44" w14:textId="77777777" w:rsidR="001636FA" w:rsidRPr="00FE6AC6" w:rsidRDefault="001636FA" w:rsidP="0063575E">
      <w:pPr>
        <w:widowControl w:val="0"/>
        <w:tabs>
          <w:tab w:val="clear" w:pos="567"/>
        </w:tabs>
        <w:spacing w:line="240" w:lineRule="auto"/>
        <w:rPr>
          <w:color w:val="000000"/>
          <w:lang w:val="ru-RU"/>
        </w:rPr>
      </w:pPr>
      <w:r w:rsidRPr="00FE6AC6">
        <w:rPr>
          <w:color w:val="000000"/>
          <w:lang w:val="bg-BG"/>
        </w:rPr>
        <w:t xml:space="preserve">Когато иматиниб се комбинира с високи дози химиотерапия при пациенти с </w:t>
      </w:r>
      <w:r w:rsidRPr="00FE6AC6">
        <w:rPr>
          <w:color w:val="000000"/>
          <w:lang w:val="en-US"/>
        </w:rPr>
        <w:t>Ph</w:t>
      </w:r>
      <w:r w:rsidRPr="00FE6AC6">
        <w:rPr>
          <w:color w:val="000000"/>
          <w:lang w:val="ru-RU"/>
        </w:rPr>
        <w:t>+ОЛЛ, са наблюдавани преходна чернодробна токсичност под формата на повишаване на трансаминазите и хипербилирубинемия.</w:t>
      </w:r>
      <w:r w:rsidR="00BA5050" w:rsidRPr="00FE6AC6">
        <w:rPr>
          <w:color w:val="000000"/>
          <w:szCs w:val="22"/>
          <w:lang w:val="bg-BG"/>
        </w:rPr>
        <w:t xml:space="preserve"> </w:t>
      </w:r>
      <w:r w:rsidR="007B4C24" w:rsidRPr="00FE6AC6">
        <w:rPr>
          <w:color w:val="000000"/>
          <w:szCs w:val="22"/>
          <w:lang w:val="bg-BG"/>
        </w:rPr>
        <w:t>Вземайки предви</w:t>
      </w:r>
      <w:r w:rsidR="000F3FD7" w:rsidRPr="00FE6AC6">
        <w:rPr>
          <w:color w:val="000000"/>
          <w:szCs w:val="22"/>
          <w:lang w:val="bg-BG"/>
        </w:rPr>
        <w:t>д</w:t>
      </w:r>
      <w:r w:rsidR="007B4C24" w:rsidRPr="00FE6AC6">
        <w:rPr>
          <w:color w:val="000000"/>
          <w:szCs w:val="22"/>
          <w:lang w:val="bg-BG"/>
        </w:rPr>
        <w:t xml:space="preserve"> ограничен</w:t>
      </w:r>
      <w:r w:rsidR="009144A0" w:rsidRPr="00FE6AC6">
        <w:rPr>
          <w:color w:val="000000"/>
          <w:szCs w:val="22"/>
          <w:lang w:val="bg-BG"/>
        </w:rPr>
        <w:t xml:space="preserve">ата база </w:t>
      </w:r>
      <w:r w:rsidR="007B4C24" w:rsidRPr="00FE6AC6">
        <w:rPr>
          <w:color w:val="000000"/>
          <w:szCs w:val="22"/>
          <w:lang w:val="bg-BG"/>
        </w:rPr>
        <w:t xml:space="preserve">данни </w:t>
      </w:r>
      <w:r w:rsidR="009144A0" w:rsidRPr="00FE6AC6">
        <w:rPr>
          <w:color w:val="000000"/>
          <w:szCs w:val="22"/>
          <w:lang w:val="bg-BG"/>
        </w:rPr>
        <w:t>за</w:t>
      </w:r>
      <w:r w:rsidR="007B4C24" w:rsidRPr="00FE6AC6">
        <w:rPr>
          <w:color w:val="000000"/>
          <w:szCs w:val="22"/>
          <w:lang w:val="bg-BG"/>
        </w:rPr>
        <w:t xml:space="preserve"> безопасност</w:t>
      </w:r>
      <w:r w:rsidR="00BA5050" w:rsidRPr="00FE6AC6">
        <w:rPr>
          <w:color w:val="000000"/>
          <w:szCs w:val="22"/>
          <w:lang w:val="bg-BG"/>
        </w:rPr>
        <w:t xml:space="preserve">, </w:t>
      </w:r>
      <w:r w:rsidR="007B4C24" w:rsidRPr="00FE6AC6">
        <w:rPr>
          <w:color w:val="000000"/>
          <w:szCs w:val="22"/>
          <w:lang w:val="bg-BG"/>
        </w:rPr>
        <w:t xml:space="preserve">до момента </w:t>
      </w:r>
      <w:r w:rsidR="00BA5050" w:rsidRPr="00FE6AC6">
        <w:rPr>
          <w:color w:val="000000"/>
          <w:szCs w:val="22"/>
          <w:lang w:val="bg-BG"/>
        </w:rPr>
        <w:t xml:space="preserve">нежеланите </w:t>
      </w:r>
      <w:r w:rsidR="007B4C24" w:rsidRPr="00FE6AC6">
        <w:rPr>
          <w:color w:val="000000"/>
          <w:szCs w:val="22"/>
          <w:lang w:val="bg-BG"/>
        </w:rPr>
        <w:t xml:space="preserve">събития, съобщавани </w:t>
      </w:r>
      <w:r w:rsidR="00BA5050" w:rsidRPr="00FE6AC6">
        <w:rPr>
          <w:color w:val="000000"/>
          <w:szCs w:val="22"/>
          <w:lang w:val="bg-BG"/>
        </w:rPr>
        <w:t xml:space="preserve">при деца са в съответствие с познатия профил на безопасност при възрастни пациенти с </w:t>
      </w:r>
      <w:r w:rsidR="00BA5050" w:rsidRPr="00FE6AC6">
        <w:rPr>
          <w:color w:val="000000"/>
          <w:szCs w:val="22"/>
        </w:rPr>
        <w:t>Ph</w:t>
      </w:r>
      <w:r w:rsidR="00BA5050" w:rsidRPr="00FE6AC6">
        <w:rPr>
          <w:color w:val="000000"/>
          <w:szCs w:val="22"/>
          <w:lang w:val="bg-BG"/>
        </w:rPr>
        <w:t xml:space="preserve">+ ОЛЛ. </w:t>
      </w:r>
      <w:r w:rsidR="009144A0" w:rsidRPr="00FE6AC6">
        <w:rPr>
          <w:color w:val="000000"/>
          <w:szCs w:val="22"/>
          <w:lang w:val="bg-BG"/>
        </w:rPr>
        <w:t>Базата д</w:t>
      </w:r>
      <w:r w:rsidR="00067C01" w:rsidRPr="00FE6AC6">
        <w:rPr>
          <w:color w:val="000000"/>
          <w:szCs w:val="22"/>
          <w:lang w:val="bg-BG"/>
        </w:rPr>
        <w:t>анни</w:t>
      </w:r>
      <w:r w:rsidR="009144A0" w:rsidRPr="00FE6AC6">
        <w:rPr>
          <w:color w:val="000000"/>
          <w:szCs w:val="22"/>
          <w:lang w:val="bg-BG"/>
        </w:rPr>
        <w:t xml:space="preserve"> за</w:t>
      </w:r>
      <w:r w:rsidR="00067C01" w:rsidRPr="00FE6AC6">
        <w:rPr>
          <w:color w:val="000000"/>
          <w:szCs w:val="22"/>
          <w:lang w:val="bg-BG"/>
        </w:rPr>
        <w:t xml:space="preserve"> безопасност при деца с </w:t>
      </w:r>
      <w:r w:rsidR="00067C01" w:rsidRPr="00FE6AC6">
        <w:rPr>
          <w:color w:val="000000"/>
          <w:szCs w:val="22"/>
        </w:rPr>
        <w:t>Ph</w:t>
      </w:r>
      <w:r w:rsidR="00067C01" w:rsidRPr="00FE6AC6">
        <w:rPr>
          <w:color w:val="000000"/>
          <w:szCs w:val="22"/>
          <w:lang w:val="bg-BG"/>
        </w:rPr>
        <w:t xml:space="preserve">+ ОЛЛ </w:t>
      </w:r>
      <w:r w:rsidR="009144A0" w:rsidRPr="00FE6AC6">
        <w:rPr>
          <w:color w:val="000000"/>
          <w:szCs w:val="22"/>
          <w:lang w:val="bg-BG"/>
        </w:rPr>
        <w:t>е</w:t>
      </w:r>
      <w:r w:rsidR="00067C01" w:rsidRPr="00FE6AC6">
        <w:rPr>
          <w:color w:val="000000"/>
          <w:szCs w:val="22"/>
          <w:lang w:val="bg-BG"/>
        </w:rPr>
        <w:t xml:space="preserve"> силно ограниче</w:t>
      </w:r>
      <w:r w:rsidR="009144A0" w:rsidRPr="00FE6AC6">
        <w:rPr>
          <w:color w:val="000000"/>
          <w:szCs w:val="22"/>
          <w:lang w:val="bg-BG"/>
        </w:rPr>
        <w:t>на</w:t>
      </w:r>
      <w:r w:rsidR="00067C01" w:rsidRPr="00FE6AC6">
        <w:rPr>
          <w:color w:val="000000"/>
          <w:szCs w:val="22"/>
          <w:lang w:val="bg-BG"/>
        </w:rPr>
        <w:t xml:space="preserve">, </w:t>
      </w:r>
      <w:r w:rsidR="006E4579" w:rsidRPr="00FE6AC6">
        <w:rPr>
          <w:color w:val="000000"/>
          <w:szCs w:val="22"/>
          <w:lang w:val="bg-BG"/>
        </w:rPr>
        <w:t>обаче</w:t>
      </w:r>
      <w:r w:rsidR="00067C01" w:rsidRPr="00FE6AC6">
        <w:rPr>
          <w:color w:val="000000"/>
          <w:szCs w:val="22"/>
          <w:lang w:val="bg-BG"/>
        </w:rPr>
        <w:t xml:space="preserve"> нови </w:t>
      </w:r>
      <w:r w:rsidR="00BC4AED" w:rsidRPr="00FE6AC6">
        <w:rPr>
          <w:color w:val="000000"/>
          <w:szCs w:val="22"/>
          <w:lang w:val="bg-BG"/>
        </w:rPr>
        <w:t xml:space="preserve">събития, </w:t>
      </w:r>
      <w:r w:rsidR="006E4579" w:rsidRPr="00FE6AC6">
        <w:rPr>
          <w:color w:val="000000"/>
          <w:szCs w:val="22"/>
          <w:lang w:val="bg-BG"/>
        </w:rPr>
        <w:t>засягащи</w:t>
      </w:r>
      <w:r w:rsidR="00BC4AED" w:rsidRPr="00FE6AC6">
        <w:rPr>
          <w:color w:val="000000"/>
          <w:szCs w:val="22"/>
          <w:lang w:val="bg-BG"/>
        </w:rPr>
        <w:t xml:space="preserve"> безопасността</w:t>
      </w:r>
      <w:r w:rsidR="006E4579" w:rsidRPr="00FE6AC6">
        <w:rPr>
          <w:color w:val="000000"/>
          <w:szCs w:val="22"/>
          <w:lang w:val="bg-BG"/>
        </w:rPr>
        <w:t xml:space="preserve"> не са установени</w:t>
      </w:r>
      <w:r w:rsidR="00BC4AED" w:rsidRPr="00FE6AC6">
        <w:rPr>
          <w:color w:val="000000"/>
          <w:szCs w:val="22"/>
          <w:lang w:val="bg-BG"/>
        </w:rPr>
        <w:t>.</w:t>
      </w:r>
    </w:p>
    <w:p w14:paraId="3E54FC45" w14:textId="77777777" w:rsidR="001636FA" w:rsidRPr="00FE6AC6" w:rsidRDefault="001636FA" w:rsidP="0063575E">
      <w:pPr>
        <w:widowControl w:val="0"/>
        <w:tabs>
          <w:tab w:val="clear" w:pos="567"/>
        </w:tabs>
        <w:spacing w:line="240" w:lineRule="auto"/>
        <w:rPr>
          <w:color w:val="000000"/>
          <w:lang w:val="ru-RU"/>
        </w:rPr>
      </w:pPr>
    </w:p>
    <w:p w14:paraId="3E54FC46"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Разнообразни нежелани реакции като плеврален излив, асцит, белодробен оток и бързо повишаване на теглото с или без повърхностни отоци могат общо да се опишат като “задръжка на течности”. Тези реакции се лекуват обикновено чрез временно спиране на Glivec и с диуретици</w:t>
      </w:r>
      <w:r w:rsidR="00A64DDB" w:rsidRPr="00FE6AC6">
        <w:rPr>
          <w:color w:val="000000"/>
          <w:lang w:val="bg-BG"/>
        </w:rPr>
        <w:t>,</w:t>
      </w:r>
      <w:r w:rsidRPr="00FE6AC6">
        <w:rPr>
          <w:color w:val="000000"/>
          <w:lang w:val="bg-BG"/>
        </w:rPr>
        <w:t xml:space="preserve"> </w:t>
      </w:r>
      <w:r w:rsidR="006D5D7A" w:rsidRPr="00FE6AC6">
        <w:rPr>
          <w:color w:val="000000"/>
          <w:lang w:val="bg-BG"/>
        </w:rPr>
        <w:t xml:space="preserve">както </w:t>
      </w:r>
      <w:r w:rsidRPr="00FE6AC6">
        <w:rPr>
          <w:color w:val="000000"/>
          <w:lang w:val="bg-BG"/>
        </w:rPr>
        <w:t>и с други подходящи под</w:t>
      </w:r>
      <w:r w:rsidR="00101306" w:rsidRPr="00FE6AC6">
        <w:rPr>
          <w:color w:val="000000"/>
          <w:lang w:val="bg-BG"/>
        </w:rPr>
        <w:t>д</w:t>
      </w:r>
      <w:r w:rsidRPr="00FE6AC6">
        <w:rPr>
          <w:color w:val="000000"/>
          <w:lang w:val="bg-BG"/>
        </w:rPr>
        <w:t xml:space="preserve">ържащи лечебни мерки. Въпреки това, някои от тези реакции могат да са опасни или животозастрашаващи и няколко пациенти с бластна криза са починали с утежнена клинична </w:t>
      </w:r>
      <w:r w:rsidR="006D5D7A" w:rsidRPr="00FE6AC6">
        <w:rPr>
          <w:color w:val="000000"/>
          <w:lang w:val="bg-BG"/>
        </w:rPr>
        <w:t>картина н</w:t>
      </w:r>
      <w:r w:rsidRPr="00FE6AC6">
        <w:rPr>
          <w:color w:val="000000"/>
          <w:lang w:val="bg-BG"/>
        </w:rPr>
        <w:t xml:space="preserve">а плеврални изливи, застойна сърдечна недостатъчност и бъбречна недостатъчност. Липсват специални находки по отношение на безопасността при клиничните проучвания </w:t>
      </w:r>
      <w:r w:rsidR="006D5D7A" w:rsidRPr="00FE6AC6">
        <w:rPr>
          <w:color w:val="000000"/>
          <w:lang w:val="bg-BG"/>
        </w:rPr>
        <w:t>при</w:t>
      </w:r>
      <w:r w:rsidRPr="00FE6AC6">
        <w:rPr>
          <w:color w:val="000000"/>
          <w:lang w:val="bg-BG"/>
        </w:rPr>
        <w:t xml:space="preserve"> деца.</w:t>
      </w:r>
    </w:p>
    <w:p w14:paraId="3E54FC47" w14:textId="77777777" w:rsidR="001636FA" w:rsidRPr="00FE6AC6" w:rsidRDefault="001636FA" w:rsidP="0063575E">
      <w:pPr>
        <w:widowControl w:val="0"/>
        <w:tabs>
          <w:tab w:val="clear" w:pos="567"/>
        </w:tabs>
        <w:spacing w:line="240" w:lineRule="auto"/>
        <w:rPr>
          <w:color w:val="000000"/>
          <w:lang w:val="bg-BG"/>
        </w:rPr>
      </w:pPr>
    </w:p>
    <w:p w14:paraId="3E54FC48" w14:textId="77777777" w:rsidR="001636FA" w:rsidRPr="00FE6AC6" w:rsidRDefault="001636FA" w:rsidP="0063575E">
      <w:pPr>
        <w:keepNext/>
        <w:widowControl w:val="0"/>
        <w:tabs>
          <w:tab w:val="clear" w:pos="567"/>
        </w:tabs>
        <w:spacing w:line="240" w:lineRule="auto"/>
        <w:rPr>
          <w:color w:val="000000"/>
          <w:lang w:val="bg-BG"/>
        </w:rPr>
      </w:pPr>
      <w:r w:rsidRPr="00FE6AC6">
        <w:rPr>
          <w:b/>
          <w:color w:val="000000"/>
          <w:lang w:val="bg-BG"/>
        </w:rPr>
        <w:t>Нежелани реакции</w:t>
      </w:r>
    </w:p>
    <w:p w14:paraId="3E54FC49" w14:textId="77777777" w:rsidR="001636FA" w:rsidRPr="00FE6AC6" w:rsidRDefault="001636FA" w:rsidP="0063575E">
      <w:pPr>
        <w:widowControl w:val="0"/>
        <w:spacing w:line="240" w:lineRule="auto"/>
        <w:rPr>
          <w:color w:val="000000"/>
          <w:lang w:val="bg-BG"/>
        </w:rPr>
      </w:pPr>
      <w:r w:rsidRPr="00FE6AC6">
        <w:rPr>
          <w:color w:val="000000"/>
          <w:lang w:val="bg-BG"/>
        </w:rPr>
        <w:t xml:space="preserve">Нежеланите реакции, описани при повече от един изолиран случай, са посочени по-долу </w:t>
      </w:r>
      <w:r w:rsidR="00211696" w:rsidRPr="00FE6AC6">
        <w:rPr>
          <w:szCs w:val="22"/>
          <w:lang w:val="ru-RU"/>
        </w:rPr>
        <w:t xml:space="preserve">по </w:t>
      </w:r>
      <w:r w:rsidR="00211696" w:rsidRPr="00FE6AC6">
        <w:rPr>
          <w:szCs w:val="22"/>
          <w:lang w:val="bg-BG"/>
        </w:rPr>
        <w:t>системо-органни класове</w:t>
      </w:r>
      <w:r w:rsidRPr="00FE6AC6">
        <w:rPr>
          <w:color w:val="000000"/>
          <w:lang w:val="bg-BG"/>
        </w:rPr>
        <w:t xml:space="preserve"> и по честота.</w:t>
      </w:r>
      <w:r w:rsidR="00933F2C" w:rsidRPr="00FE6AC6">
        <w:rPr>
          <w:szCs w:val="22"/>
          <w:lang w:val="ru-RU"/>
        </w:rPr>
        <w:t xml:space="preserve"> Категориите честоти се определят съгласно следната конвенция:</w:t>
      </w:r>
      <w:r w:rsidRPr="00FE6AC6">
        <w:rPr>
          <w:color w:val="000000"/>
          <w:lang w:val="bg-BG"/>
        </w:rPr>
        <w:t xml:space="preserve"> много чести (</w:t>
      </w:r>
      <w:r w:rsidR="000063F7" w:rsidRPr="00FE6AC6">
        <w:rPr>
          <w:color w:val="000000"/>
          <w:lang w:val="bg-BG"/>
        </w:rPr>
        <w:t>≥</w:t>
      </w:r>
      <w:r w:rsidRPr="00FE6AC6">
        <w:rPr>
          <w:color w:val="000000"/>
          <w:lang w:val="bg-BG"/>
        </w:rPr>
        <w:t>1/10), чести (</w:t>
      </w:r>
      <w:r w:rsidR="000063F7" w:rsidRPr="00FE6AC6">
        <w:rPr>
          <w:color w:val="000000"/>
          <w:lang w:val="bg-BG"/>
        </w:rPr>
        <w:t>≥</w:t>
      </w:r>
      <w:r w:rsidRPr="00FE6AC6">
        <w:rPr>
          <w:color w:val="000000"/>
          <w:lang w:val="bg-BG"/>
        </w:rPr>
        <w:t>1/100</w:t>
      </w:r>
      <w:r w:rsidR="000063F7" w:rsidRPr="00FE6AC6">
        <w:rPr>
          <w:color w:val="000000"/>
          <w:lang w:val="ru-RU"/>
        </w:rPr>
        <w:t xml:space="preserve"> </w:t>
      </w:r>
      <w:r w:rsidR="000063F7" w:rsidRPr="00FE6AC6">
        <w:rPr>
          <w:color w:val="000000"/>
          <w:lang w:val="bg-BG"/>
        </w:rPr>
        <w:t>до</w:t>
      </w:r>
      <w:r w:rsidRPr="00FE6AC6">
        <w:rPr>
          <w:color w:val="000000"/>
          <w:lang w:val="bg-BG"/>
        </w:rPr>
        <w:t xml:space="preserve"> </w:t>
      </w:r>
      <w:r w:rsidR="000063F7" w:rsidRPr="00FE6AC6">
        <w:rPr>
          <w:color w:val="000000"/>
          <w:lang w:val="ru-RU"/>
        </w:rPr>
        <w:t>&lt;</w:t>
      </w:r>
      <w:r w:rsidRPr="00FE6AC6">
        <w:rPr>
          <w:color w:val="000000"/>
          <w:lang w:val="bg-BG"/>
        </w:rPr>
        <w:t>1/10), нечести (</w:t>
      </w:r>
      <w:r w:rsidR="000063F7" w:rsidRPr="00FE6AC6">
        <w:rPr>
          <w:color w:val="000000"/>
          <w:lang w:val="bg-BG"/>
        </w:rPr>
        <w:t>≥</w:t>
      </w:r>
      <w:r w:rsidRPr="00FE6AC6">
        <w:rPr>
          <w:color w:val="000000"/>
          <w:lang w:val="bg-BG"/>
        </w:rPr>
        <w:t>1/1 000</w:t>
      </w:r>
      <w:r w:rsidR="000063F7" w:rsidRPr="00FE6AC6">
        <w:rPr>
          <w:color w:val="000000"/>
          <w:lang w:val="ru-RU"/>
        </w:rPr>
        <w:t xml:space="preserve"> </w:t>
      </w:r>
      <w:r w:rsidR="000063F7" w:rsidRPr="00FE6AC6">
        <w:rPr>
          <w:color w:val="000000"/>
          <w:lang w:val="bg-BG"/>
        </w:rPr>
        <w:t>до</w:t>
      </w:r>
      <w:r w:rsidRPr="00FE6AC6">
        <w:rPr>
          <w:color w:val="000000"/>
          <w:lang w:val="bg-BG"/>
        </w:rPr>
        <w:t xml:space="preserve"> </w:t>
      </w:r>
      <w:r w:rsidR="000063F7" w:rsidRPr="00FE6AC6">
        <w:rPr>
          <w:color w:val="000000"/>
          <w:lang w:val="ru-RU"/>
        </w:rPr>
        <w:t>&lt;</w:t>
      </w:r>
      <w:r w:rsidRPr="00FE6AC6">
        <w:rPr>
          <w:color w:val="000000"/>
          <w:lang w:val="bg-BG"/>
        </w:rPr>
        <w:t>1/100), редки (</w:t>
      </w:r>
      <w:r w:rsidR="000063F7" w:rsidRPr="00FE6AC6">
        <w:rPr>
          <w:szCs w:val="22"/>
          <w:lang w:val="ru-RU"/>
        </w:rPr>
        <w:t>≥1/10</w:t>
      </w:r>
      <w:r w:rsidR="000063F7" w:rsidRPr="00FE6AC6">
        <w:rPr>
          <w:szCs w:val="22"/>
          <w:lang w:val="en-US"/>
        </w:rPr>
        <w:t> </w:t>
      </w:r>
      <w:r w:rsidR="000063F7" w:rsidRPr="00FE6AC6">
        <w:rPr>
          <w:szCs w:val="22"/>
          <w:lang w:val="ru-RU"/>
        </w:rPr>
        <w:t xml:space="preserve">000 </w:t>
      </w:r>
      <w:r w:rsidR="000063F7" w:rsidRPr="00FE6AC6">
        <w:rPr>
          <w:szCs w:val="22"/>
          <w:lang w:val="bg-BG"/>
        </w:rPr>
        <w:t xml:space="preserve">до </w:t>
      </w:r>
      <w:r w:rsidR="000063F7" w:rsidRPr="00FE6AC6">
        <w:rPr>
          <w:szCs w:val="22"/>
          <w:lang w:val="ru-RU"/>
        </w:rPr>
        <w:t>&lt;</w:t>
      </w:r>
      <w:r w:rsidRPr="00FE6AC6">
        <w:rPr>
          <w:color w:val="000000"/>
          <w:lang w:val="bg-BG"/>
        </w:rPr>
        <w:t>1/1</w:t>
      </w:r>
      <w:r w:rsidRPr="00FE6AC6">
        <w:rPr>
          <w:color w:val="000000"/>
          <w:lang w:val="en-US"/>
        </w:rPr>
        <w:t> </w:t>
      </w:r>
      <w:r w:rsidRPr="00FE6AC6">
        <w:rPr>
          <w:color w:val="000000"/>
          <w:lang w:val="bg-BG"/>
        </w:rPr>
        <w:t>000)</w:t>
      </w:r>
      <w:r w:rsidR="00DB40BF" w:rsidRPr="00FE6AC6">
        <w:rPr>
          <w:color w:val="000000"/>
          <w:szCs w:val="22"/>
          <w:lang w:val="bg-BG"/>
        </w:rPr>
        <w:t>,</w:t>
      </w:r>
      <w:r w:rsidR="000063F7" w:rsidRPr="00FE6AC6">
        <w:rPr>
          <w:color w:val="000000"/>
          <w:szCs w:val="22"/>
          <w:lang w:val="bg-BG"/>
        </w:rPr>
        <w:t xml:space="preserve"> много редки (</w:t>
      </w:r>
      <w:r w:rsidR="000063F7" w:rsidRPr="00FE6AC6">
        <w:rPr>
          <w:color w:val="000000"/>
          <w:szCs w:val="22"/>
          <w:lang w:val="ru-RU"/>
        </w:rPr>
        <w:t>&lt;1/10</w:t>
      </w:r>
      <w:r w:rsidR="000063F7" w:rsidRPr="00FE6AC6">
        <w:rPr>
          <w:color w:val="000000"/>
          <w:szCs w:val="22"/>
          <w:lang w:val="en-US"/>
        </w:rPr>
        <w:t> </w:t>
      </w:r>
      <w:r w:rsidR="000063F7" w:rsidRPr="00FE6AC6">
        <w:rPr>
          <w:color w:val="000000"/>
          <w:szCs w:val="22"/>
          <w:lang w:val="ru-RU"/>
        </w:rPr>
        <w:t>000</w:t>
      </w:r>
      <w:r w:rsidR="000063F7" w:rsidRPr="00FE6AC6">
        <w:rPr>
          <w:color w:val="000000"/>
          <w:szCs w:val="22"/>
          <w:lang w:val="bg-BG"/>
        </w:rPr>
        <w:t>),</w:t>
      </w:r>
      <w:r w:rsidR="00DB40BF" w:rsidRPr="00FE6AC6">
        <w:rPr>
          <w:color w:val="000000"/>
          <w:szCs w:val="22"/>
          <w:lang w:val="bg-BG"/>
        </w:rPr>
        <w:t xml:space="preserve"> </w:t>
      </w:r>
      <w:r w:rsidR="000C4070" w:rsidRPr="00FE6AC6">
        <w:rPr>
          <w:color w:val="000000"/>
          <w:szCs w:val="22"/>
          <w:lang w:val="bg-BG"/>
        </w:rPr>
        <w:t>с неизвестна честота</w:t>
      </w:r>
      <w:r w:rsidR="00DB40BF" w:rsidRPr="00FE6AC6">
        <w:rPr>
          <w:color w:val="000000"/>
          <w:szCs w:val="22"/>
          <w:lang w:val="bg-BG"/>
        </w:rPr>
        <w:t xml:space="preserve"> (</w:t>
      </w:r>
      <w:r w:rsidR="00EE3249" w:rsidRPr="00FE6AC6">
        <w:rPr>
          <w:color w:val="000000"/>
          <w:szCs w:val="22"/>
          <w:lang w:val="bg-BG"/>
        </w:rPr>
        <w:t xml:space="preserve">от </w:t>
      </w:r>
      <w:r w:rsidR="00B23A35" w:rsidRPr="00FE6AC6">
        <w:rPr>
          <w:color w:val="000000"/>
          <w:szCs w:val="22"/>
          <w:lang w:val="bg-BG"/>
        </w:rPr>
        <w:t>наличните</w:t>
      </w:r>
      <w:r w:rsidR="00EE3249" w:rsidRPr="00FE6AC6">
        <w:rPr>
          <w:color w:val="000000"/>
          <w:szCs w:val="22"/>
          <w:lang w:val="bg-BG"/>
        </w:rPr>
        <w:t xml:space="preserve"> данни</w:t>
      </w:r>
      <w:r w:rsidR="00B23A35" w:rsidRPr="00FE6AC6">
        <w:rPr>
          <w:color w:val="000000"/>
          <w:szCs w:val="22"/>
          <w:lang w:val="bg-BG"/>
        </w:rPr>
        <w:t xml:space="preserve"> не може да бъде направена оценка</w:t>
      </w:r>
      <w:r w:rsidR="00DB40BF" w:rsidRPr="00FE6AC6">
        <w:rPr>
          <w:color w:val="000000"/>
          <w:szCs w:val="22"/>
          <w:lang w:val="bg-BG"/>
        </w:rPr>
        <w:t>).</w:t>
      </w:r>
    </w:p>
    <w:p w14:paraId="3E54FC4A" w14:textId="77777777" w:rsidR="001636FA" w:rsidRPr="00FE6AC6" w:rsidRDefault="001636FA" w:rsidP="0063575E">
      <w:pPr>
        <w:widowControl w:val="0"/>
        <w:spacing w:line="240" w:lineRule="auto"/>
        <w:rPr>
          <w:color w:val="000000"/>
          <w:lang w:val="bg-BG"/>
        </w:rPr>
      </w:pPr>
    </w:p>
    <w:p w14:paraId="3E54FC4B" w14:textId="77777777" w:rsidR="001636FA" w:rsidRPr="00FE6AC6" w:rsidRDefault="001636FA" w:rsidP="0063575E">
      <w:pPr>
        <w:widowControl w:val="0"/>
        <w:spacing w:line="240" w:lineRule="auto"/>
        <w:rPr>
          <w:color w:val="000000"/>
          <w:lang w:val="bg-BG"/>
        </w:rPr>
      </w:pPr>
      <w:r w:rsidRPr="00FE6AC6">
        <w:rPr>
          <w:color w:val="000000"/>
          <w:lang w:val="bg-BG"/>
        </w:rPr>
        <w:t xml:space="preserve">При всяко групиране в зависимост от честотата, нежеланите лекарствени реакции се изброяват </w:t>
      </w:r>
      <w:r w:rsidR="005E278D" w:rsidRPr="00FE6AC6">
        <w:rPr>
          <w:lang w:val="bg-BG"/>
        </w:rPr>
        <w:t>по ред на честотата, като се започва с най-честите</w:t>
      </w:r>
      <w:r w:rsidRPr="00FE6AC6">
        <w:rPr>
          <w:color w:val="000000"/>
          <w:lang w:val="bg-BG"/>
        </w:rPr>
        <w:t>.</w:t>
      </w:r>
    </w:p>
    <w:p w14:paraId="3E54FC4C" w14:textId="77777777" w:rsidR="00A64DDB" w:rsidRPr="00FE6AC6" w:rsidRDefault="00A64DDB" w:rsidP="0063575E">
      <w:pPr>
        <w:widowControl w:val="0"/>
        <w:spacing w:line="240" w:lineRule="auto"/>
        <w:rPr>
          <w:color w:val="000000"/>
          <w:lang w:val="bg-BG"/>
        </w:rPr>
      </w:pPr>
    </w:p>
    <w:p w14:paraId="3E54FC4D" w14:textId="77777777" w:rsidR="000B0D28" w:rsidRPr="00FE6AC6" w:rsidRDefault="00A64DDB" w:rsidP="0063575E">
      <w:pPr>
        <w:widowControl w:val="0"/>
        <w:spacing w:line="240" w:lineRule="auto"/>
        <w:rPr>
          <w:color w:val="000000"/>
          <w:szCs w:val="22"/>
          <w:lang w:val="bg-BG"/>
        </w:rPr>
      </w:pPr>
      <w:r w:rsidRPr="00FE6AC6">
        <w:rPr>
          <w:color w:val="000000"/>
          <w:szCs w:val="22"/>
          <w:lang w:val="bg-BG"/>
        </w:rPr>
        <w:t>Нежеланите реакции и честотата им</w:t>
      </w:r>
      <w:r w:rsidR="007752B7" w:rsidRPr="00FE6AC6">
        <w:rPr>
          <w:color w:val="000000"/>
          <w:szCs w:val="22"/>
          <w:lang w:val="bg-BG"/>
        </w:rPr>
        <w:t xml:space="preserve"> са</w:t>
      </w:r>
      <w:r w:rsidRPr="00FE6AC6">
        <w:rPr>
          <w:color w:val="000000"/>
          <w:szCs w:val="22"/>
          <w:lang w:val="bg-BG"/>
        </w:rPr>
        <w:t xml:space="preserve"> съобщени в Таблица</w:t>
      </w:r>
      <w:r w:rsidR="005C0095" w:rsidRPr="00FE6AC6">
        <w:rPr>
          <w:color w:val="000000"/>
          <w:szCs w:val="22"/>
          <w:lang w:val="de-CH"/>
        </w:rPr>
        <w:t> </w:t>
      </w:r>
      <w:r w:rsidRPr="00FE6AC6">
        <w:rPr>
          <w:color w:val="000000"/>
          <w:szCs w:val="22"/>
          <w:lang w:val="bg-BG"/>
        </w:rPr>
        <w:t>1.</w:t>
      </w:r>
    </w:p>
    <w:p w14:paraId="3E54FC4E" w14:textId="77777777" w:rsidR="000B0D28" w:rsidRPr="00FE6AC6" w:rsidRDefault="000B0D28" w:rsidP="0063575E">
      <w:pPr>
        <w:widowControl w:val="0"/>
        <w:spacing w:line="240" w:lineRule="auto"/>
        <w:rPr>
          <w:color w:val="000000"/>
          <w:szCs w:val="22"/>
          <w:lang w:val="bg-BG"/>
        </w:rPr>
      </w:pPr>
    </w:p>
    <w:p w14:paraId="3E54FC4F" w14:textId="77777777" w:rsidR="000B0D28" w:rsidRPr="00FE6AC6" w:rsidRDefault="000B0D28" w:rsidP="0063575E">
      <w:pPr>
        <w:keepNext/>
        <w:widowControl w:val="0"/>
        <w:tabs>
          <w:tab w:val="clear" w:pos="567"/>
          <w:tab w:val="left" w:pos="1134"/>
        </w:tabs>
        <w:spacing w:line="240" w:lineRule="auto"/>
        <w:rPr>
          <w:b/>
          <w:color w:val="000000"/>
          <w:lang w:val="ru-RU"/>
        </w:rPr>
      </w:pPr>
      <w:r w:rsidRPr="00FE6AC6">
        <w:rPr>
          <w:b/>
          <w:color w:val="000000"/>
          <w:lang w:val="bg-BG"/>
        </w:rPr>
        <w:t>Таблица</w:t>
      </w:r>
      <w:r w:rsidRPr="00FE6AC6">
        <w:rPr>
          <w:b/>
          <w:color w:val="000000"/>
        </w:rPr>
        <w:t> </w:t>
      </w:r>
      <w:r w:rsidRPr="00FE6AC6">
        <w:rPr>
          <w:b/>
          <w:color w:val="000000"/>
          <w:lang w:val="ru-RU"/>
        </w:rPr>
        <w:t>1</w:t>
      </w:r>
      <w:r w:rsidRPr="00FE6AC6">
        <w:rPr>
          <w:b/>
          <w:color w:val="000000"/>
          <w:lang w:val="ru-RU"/>
        </w:rPr>
        <w:tab/>
      </w:r>
      <w:r w:rsidR="00814C59" w:rsidRPr="00FE6AC6">
        <w:rPr>
          <w:b/>
          <w:color w:val="000000"/>
          <w:lang w:val="ru-RU"/>
        </w:rPr>
        <w:t>Таблично обобщение на н</w:t>
      </w:r>
      <w:r w:rsidRPr="00FE6AC6">
        <w:rPr>
          <w:b/>
          <w:color w:val="000000"/>
          <w:lang w:val="bg-BG"/>
        </w:rPr>
        <w:t>ежелани</w:t>
      </w:r>
      <w:r w:rsidR="00814C59" w:rsidRPr="00FE6AC6">
        <w:rPr>
          <w:b/>
          <w:color w:val="000000"/>
          <w:lang w:val="bg-BG"/>
        </w:rPr>
        <w:t>те</w:t>
      </w:r>
      <w:r w:rsidRPr="00FE6AC6">
        <w:rPr>
          <w:b/>
          <w:color w:val="000000"/>
          <w:lang w:val="bg-BG"/>
        </w:rPr>
        <w:t xml:space="preserve"> реакции</w:t>
      </w:r>
    </w:p>
    <w:p w14:paraId="3E54FC50" w14:textId="77777777" w:rsidR="000B0D28" w:rsidRPr="00FE6AC6" w:rsidRDefault="000B0D28" w:rsidP="0063575E">
      <w:pPr>
        <w:keepNext/>
        <w:widowControl w:val="0"/>
        <w:spacing w:line="240" w:lineRule="auto"/>
        <w:rPr>
          <w:color w:val="000000"/>
          <w:lang w:val="ru-RU"/>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2F4D11" w:rsidRPr="00FE6AC6" w14:paraId="3E54FC52" w14:textId="77777777" w:rsidTr="008143B1">
        <w:trPr>
          <w:cantSplit/>
        </w:trPr>
        <w:tc>
          <w:tcPr>
            <w:tcW w:w="9322" w:type="dxa"/>
            <w:gridSpan w:val="2"/>
          </w:tcPr>
          <w:p w14:paraId="3E54FC51" w14:textId="77777777" w:rsidR="002F4D11" w:rsidRPr="00FE6AC6" w:rsidRDefault="002F4D11" w:rsidP="0063575E">
            <w:pPr>
              <w:keepNext/>
              <w:widowControl w:val="0"/>
              <w:spacing w:line="240" w:lineRule="auto"/>
              <w:rPr>
                <w:color w:val="000000"/>
                <w:szCs w:val="22"/>
                <w:lang w:val="pt-PT"/>
              </w:rPr>
            </w:pPr>
            <w:r w:rsidRPr="00FE6AC6">
              <w:rPr>
                <w:b/>
                <w:noProof/>
              </w:rPr>
              <w:t>Инфекции</w:t>
            </w:r>
            <w:r w:rsidRPr="00FE6AC6">
              <w:rPr>
                <w:b/>
                <w:noProof/>
                <w:lang w:val="da-DK"/>
              </w:rPr>
              <w:t xml:space="preserve"> </w:t>
            </w:r>
            <w:r w:rsidRPr="00FE6AC6">
              <w:rPr>
                <w:b/>
                <w:noProof/>
              </w:rPr>
              <w:t>и</w:t>
            </w:r>
            <w:r w:rsidRPr="00FE6AC6">
              <w:rPr>
                <w:b/>
                <w:noProof/>
                <w:lang w:val="da-DK"/>
              </w:rPr>
              <w:t xml:space="preserve"> </w:t>
            </w:r>
            <w:r w:rsidRPr="00FE6AC6">
              <w:rPr>
                <w:b/>
                <w:noProof/>
                <w:lang w:val="bg-BG"/>
              </w:rPr>
              <w:t>инфестации</w:t>
            </w:r>
          </w:p>
        </w:tc>
      </w:tr>
      <w:tr w:rsidR="002F4D11" w:rsidRPr="00FE6AC6" w14:paraId="3E54FC55" w14:textId="77777777" w:rsidTr="008143B1">
        <w:trPr>
          <w:cantSplit/>
        </w:trPr>
        <w:tc>
          <w:tcPr>
            <w:tcW w:w="2235" w:type="dxa"/>
          </w:tcPr>
          <w:p w14:paraId="3E54FC53" w14:textId="77777777" w:rsidR="002F4D11" w:rsidRPr="00FE6AC6" w:rsidRDefault="002F4D11"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4FC54" w14:textId="77777777" w:rsidR="002F4D11" w:rsidRPr="00FE6AC6" w:rsidRDefault="0085027A" w:rsidP="0063575E">
            <w:pPr>
              <w:keepNext/>
              <w:widowControl w:val="0"/>
              <w:spacing w:line="240" w:lineRule="auto"/>
              <w:rPr>
                <w:color w:val="000000"/>
                <w:szCs w:val="22"/>
              </w:rPr>
            </w:pPr>
            <w:r w:rsidRPr="00FE6AC6">
              <w:rPr>
                <w:rStyle w:val="Emphasis"/>
                <w:b w:val="0"/>
              </w:rPr>
              <w:t xml:space="preserve">Херпес </w:t>
            </w:r>
            <w:r w:rsidRPr="00FE6AC6">
              <w:rPr>
                <w:rStyle w:val="Emphasis"/>
                <w:b w:val="0"/>
                <w:lang w:val="bg-BG"/>
              </w:rPr>
              <w:t>з</w:t>
            </w:r>
            <w:r w:rsidRPr="00FE6AC6">
              <w:rPr>
                <w:rStyle w:val="Emphasis"/>
                <w:b w:val="0"/>
              </w:rPr>
              <w:t>остер</w:t>
            </w:r>
            <w:r w:rsidR="002F4D11" w:rsidRPr="00FE6AC6">
              <w:rPr>
                <w:color w:val="000000"/>
                <w:szCs w:val="22"/>
              </w:rPr>
              <w:t xml:space="preserve">, </w:t>
            </w:r>
            <w:r w:rsidRPr="00FE6AC6">
              <w:rPr>
                <w:color w:val="000000"/>
                <w:szCs w:val="22"/>
                <w:lang w:val="bg-BG"/>
              </w:rPr>
              <w:t>херпес</w:t>
            </w:r>
            <w:r w:rsidR="002F4D11" w:rsidRPr="00FE6AC6">
              <w:rPr>
                <w:color w:val="000000"/>
                <w:szCs w:val="22"/>
              </w:rPr>
              <w:t xml:space="preserve"> </w:t>
            </w:r>
            <w:r w:rsidRPr="00FE6AC6">
              <w:rPr>
                <w:color w:val="000000"/>
                <w:szCs w:val="22"/>
                <w:lang w:val="bg-BG"/>
              </w:rPr>
              <w:t>симплекс</w:t>
            </w:r>
            <w:r w:rsidR="002F4D11" w:rsidRPr="00FE6AC6">
              <w:rPr>
                <w:color w:val="000000"/>
                <w:szCs w:val="22"/>
              </w:rPr>
              <w:t xml:space="preserve">, </w:t>
            </w:r>
            <w:r w:rsidR="002F4D11" w:rsidRPr="00FE6AC6">
              <w:rPr>
                <w:color w:val="000000"/>
                <w:szCs w:val="22"/>
                <w:lang w:val="bg-BG"/>
              </w:rPr>
              <w:t>назофарингит</w:t>
            </w:r>
            <w:r w:rsidR="002F4D11" w:rsidRPr="00FE6AC6">
              <w:rPr>
                <w:color w:val="000000"/>
                <w:szCs w:val="22"/>
              </w:rPr>
              <w:t xml:space="preserve">, </w:t>
            </w:r>
            <w:r w:rsidR="002F4D11" w:rsidRPr="00FE6AC6">
              <w:rPr>
                <w:color w:val="000000"/>
                <w:szCs w:val="22"/>
                <w:lang w:val="bg-BG"/>
              </w:rPr>
              <w:t>пневмония</w:t>
            </w:r>
            <w:r w:rsidR="008635A3" w:rsidRPr="00FE6AC6">
              <w:rPr>
                <w:color w:val="000000"/>
                <w:szCs w:val="22"/>
                <w:vertAlign w:val="superscript"/>
              </w:rPr>
              <w:t>1</w:t>
            </w:r>
            <w:r w:rsidR="002F4D11" w:rsidRPr="00FE6AC6">
              <w:rPr>
                <w:color w:val="000000"/>
                <w:szCs w:val="22"/>
              </w:rPr>
              <w:t xml:space="preserve">, </w:t>
            </w:r>
            <w:r w:rsidR="002F4D11" w:rsidRPr="00FE6AC6">
              <w:rPr>
                <w:color w:val="000000"/>
                <w:szCs w:val="22"/>
                <w:lang w:val="bg-BG"/>
              </w:rPr>
              <w:t>синузит</w:t>
            </w:r>
            <w:r w:rsidR="002F4D11" w:rsidRPr="00FE6AC6">
              <w:rPr>
                <w:color w:val="000000"/>
                <w:szCs w:val="22"/>
              </w:rPr>
              <w:t xml:space="preserve">, </w:t>
            </w:r>
            <w:r w:rsidR="002F4D11" w:rsidRPr="00FE6AC6">
              <w:rPr>
                <w:color w:val="000000"/>
                <w:szCs w:val="22"/>
                <w:lang w:val="bg-BG"/>
              </w:rPr>
              <w:t>целулит</w:t>
            </w:r>
            <w:r w:rsidR="002F4D11" w:rsidRPr="00FE6AC6">
              <w:rPr>
                <w:color w:val="000000"/>
                <w:szCs w:val="22"/>
              </w:rPr>
              <w:t xml:space="preserve">, </w:t>
            </w:r>
            <w:r w:rsidR="002F4D11" w:rsidRPr="00FE6AC6">
              <w:rPr>
                <w:color w:val="000000"/>
                <w:szCs w:val="22"/>
                <w:lang w:val="bg-BG"/>
              </w:rPr>
              <w:t>инфекции на горните дихателни пътища</w:t>
            </w:r>
            <w:r w:rsidR="002F4D11" w:rsidRPr="00FE6AC6">
              <w:rPr>
                <w:color w:val="000000"/>
                <w:szCs w:val="22"/>
              </w:rPr>
              <w:t xml:space="preserve">, </w:t>
            </w:r>
            <w:r w:rsidR="002F4D11" w:rsidRPr="00FE6AC6">
              <w:rPr>
                <w:color w:val="000000"/>
                <w:szCs w:val="22"/>
                <w:lang w:val="bg-BG"/>
              </w:rPr>
              <w:t>грип</w:t>
            </w:r>
            <w:r w:rsidR="002F4D11" w:rsidRPr="00FE6AC6">
              <w:rPr>
                <w:color w:val="000000"/>
                <w:szCs w:val="22"/>
              </w:rPr>
              <w:t xml:space="preserve">, </w:t>
            </w:r>
            <w:r w:rsidR="002F4D11" w:rsidRPr="00FE6AC6">
              <w:rPr>
                <w:color w:val="000000"/>
                <w:szCs w:val="22"/>
                <w:lang w:val="bg-BG"/>
              </w:rPr>
              <w:t>инфекции на пикочните пътища</w:t>
            </w:r>
            <w:r w:rsidR="002F4D11" w:rsidRPr="00FE6AC6">
              <w:rPr>
                <w:color w:val="000000"/>
                <w:szCs w:val="22"/>
              </w:rPr>
              <w:t xml:space="preserve">, </w:t>
            </w:r>
            <w:r w:rsidR="002F4D11" w:rsidRPr="00FE6AC6">
              <w:rPr>
                <w:color w:val="000000"/>
                <w:szCs w:val="22"/>
                <w:lang w:val="bg-BG"/>
              </w:rPr>
              <w:t>гастроентерит</w:t>
            </w:r>
            <w:r w:rsidR="002F4D11" w:rsidRPr="00FE6AC6">
              <w:rPr>
                <w:color w:val="000000"/>
                <w:szCs w:val="22"/>
              </w:rPr>
              <w:t xml:space="preserve">, </w:t>
            </w:r>
            <w:r w:rsidR="002F4D11" w:rsidRPr="00FE6AC6">
              <w:rPr>
                <w:color w:val="000000"/>
                <w:szCs w:val="22"/>
                <w:lang w:val="bg-BG"/>
              </w:rPr>
              <w:t>сепсис</w:t>
            </w:r>
          </w:p>
        </w:tc>
      </w:tr>
      <w:tr w:rsidR="002F4D11" w:rsidRPr="00FE6AC6" w14:paraId="3E54FC58" w14:textId="77777777" w:rsidTr="008143B1">
        <w:trPr>
          <w:cantSplit/>
        </w:trPr>
        <w:tc>
          <w:tcPr>
            <w:tcW w:w="2235" w:type="dxa"/>
          </w:tcPr>
          <w:p w14:paraId="3E54FC56" w14:textId="77777777" w:rsidR="002F4D11" w:rsidRPr="00FE6AC6" w:rsidRDefault="002F4D11" w:rsidP="0063575E">
            <w:pPr>
              <w:keepNext/>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4FC57" w14:textId="77777777" w:rsidR="002F4D11" w:rsidRPr="00FE6AC6" w:rsidRDefault="002F4D11" w:rsidP="0063575E">
            <w:pPr>
              <w:keepNext/>
              <w:widowControl w:val="0"/>
              <w:spacing w:line="240" w:lineRule="auto"/>
              <w:rPr>
                <w:color w:val="000000"/>
                <w:szCs w:val="22"/>
              </w:rPr>
            </w:pPr>
            <w:r w:rsidRPr="00FE6AC6">
              <w:rPr>
                <w:color w:val="000000"/>
                <w:szCs w:val="22"/>
                <w:lang w:val="bg-BG"/>
              </w:rPr>
              <w:t>Гъбични инфекции</w:t>
            </w:r>
          </w:p>
        </w:tc>
      </w:tr>
      <w:tr w:rsidR="00732E13" w:rsidRPr="00FE6AC6" w14:paraId="3E54FC5B" w14:textId="77777777" w:rsidTr="008143B1">
        <w:trPr>
          <w:cantSplit/>
        </w:trPr>
        <w:tc>
          <w:tcPr>
            <w:tcW w:w="2235" w:type="dxa"/>
          </w:tcPr>
          <w:p w14:paraId="3E54FC59" w14:textId="77777777" w:rsidR="00732E13" w:rsidRPr="00FE6AC6" w:rsidRDefault="00732E13"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5A" w14:textId="77777777" w:rsidR="00732E13" w:rsidRPr="00FE6AC6" w:rsidRDefault="00732E13" w:rsidP="0063575E">
            <w:pPr>
              <w:widowControl w:val="0"/>
              <w:spacing w:line="240" w:lineRule="auto"/>
              <w:rPr>
                <w:color w:val="000000"/>
                <w:szCs w:val="22"/>
                <w:lang w:val="bg-BG"/>
              </w:rPr>
            </w:pPr>
            <w:r w:rsidRPr="00FE6AC6">
              <w:rPr>
                <w:color w:val="000000"/>
                <w:szCs w:val="22"/>
                <w:lang w:val="bg-BG"/>
              </w:rPr>
              <w:t>Реактивация на хепатит В</w:t>
            </w:r>
            <w:r w:rsidRPr="00FE6AC6">
              <w:rPr>
                <w:color w:val="000000"/>
                <w:szCs w:val="22"/>
              </w:rPr>
              <w:t>*</w:t>
            </w:r>
          </w:p>
        </w:tc>
      </w:tr>
      <w:tr w:rsidR="001B436F" w:rsidRPr="00FE6AC6" w14:paraId="3E54FC5D" w14:textId="77777777" w:rsidTr="008143B1">
        <w:trPr>
          <w:cantSplit/>
        </w:trPr>
        <w:tc>
          <w:tcPr>
            <w:tcW w:w="9322" w:type="dxa"/>
            <w:gridSpan w:val="2"/>
          </w:tcPr>
          <w:p w14:paraId="3E54FC5C" w14:textId="77777777" w:rsidR="001B436F" w:rsidRPr="00FE6AC6" w:rsidRDefault="005540A0" w:rsidP="0063575E">
            <w:pPr>
              <w:keepNext/>
              <w:widowControl w:val="0"/>
              <w:spacing w:line="240" w:lineRule="auto"/>
              <w:rPr>
                <w:b/>
                <w:color w:val="000000"/>
                <w:szCs w:val="22"/>
                <w:lang w:val="bg-BG"/>
              </w:rPr>
            </w:pPr>
            <w:r w:rsidRPr="00FE6AC6">
              <w:rPr>
                <w:b/>
                <w:noProof/>
                <w:szCs w:val="22"/>
                <w:lang w:val="ru-RU"/>
              </w:rPr>
              <w:t>Неоплазми – доброкачествени, злокачествени и неопределени (вкл. кисти и полипи)</w:t>
            </w:r>
          </w:p>
        </w:tc>
      </w:tr>
      <w:tr w:rsidR="00451EDF" w:rsidRPr="00FE6AC6" w14:paraId="3E54FC60" w14:textId="77777777" w:rsidTr="008143B1">
        <w:trPr>
          <w:cantSplit/>
        </w:trPr>
        <w:tc>
          <w:tcPr>
            <w:tcW w:w="2235" w:type="dxa"/>
          </w:tcPr>
          <w:p w14:paraId="3E54FC5E" w14:textId="77777777" w:rsidR="00451EDF" w:rsidRPr="00FE6AC6" w:rsidRDefault="00451EDF" w:rsidP="0063575E">
            <w:pPr>
              <w:keepNext/>
              <w:widowControl w:val="0"/>
              <w:spacing w:line="240" w:lineRule="auto"/>
              <w:rPr>
                <w:i/>
                <w:color w:val="000000"/>
                <w:szCs w:val="22"/>
                <w:lang w:val="bg-BG"/>
              </w:rPr>
            </w:pPr>
            <w:r w:rsidRPr="00FE6AC6">
              <w:rPr>
                <w:i/>
                <w:color w:val="000000"/>
                <w:szCs w:val="22"/>
                <w:lang w:val="bg-BG"/>
              </w:rPr>
              <w:t>Редки</w:t>
            </w:r>
            <w:r w:rsidRPr="00FE6AC6">
              <w:rPr>
                <w:i/>
                <w:color w:val="000000"/>
                <w:szCs w:val="22"/>
              </w:rPr>
              <w:t>:</w:t>
            </w:r>
          </w:p>
        </w:tc>
        <w:tc>
          <w:tcPr>
            <w:tcW w:w="7087" w:type="dxa"/>
          </w:tcPr>
          <w:p w14:paraId="3E54FC5F" w14:textId="77777777" w:rsidR="00451EDF" w:rsidRPr="00FE6AC6" w:rsidRDefault="00451EDF" w:rsidP="0063575E">
            <w:pPr>
              <w:keepNext/>
              <w:widowControl w:val="0"/>
              <w:spacing w:line="240" w:lineRule="auto"/>
              <w:rPr>
                <w:color w:val="000000"/>
                <w:szCs w:val="22"/>
                <w:lang w:val="bg-BG"/>
              </w:rPr>
            </w:pPr>
            <w:r w:rsidRPr="00FE6AC6">
              <w:rPr>
                <w:color w:val="000000"/>
                <w:szCs w:val="22"/>
                <w:lang w:val="bg-BG"/>
              </w:rPr>
              <w:t>Тумор-лизис синдром</w:t>
            </w:r>
          </w:p>
        </w:tc>
      </w:tr>
      <w:tr w:rsidR="008C64DA" w:rsidRPr="00FE6AC6" w14:paraId="3E54FC63" w14:textId="77777777" w:rsidTr="008143B1">
        <w:trPr>
          <w:cantSplit/>
        </w:trPr>
        <w:tc>
          <w:tcPr>
            <w:tcW w:w="2235" w:type="dxa"/>
          </w:tcPr>
          <w:p w14:paraId="3E54FC61" w14:textId="77777777" w:rsidR="008C64DA" w:rsidRPr="00FE6AC6" w:rsidRDefault="008C64DA"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62" w14:textId="77777777" w:rsidR="008C64DA" w:rsidRPr="00FE6AC6" w:rsidRDefault="008C64DA" w:rsidP="0063575E">
            <w:pPr>
              <w:widowControl w:val="0"/>
              <w:spacing w:line="240" w:lineRule="auto"/>
              <w:rPr>
                <w:color w:val="000000"/>
                <w:szCs w:val="22"/>
                <w:lang w:val="bg-BG"/>
              </w:rPr>
            </w:pPr>
            <w:r w:rsidRPr="00FE6AC6">
              <w:rPr>
                <w:color w:val="000000"/>
                <w:szCs w:val="22"/>
                <w:lang w:val="bg-BG"/>
              </w:rPr>
              <w:t>Туморна хеморагия/ туморна некроза</w:t>
            </w:r>
            <w:r w:rsidRPr="00FE6AC6">
              <w:rPr>
                <w:color w:val="000000"/>
                <w:szCs w:val="22"/>
              </w:rPr>
              <w:t>*</w:t>
            </w:r>
          </w:p>
        </w:tc>
      </w:tr>
      <w:tr w:rsidR="007310BB" w:rsidRPr="00FE6AC6" w14:paraId="3E54FC65" w14:textId="77777777" w:rsidTr="008143B1">
        <w:trPr>
          <w:cantSplit/>
        </w:trPr>
        <w:tc>
          <w:tcPr>
            <w:tcW w:w="9322" w:type="dxa"/>
            <w:gridSpan w:val="2"/>
          </w:tcPr>
          <w:p w14:paraId="3E54FC64" w14:textId="77777777" w:rsidR="007310BB" w:rsidRPr="00FE6AC6" w:rsidRDefault="007310BB" w:rsidP="0063575E">
            <w:pPr>
              <w:keepNext/>
              <w:widowControl w:val="0"/>
              <w:spacing w:line="240" w:lineRule="auto"/>
              <w:rPr>
                <w:b/>
                <w:color w:val="000000"/>
                <w:szCs w:val="22"/>
                <w:lang w:val="bg-BG"/>
              </w:rPr>
            </w:pPr>
            <w:r w:rsidRPr="00FE6AC6">
              <w:rPr>
                <w:b/>
                <w:color w:val="000000"/>
                <w:szCs w:val="22"/>
                <w:lang w:val="bg-BG"/>
              </w:rPr>
              <w:t>Нарушения на имунната система</w:t>
            </w:r>
          </w:p>
        </w:tc>
      </w:tr>
      <w:tr w:rsidR="007310BB" w:rsidRPr="00FE6AC6" w14:paraId="3E54FC68" w14:textId="77777777" w:rsidTr="008143B1">
        <w:trPr>
          <w:cantSplit/>
        </w:trPr>
        <w:tc>
          <w:tcPr>
            <w:tcW w:w="2235" w:type="dxa"/>
          </w:tcPr>
          <w:p w14:paraId="3E54FC66" w14:textId="77777777" w:rsidR="007310BB" w:rsidRPr="00FE6AC6" w:rsidRDefault="007310BB"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67" w14:textId="77777777" w:rsidR="007310BB" w:rsidRPr="00FE6AC6" w:rsidRDefault="007310BB" w:rsidP="0063575E">
            <w:pPr>
              <w:widowControl w:val="0"/>
              <w:spacing w:line="240" w:lineRule="auto"/>
              <w:rPr>
                <w:color w:val="000000"/>
                <w:szCs w:val="22"/>
                <w:lang w:val="bg-BG"/>
              </w:rPr>
            </w:pPr>
            <w:r w:rsidRPr="00FE6AC6">
              <w:rPr>
                <w:color w:val="000000"/>
                <w:szCs w:val="22"/>
                <w:lang w:val="bg-BG"/>
              </w:rPr>
              <w:t>Анафилактичен шок</w:t>
            </w:r>
            <w:r w:rsidRPr="00FE6AC6">
              <w:rPr>
                <w:color w:val="000000"/>
                <w:szCs w:val="22"/>
              </w:rPr>
              <w:t>*</w:t>
            </w:r>
          </w:p>
        </w:tc>
      </w:tr>
      <w:tr w:rsidR="0051706F" w:rsidRPr="00FE6AC6" w14:paraId="3E54FC6A" w14:textId="77777777" w:rsidTr="008143B1">
        <w:trPr>
          <w:cantSplit/>
        </w:trPr>
        <w:tc>
          <w:tcPr>
            <w:tcW w:w="9322" w:type="dxa"/>
            <w:gridSpan w:val="2"/>
          </w:tcPr>
          <w:p w14:paraId="3E54FC69" w14:textId="77777777" w:rsidR="0051706F" w:rsidRPr="00FE6AC6" w:rsidRDefault="0051706F" w:rsidP="0063575E">
            <w:pPr>
              <w:keepNext/>
              <w:widowControl w:val="0"/>
              <w:spacing w:line="240" w:lineRule="auto"/>
              <w:rPr>
                <w:color w:val="000000"/>
                <w:lang w:val="ru-RU"/>
              </w:rPr>
            </w:pPr>
            <w:r w:rsidRPr="00FE6AC6">
              <w:rPr>
                <w:b/>
                <w:color w:val="000000"/>
                <w:szCs w:val="22"/>
                <w:lang w:val="ru-RU"/>
              </w:rPr>
              <w:t>Нарушения на кръвта и лимфната система</w:t>
            </w:r>
          </w:p>
        </w:tc>
      </w:tr>
      <w:tr w:rsidR="0051706F" w:rsidRPr="00FE6AC6" w14:paraId="3E54FC6D" w14:textId="77777777" w:rsidTr="008143B1">
        <w:trPr>
          <w:cantSplit/>
        </w:trPr>
        <w:tc>
          <w:tcPr>
            <w:tcW w:w="2235" w:type="dxa"/>
          </w:tcPr>
          <w:p w14:paraId="3E54FC6B" w14:textId="77777777" w:rsidR="0051706F" w:rsidRPr="00FE6AC6" w:rsidRDefault="0051706F"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4FC6C" w14:textId="77777777" w:rsidR="0051706F" w:rsidRPr="00FE6AC6" w:rsidRDefault="0051706F" w:rsidP="0063575E">
            <w:pPr>
              <w:keepNext/>
              <w:widowControl w:val="0"/>
              <w:spacing w:line="240" w:lineRule="auto"/>
              <w:rPr>
                <w:color w:val="000000"/>
              </w:rPr>
            </w:pPr>
            <w:r w:rsidRPr="00FE6AC6">
              <w:rPr>
                <w:color w:val="000000"/>
                <w:szCs w:val="22"/>
                <w:lang w:val="bg-BG"/>
              </w:rPr>
              <w:t>Неутропения</w:t>
            </w:r>
            <w:r w:rsidRPr="00FE6AC6">
              <w:rPr>
                <w:color w:val="000000"/>
                <w:szCs w:val="22"/>
              </w:rPr>
              <w:t xml:space="preserve">, </w:t>
            </w:r>
            <w:r w:rsidRPr="00FE6AC6">
              <w:rPr>
                <w:color w:val="000000"/>
                <w:szCs w:val="22"/>
                <w:lang w:val="bg-BG"/>
              </w:rPr>
              <w:t>тромбоцитопения</w:t>
            </w:r>
            <w:r w:rsidRPr="00FE6AC6">
              <w:rPr>
                <w:color w:val="000000"/>
                <w:szCs w:val="22"/>
              </w:rPr>
              <w:t xml:space="preserve">, </w:t>
            </w:r>
            <w:r w:rsidRPr="00FE6AC6">
              <w:rPr>
                <w:color w:val="000000"/>
                <w:szCs w:val="22"/>
                <w:lang w:val="bg-BG"/>
              </w:rPr>
              <w:t>анемия</w:t>
            </w:r>
          </w:p>
        </w:tc>
      </w:tr>
      <w:tr w:rsidR="0051706F" w:rsidRPr="00FE6AC6" w14:paraId="3E54FC70" w14:textId="77777777" w:rsidTr="008143B1">
        <w:trPr>
          <w:cantSplit/>
        </w:trPr>
        <w:tc>
          <w:tcPr>
            <w:tcW w:w="2235" w:type="dxa"/>
          </w:tcPr>
          <w:p w14:paraId="3E54FC6E" w14:textId="77777777" w:rsidR="0051706F" w:rsidRPr="00FE6AC6" w:rsidRDefault="0051706F"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4FC6F" w14:textId="77777777" w:rsidR="0051706F" w:rsidRPr="00FE6AC6" w:rsidRDefault="0051706F" w:rsidP="0063575E">
            <w:pPr>
              <w:keepNext/>
              <w:widowControl w:val="0"/>
              <w:spacing w:line="240" w:lineRule="auto"/>
              <w:rPr>
                <w:color w:val="000000"/>
              </w:rPr>
            </w:pPr>
            <w:r w:rsidRPr="00FE6AC6">
              <w:rPr>
                <w:color w:val="000000"/>
                <w:szCs w:val="22"/>
                <w:lang w:val="bg-BG"/>
              </w:rPr>
              <w:t>Панцитопения</w:t>
            </w:r>
            <w:r w:rsidRPr="00FE6AC6">
              <w:rPr>
                <w:color w:val="000000"/>
                <w:szCs w:val="22"/>
              </w:rPr>
              <w:t xml:space="preserve">, </w:t>
            </w:r>
            <w:r w:rsidRPr="00FE6AC6">
              <w:rPr>
                <w:color w:val="000000"/>
                <w:szCs w:val="22"/>
                <w:lang w:val="bg-BG"/>
              </w:rPr>
              <w:t>фебрилна неутропения</w:t>
            </w:r>
          </w:p>
        </w:tc>
      </w:tr>
      <w:tr w:rsidR="0051706F" w:rsidRPr="00FE6AC6" w14:paraId="3E54FC73" w14:textId="77777777" w:rsidTr="008143B1">
        <w:trPr>
          <w:cantSplit/>
        </w:trPr>
        <w:tc>
          <w:tcPr>
            <w:tcW w:w="2235" w:type="dxa"/>
          </w:tcPr>
          <w:p w14:paraId="3E54FC71" w14:textId="77777777" w:rsidR="0051706F" w:rsidRPr="00FE6AC6" w:rsidRDefault="0051706F"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C72"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Тромбоцитемия</w:t>
            </w:r>
            <w:r w:rsidRPr="00FE6AC6">
              <w:rPr>
                <w:color w:val="000000"/>
                <w:szCs w:val="22"/>
                <w:lang w:val="ru-RU"/>
              </w:rPr>
              <w:t xml:space="preserve">, </w:t>
            </w:r>
            <w:r w:rsidRPr="00FE6AC6">
              <w:rPr>
                <w:color w:val="000000"/>
                <w:szCs w:val="22"/>
                <w:lang w:val="bg-BG"/>
              </w:rPr>
              <w:t>лимфопения</w:t>
            </w:r>
            <w:r w:rsidRPr="00FE6AC6">
              <w:rPr>
                <w:color w:val="000000"/>
                <w:szCs w:val="22"/>
                <w:lang w:val="ru-RU"/>
              </w:rPr>
              <w:t xml:space="preserve">, </w:t>
            </w:r>
            <w:r w:rsidRPr="00FE6AC6">
              <w:rPr>
                <w:color w:val="000000"/>
                <w:szCs w:val="22"/>
                <w:lang w:val="bg-BG"/>
              </w:rPr>
              <w:t>потискане на костния мозък</w:t>
            </w:r>
            <w:r w:rsidRPr="00FE6AC6">
              <w:rPr>
                <w:color w:val="000000"/>
                <w:szCs w:val="22"/>
                <w:lang w:val="ru-RU"/>
              </w:rPr>
              <w:t xml:space="preserve">, </w:t>
            </w:r>
            <w:r w:rsidRPr="00FE6AC6">
              <w:rPr>
                <w:color w:val="000000"/>
                <w:szCs w:val="22"/>
                <w:lang w:val="bg-BG"/>
              </w:rPr>
              <w:t>еозинофилия</w:t>
            </w:r>
            <w:r w:rsidRPr="00FE6AC6">
              <w:rPr>
                <w:color w:val="000000"/>
                <w:szCs w:val="22"/>
                <w:lang w:val="ru-RU"/>
              </w:rPr>
              <w:t xml:space="preserve">, </w:t>
            </w:r>
            <w:r w:rsidRPr="00FE6AC6">
              <w:rPr>
                <w:color w:val="000000"/>
                <w:szCs w:val="22"/>
                <w:lang w:val="bg-BG"/>
              </w:rPr>
              <w:t>лимфаденопатия</w:t>
            </w:r>
          </w:p>
        </w:tc>
      </w:tr>
      <w:tr w:rsidR="0051706F" w:rsidRPr="00FE6AC6" w14:paraId="3E54FC76" w14:textId="77777777" w:rsidTr="008143B1">
        <w:trPr>
          <w:cantSplit/>
        </w:trPr>
        <w:tc>
          <w:tcPr>
            <w:tcW w:w="2235" w:type="dxa"/>
          </w:tcPr>
          <w:p w14:paraId="3E54FC74" w14:textId="77777777" w:rsidR="0051706F" w:rsidRPr="00FE6AC6" w:rsidRDefault="0051706F" w:rsidP="0063575E">
            <w:pPr>
              <w:widowControl w:val="0"/>
              <w:spacing w:line="240" w:lineRule="auto"/>
              <w:rPr>
                <w:i/>
                <w:color w:val="000000"/>
              </w:rPr>
            </w:pPr>
            <w:r w:rsidRPr="00FE6AC6">
              <w:rPr>
                <w:i/>
                <w:color w:val="000000"/>
                <w:lang w:val="bg-BG"/>
              </w:rPr>
              <w:t>Редки</w:t>
            </w:r>
            <w:r w:rsidRPr="00FE6AC6">
              <w:rPr>
                <w:i/>
                <w:color w:val="000000"/>
              </w:rPr>
              <w:t>:</w:t>
            </w:r>
          </w:p>
        </w:tc>
        <w:tc>
          <w:tcPr>
            <w:tcW w:w="7087" w:type="dxa"/>
          </w:tcPr>
          <w:p w14:paraId="3E54FC75" w14:textId="77777777" w:rsidR="0051706F" w:rsidRPr="00FE6AC6" w:rsidRDefault="0051706F" w:rsidP="0063575E">
            <w:pPr>
              <w:widowControl w:val="0"/>
              <w:spacing w:line="240" w:lineRule="auto"/>
              <w:rPr>
                <w:color w:val="000000"/>
              </w:rPr>
            </w:pPr>
            <w:r w:rsidRPr="00FE6AC6">
              <w:rPr>
                <w:color w:val="000000"/>
                <w:lang w:val="bg-BG"/>
              </w:rPr>
              <w:t>Хемолитична анемия</w:t>
            </w:r>
            <w:r w:rsidR="00026816" w:rsidRPr="00FE6AC6">
              <w:rPr>
                <w:color w:val="000000"/>
                <w:lang w:val="bg-BG"/>
              </w:rPr>
              <w:t>, тромботична микроангиопатия</w:t>
            </w:r>
          </w:p>
        </w:tc>
      </w:tr>
      <w:tr w:rsidR="00481497" w:rsidRPr="00FE6AC6" w14:paraId="3E54FC78" w14:textId="77777777" w:rsidTr="008143B1">
        <w:trPr>
          <w:cantSplit/>
        </w:trPr>
        <w:tc>
          <w:tcPr>
            <w:tcW w:w="9322" w:type="dxa"/>
            <w:gridSpan w:val="2"/>
          </w:tcPr>
          <w:p w14:paraId="3E54FC77" w14:textId="77777777" w:rsidR="00481497" w:rsidRPr="00FE6AC6" w:rsidRDefault="00481497" w:rsidP="0063575E">
            <w:pPr>
              <w:keepNext/>
              <w:widowControl w:val="0"/>
              <w:spacing w:line="240" w:lineRule="auto"/>
              <w:rPr>
                <w:color w:val="000000"/>
                <w:szCs w:val="22"/>
                <w:lang w:val="ru-RU"/>
              </w:rPr>
            </w:pPr>
            <w:r w:rsidRPr="00FE6AC6">
              <w:rPr>
                <w:b/>
                <w:color w:val="000000"/>
                <w:szCs w:val="22"/>
                <w:lang w:val="ru-RU"/>
              </w:rPr>
              <w:t>Нарушения на метаболизма и храненето</w:t>
            </w:r>
          </w:p>
        </w:tc>
      </w:tr>
      <w:tr w:rsidR="00481497" w:rsidRPr="00FE6AC6" w14:paraId="3E54FC7B" w14:textId="77777777" w:rsidTr="008143B1">
        <w:trPr>
          <w:cantSplit/>
        </w:trPr>
        <w:tc>
          <w:tcPr>
            <w:tcW w:w="2235" w:type="dxa"/>
          </w:tcPr>
          <w:p w14:paraId="3E54FC79" w14:textId="77777777" w:rsidR="00481497" w:rsidRPr="00FE6AC6" w:rsidRDefault="00481497"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4FC7A" w14:textId="77777777" w:rsidR="00481497" w:rsidRPr="00FE6AC6" w:rsidRDefault="00481497" w:rsidP="0063575E">
            <w:pPr>
              <w:keepNext/>
              <w:widowControl w:val="0"/>
              <w:spacing w:line="240" w:lineRule="auto"/>
              <w:rPr>
                <w:color w:val="000000"/>
                <w:szCs w:val="22"/>
              </w:rPr>
            </w:pPr>
            <w:r w:rsidRPr="00FE6AC6">
              <w:rPr>
                <w:color w:val="000000"/>
                <w:szCs w:val="22"/>
                <w:lang w:val="bg-BG"/>
              </w:rPr>
              <w:t>Анорексия</w:t>
            </w:r>
          </w:p>
        </w:tc>
      </w:tr>
      <w:tr w:rsidR="00481497" w:rsidRPr="00FE6AC6" w14:paraId="3E54FC7E" w14:textId="77777777" w:rsidTr="008143B1">
        <w:trPr>
          <w:cantSplit/>
        </w:trPr>
        <w:tc>
          <w:tcPr>
            <w:tcW w:w="2235" w:type="dxa"/>
          </w:tcPr>
          <w:p w14:paraId="3E54FC7C" w14:textId="77777777" w:rsidR="00481497" w:rsidRPr="00FE6AC6" w:rsidRDefault="00481497"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4FC7D" w14:textId="77777777" w:rsidR="00481497" w:rsidRPr="00FE6AC6" w:rsidRDefault="00481497" w:rsidP="0063575E">
            <w:pPr>
              <w:keepNext/>
              <w:widowControl w:val="0"/>
              <w:spacing w:line="240" w:lineRule="auto"/>
              <w:rPr>
                <w:color w:val="000000"/>
                <w:szCs w:val="22"/>
              </w:rPr>
            </w:pPr>
            <w:r w:rsidRPr="00FE6AC6">
              <w:rPr>
                <w:color w:val="000000"/>
                <w:szCs w:val="22"/>
                <w:lang w:val="bg-BG"/>
              </w:rPr>
              <w:t>Хипокал</w:t>
            </w:r>
            <w:r w:rsidR="009D4668" w:rsidRPr="00FE6AC6">
              <w:rPr>
                <w:color w:val="000000"/>
                <w:szCs w:val="22"/>
                <w:lang w:val="bg-BG"/>
              </w:rPr>
              <w:t>и</w:t>
            </w:r>
            <w:r w:rsidRPr="00FE6AC6">
              <w:rPr>
                <w:color w:val="000000"/>
                <w:szCs w:val="22"/>
                <w:lang w:val="bg-BG"/>
              </w:rPr>
              <w:t>емия</w:t>
            </w:r>
            <w:r w:rsidRPr="00FE6AC6">
              <w:rPr>
                <w:color w:val="000000"/>
                <w:szCs w:val="22"/>
              </w:rPr>
              <w:t xml:space="preserve">, </w:t>
            </w:r>
            <w:r w:rsidRPr="00FE6AC6">
              <w:rPr>
                <w:color w:val="000000"/>
                <w:szCs w:val="22"/>
                <w:lang w:val="bg-BG"/>
              </w:rPr>
              <w:t>повишен апетит</w:t>
            </w:r>
            <w:r w:rsidRPr="00FE6AC6">
              <w:rPr>
                <w:color w:val="000000"/>
                <w:szCs w:val="22"/>
              </w:rPr>
              <w:t xml:space="preserve">, </w:t>
            </w:r>
            <w:r w:rsidRPr="00FE6AC6">
              <w:rPr>
                <w:color w:val="000000"/>
                <w:szCs w:val="22"/>
                <w:lang w:val="bg-BG"/>
              </w:rPr>
              <w:t>хипофосфатемия</w:t>
            </w:r>
            <w:r w:rsidRPr="00FE6AC6">
              <w:rPr>
                <w:color w:val="000000"/>
                <w:szCs w:val="22"/>
              </w:rPr>
              <w:t xml:space="preserve">, </w:t>
            </w:r>
            <w:r w:rsidRPr="00FE6AC6">
              <w:rPr>
                <w:color w:val="000000"/>
                <w:szCs w:val="22"/>
                <w:lang w:val="bg-BG"/>
              </w:rPr>
              <w:t>понижен апетит</w:t>
            </w:r>
            <w:r w:rsidRPr="00FE6AC6">
              <w:rPr>
                <w:color w:val="000000"/>
                <w:szCs w:val="22"/>
              </w:rPr>
              <w:t xml:space="preserve">, </w:t>
            </w:r>
            <w:r w:rsidRPr="00FE6AC6">
              <w:rPr>
                <w:color w:val="000000"/>
                <w:szCs w:val="22"/>
                <w:lang w:val="bg-BG"/>
              </w:rPr>
              <w:t>дехидратация</w:t>
            </w:r>
            <w:r w:rsidRPr="00FE6AC6">
              <w:rPr>
                <w:color w:val="000000"/>
                <w:szCs w:val="22"/>
              </w:rPr>
              <w:t xml:space="preserve">, </w:t>
            </w:r>
            <w:r w:rsidRPr="00FE6AC6">
              <w:rPr>
                <w:color w:val="000000"/>
                <w:szCs w:val="22"/>
                <w:lang w:val="bg-BG"/>
              </w:rPr>
              <w:t>подагра</w:t>
            </w:r>
            <w:r w:rsidRPr="00FE6AC6">
              <w:rPr>
                <w:color w:val="000000"/>
                <w:szCs w:val="22"/>
              </w:rPr>
              <w:t xml:space="preserve">, </w:t>
            </w:r>
            <w:r w:rsidRPr="00FE6AC6">
              <w:rPr>
                <w:color w:val="000000"/>
                <w:szCs w:val="22"/>
                <w:lang w:val="bg-BG"/>
              </w:rPr>
              <w:t>хиперурикемия</w:t>
            </w:r>
            <w:r w:rsidRPr="00FE6AC6">
              <w:rPr>
                <w:color w:val="000000"/>
                <w:szCs w:val="22"/>
              </w:rPr>
              <w:t xml:space="preserve">, </w:t>
            </w:r>
            <w:r w:rsidRPr="00FE6AC6">
              <w:rPr>
                <w:color w:val="000000"/>
                <w:szCs w:val="22"/>
                <w:lang w:val="bg-BG"/>
              </w:rPr>
              <w:t>хиперкалц</w:t>
            </w:r>
            <w:r w:rsidR="009D4668" w:rsidRPr="00FE6AC6">
              <w:rPr>
                <w:color w:val="000000"/>
                <w:szCs w:val="22"/>
                <w:lang w:val="bg-BG"/>
              </w:rPr>
              <w:t>и</w:t>
            </w:r>
            <w:r w:rsidRPr="00FE6AC6">
              <w:rPr>
                <w:color w:val="000000"/>
                <w:szCs w:val="22"/>
                <w:lang w:val="bg-BG"/>
              </w:rPr>
              <w:t>емия</w:t>
            </w:r>
            <w:r w:rsidRPr="00FE6AC6">
              <w:rPr>
                <w:color w:val="000000"/>
                <w:szCs w:val="22"/>
              </w:rPr>
              <w:t xml:space="preserve">, </w:t>
            </w:r>
            <w:r w:rsidRPr="00FE6AC6">
              <w:rPr>
                <w:color w:val="000000"/>
                <w:szCs w:val="22"/>
                <w:lang w:val="bg-BG"/>
              </w:rPr>
              <w:t>хипергликемия</w:t>
            </w:r>
            <w:r w:rsidRPr="00FE6AC6">
              <w:rPr>
                <w:color w:val="000000"/>
                <w:szCs w:val="22"/>
              </w:rPr>
              <w:t xml:space="preserve">, </w:t>
            </w:r>
            <w:r w:rsidRPr="00FE6AC6">
              <w:rPr>
                <w:color w:val="000000"/>
                <w:szCs w:val="22"/>
                <w:lang w:val="bg-BG"/>
              </w:rPr>
              <w:t>хипонатр</w:t>
            </w:r>
            <w:r w:rsidR="009D4668" w:rsidRPr="00FE6AC6">
              <w:rPr>
                <w:color w:val="000000"/>
                <w:szCs w:val="22"/>
                <w:lang w:val="bg-BG"/>
              </w:rPr>
              <w:t>и</w:t>
            </w:r>
            <w:r w:rsidRPr="00FE6AC6">
              <w:rPr>
                <w:color w:val="000000"/>
                <w:szCs w:val="22"/>
                <w:lang w:val="bg-BG"/>
              </w:rPr>
              <w:t>емия</w:t>
            </w:r>
          </w:p>
        </w:tc>
      </w:tr>
      <w:tr w:rsidR="00481497" w:rsidRPr="00FE6AC6" w14:paraId="3E54FC81" w14:textId="77777777" w:rsidTr="008143B1">
        <w:trPr>
          <w:cantSplit/>
        </w:trPr>
        <w:tc>
          <w:tcPr>
            <w:tcW w:w="2235" w:type="dxa"/>
          </w:tcPr>
          <w:p w14:paraId="3E54FC7F" w14:textId="77777777" w:rsidR="00481497" w:rsidRPr="00FE6AC6" w:rsidRDefault="00481497" w:rsidP="0063575E">
            <w:pPr>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4FC80" w14:textId="77777777" w:rsidR="00481497" w:rsidRPr="00FE6AC6" w:rsidRDefault="00481497" w:rsidP="0063575E">
            <w:pPr>
              <w:widowControl w:val="0"/>
              <w:spacing w:line="240" w:lineRule="auto"/>
              <w:rPr>
                <w:color w:val="000000"/>
                <w:szCs w:val="22"/>
                <w:lang w:val="pt-PT"/>
              </w:rPr>
            </w:pPr>
            <w:r w:rsidRPr="00FE6AC6">
              <w:rPr>
                <w:color w:val="000000"/>
                <w:szCs w:val="22"/>
                <w:lang w:val="bg-BG"/>
              </w:rPr>
              <w:t>Хиперкал</w:t>
            </w:r>
            <w:r w:rsidR="009D4668" w:rsidRPr="00FE6AC6">
              <w:rPr>
                <w:color w:val="000000"/>
                <w:szCs w:val="22"/>
                <w:lang w:val="bg-BG"/>
              </w:rPr>
              <w:t>и</w:t>
            </w:r>
            <w:r w:rsidRPr="00FE6AC6">
              <w:rPr>
                <w:color w:val="000000"/>
                <w:szCs w:val="22"/>
                <w:lang w:val="bg-BG"/>
              </w:rPr>
              <w:t>емия</w:t>
            </w:r>
            <w:r w:rsidRPr="00FE6AC6">
              <w:rPr>
                <w:color w:val="000000"/>
                <w:szCs w:val="22"/>
              </w:rPr>
              <w:t xml:space="preserve">, </w:t>
            </w:r>
            <w:r w:rsidRPr="00FE6AC6">
              <w:rPr>
                <w:color w:val="000000"/>
                <w:szCs w:val="22"/>
                <w:lang w:val="bg-BG"/>
              </w:rPr>
              <w:t>хипомагнез</w:t>
            </w:r>
            <w:r w:rsidR="009D4668" w:rsidRPr="00FE6AC6">
              <w:rPr>
                <w:color w:val="000000"/>
                <w:szCs w:val="22"/>
                <w:lang w:val="bg-BG"/>
              </w:rPr>
              <w:t>и</w:t>
            </w:r>
            <w:r w:rsidRPr="00FE6AC6">
              <w:rPr>
                <w:color w:val="000000"/>
                <w:szCs w:val="22"/>
                <w:lang w:val="bg-BG"/>
              </w:rPr>
              <w:t>емия</w:t>
            </w:r>
          </w:p>
        </w:tc>
      </w:tr>
      <w:tr w:rsidR="006A70B2" w:rsidRPr="00FE6AC6" w14:paraId="3E54FC83" w14:textId="77777777" w:rsidTr="008143B1">
        <w:trPr>
          <w:cantSplit/>
        </w:trPr>
        <w:tc>
          <w:tcPr>
            <w:tcW w:w="9322" w:type="dxa"/>
            <w:gridSpan w:val="2"/>
          </w:tcPr>
          <w:p w14:paraId="3E54FC82" w14:textId="77777777" w:rsidR="006A70B2" w:rsidRPr="00FE6AC6" w:rsidRDefault="006A70B2" w:rsidP="0063575E">
            <w:pPr>
              <w:keepNext/>
              <w:widowControl w:val="0"/>
              <w:spacing w:line="240" w:lineRule="auto"/>
              <w:rPr>
                <w:color w:val="000000"/>
                <w:szCs w:val="22"/>
              </w:rPr>
            </w:pPr>
            <w:r w:rsidRPr="00FE6AC6">
              <w:rPr>
                <w:b/>
                <w:color w:val="000000"/>
                <w:szCs w:val="22"/>
              </w:rPr>
              <w:t>Психични нарушения</w:t>
            </w:r>
          </w:p>
        </w:tc>
      </w:tr>
      <w:tr w:rsidR="006A70B2" w:rsidRPr="00FE6AC6" w14:paraId="3E54FC86" w14:textId="77777777" w:rsidTr="008143B1">
        <w:trPr>
          <w:cantSplit/>
        </w:trPr>
        <w:tc>
          <w:tcPr>
            <w:tcW w:w="2235" w:type="dxa"/>
          </w:tcPr>
          <w:p w14:paraId="3E54FC84" w14:textId="77777777" w:rsidR="006A70B2" w:rsidRPr="00FE6AC6" w:rsidRDefault="006A70B2"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4FC85" w14:textId="77777777" w:rsidR="006A70B2" w:rsidRPr="00FE6AC6" w:rsidRDefault="006A70B2" w:rsidP="0063575E">
            <w:pPr>
              <w:keepNext/>
              <w:widowControl w:val="0"/>
              <w:spacing w:line="240" w:lineRule="auto"/>
              <w:rPr>
                <w:color w:val="000000"/>
                <w:szCs w:val="22"/>
              </w:rPr>
            </w:pPr>
            <w:r w:rsidRPr="00FE6AC6">
              <w:rPr>
                <w:color w:val="000000"/>
                <w:szCs w:val="22"/>
                <w:lang w:val="bg-BG"/>
              </w:rPr>
              <w:t>Безсъние</w:t>
            </w:r>
          </w:p>
        </w:tc>
      </w:tr>
      <w:tr w:rsidR="006A70B2" w:rsidRPr="00FE6AC6" w14:paraId="3E54FC89" w14:textId="77777777" w:rsidTr="008143B1">
        <w:trPr>
          <w:cantSplit/>
        </w:trPr>
        <w:tc>
          <w:tcPr>
            <w:tcW w:w="2235" w:type="dxa"/>
          </w:tcPr>
          <w:p w14:paraId="3E54FC87" w14:textId="77777777" w:rsidR="006A70B2" w:rsidRPr="00FE6AC6" w:rsidRDefault="006A70B2"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4FC88" w14:textId="77777777" w:rsidR="006A70B2" w:rsidRPr="00FE6AC6" w:rsidRDefault="006A70B2" w:rsidP="0063575E">
            <w:pPr>
              <w:keepNext/>
              <w:widowControl w:val="0"/>
              <w:spacing w:line="240" w:lineRule="auto"/>
              <w:rPr>
                <w:color w:val="000000"/>
                <w:szCs w:val="22"/>
              </w:rPr>
            </w:pPr>
            <w:r w:rsidRPr="00FE6AC6">
              <w:rPr>
                <w:color w:val="000000"/>
                <w:szCs w:val="22"/>
                <w:lang w:val="bg-BG"/>
              </w:rPr>
              <w:t>Депресия</w:t>
            </w:r>
            <w:r w:rsidRPr="00FE6AC6">
              <w:rPr>
                <w:color w:val="000000"/>
                <w:szCs w:val="22"/>
              </w:rPr>
              <w:t xml:space="preserve">, </w:t>
            </w:r>
            <w:r w:rsidRPr="00FE6AC6">
              <w:rPr>
                <w:color w:val="000000"/>
                <w:szCs w:val="22"/>
                <w:lang w:val="bg-BG"/>
              </w:rPr>
              <w:t>понижено либидо</w:t>
            </w:r>
            <w:r w:rsidRPr="00FE6AC6">
              <w:rPr>
                <w:color w:val="000000"/>
                <w:szCs w:val="22"/>
              </w:rPr>
              <w:t xml:space="preserve">, </w:t>
            </w:r>
            <w:r w:rsidRPr="00FE6AC6">
              <w:rPr>
                <w:color w:val="000000"/>
                <w:szCs w:val="22"/>
                <w:lang w:val="bg-BG"/>
              </w:rPr>
              <w:t>тревожност</w:t>
            </w:r>
          </w:p>
        </w:tc>
      </w:tr>
      <w:tr w:rsidR="006A70B2" w:rsidRPr="00FE6AC6" w14:paraId="3E54FC8C" w14:textId="77777777" w:rsidTr="008143B1">
        <w:trPr>
          <w:cantSplit/>
        </w:trPr>
        <w:tc>
          <w:tcPr>
            <w:tcW w:w="2235" w:type="dxa"/>
          </w:tcPr>
          <w:p w14:paraId="3E54FC8A" w14:textId="77777777" w:rsidR="006A70B2" w:rsidRPr="00FE6AC6" w:rsidRDefault="006A70B2" w:rsidP="0063575E">
            <w:pPr>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4FC8B" w14:textId="77777777" w:rsidR="006A70B2" w:rsidRPr="00FE6AC6" w:rsidRDefault="006A70B2" w:rsidP="0063575E">
            <w:pPr>
              <w:widowControl w:val="0"/>
              <w:spacing w:line="240" w:lineRule="auto"/>
              <w:rPr>
                <w:color w:val="000000"/>
                <w:szCs w:val="22"/>
              </w:rPr>
            </w:pPr>
            <w:r w:rsidRPr="00FE6AC6">
              <w:rPr>
                <w:color w:val="000000"/>
                <w:szCs w:val="22"/>
                <w:lang w:val="bg-BG"/>
              </w:rPr>
              <w:t>Обърканост</w:t>
            </w:r>
          </w:p>
        </w:tc>
      </w:tr>
      <w:tr w:rsidR="0051706F" w:rsidRPr="00FE6AC6" w14:paraId="3E54FC8E" w14:textId="77777777" w:rsidTr="008143B1">
        <w:trPr>
          <w:cantSplit/>
        </w:trPr>
        <w:tc>
          <w:tcPr>
            <w:tcW w:w="9322" w:type="dxa"/>
            <w:gridSpan w:val="2"/>
          </w:tcPr>
          <w:p w14:paraId="3E54FC8D" w14:textId="77777777" w:rsidR="0051706F" w:rsidRPr="00FE6AC6" w:rsidRDefault="0051706F" w:rsidP="0063575E">
            <w:pPr>
              <w:keepNext/>
              <w:widowControl w:val="0"/>
              <w:spacing w:line="240" w:lineRule="auto"/>
              <w:rPr>
                <w:color w:val="000000"/>
              </w:rPr>
            </w:pPr>
            <w:r w:rsidRPr="00FE6AC6">
              <w:rPr>
                <w:b/>
                <w:color w:val="000000"/>
                <w:szCs w:val="22"/>
              </w:rPr>
              <w:lastRenderedPageBreak/>
              <w:t>Нарушения</w:t>
            </w:r>
            <w:r w:rsidRPr="00FE6AC6">
              <w:rPr>
                <w:b/>
                <w:color w:val="000000"/>
                <w:szCs w:val="22"/>
                <w:lang w:val="da-DK"/>
              </w:rPr>
              <w:t xml:space="preserve"> </w:t>
            </w:r>
            <w:r w:rsidRPr="00FE6AC6">
              <w:rPr>
                <w:b/>
                <w:color w:val="000000"/>
                <w:szCs w:val="22"/>
              </w:rPr>
              <w:t>на</w:t>
            </w:r>
            <w:r w:rsidRPr="00FE6AC6">
              <w:rPr>
                <w:b/>
                <w:color w:val="000000"/>
                <w:szCs w:val="22"/>
                <w:lang w:val="da-DK"/>
              </w:rPr>
              <w:t xml:space="preserve"> </w:t>
            </w:r>
            <w:r w:rsidRPr="00FE6AC6">
              <w:rPr>
                <w:b/>
                <w:color w:val="000000"/>
                <w:szCs w:val="22"/>
              </w:rPr>
              <w:t>нервната</w:t>
            </w:r>
            <w:r w:rsidRPr="00FE6AC6">
              <w:rPr>
                <w:b/>
                <w:color w:val="000000"/>
                <w:szCs w:val="22"/>
                <w:lang w:val="da-DK"/>
              </w:rPr>
              <w:t xml:space="preserve"> </w:t>
            </w:r>
            <w:r w:rsidRPr="00FE6AC6">
              <w:rPr>
                <w:b/>
                <w:color w:val="000000"/>
                <w:szCs w:val="22"/>
              </w:rPr>
              <w:t>система</w:t>
            </w:r>
          </w:p>
        </w:tc>
      </w:tr>
      <w:tr w:rsidR="0051706F" w:rsidRPr="00FE6AC6" w14:paraId="3E54FC91" w14:textId="77777777" w:rsidTr="008143B1">
        <w:trPr>
          <w:cantSplit/>
        </w:trPr>
        <w:tc>
          <w:tcPr>
            <w:tcW w:w="2235" w:type="dxa"/>
          </w:tcPr>
          <w:p w14:paraId="3E54FC8F" w14:textId="77777777" w:rsidR="0051706F" w:rsidRPr="00FE6AC6" w:rsidRDefault="0051706F"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4FC90" w14:textId="77777777" w:rsidR="0051706F" w:rsidRPr="00FE6AC6" w:rsidRDefault="0051706F" w:rsidP="0063575E">
            <w:pPr>
              <w:keepNext/>
              <w:widowControl w:val="0"/>
              <w:spacing w:line="240" w:lineRule="auto"/>
              <w:rPr>
                <w:color w:val="000000"/>
              </w:rPr>
            </w:pPr>
            <w:r w:rsidRPr="00FE6AC6">
              <w:rPr>
                <w:color w:val="000000"/>
                <w:szCs w:val="22"/>
                <w:lang w:val="bg-BG"/>
              </w:rPr>
              <w:t>Главоболие</w:t>
            </w:r>
            <w:r w:rsidRPr="00FE6AC6">
              <w:rPr>
                <w:color w:val="000000"/>
                <w:szCs w:val="22"/>
                <w:vertAlign w:val="superscript"/>
              </w:rPr>
              <w:t>2</w:t>
            </w:r>
          </w:p>
        </w:tc>
      </w:tr>
      <w:tr w:rsidR="0051706F" w:rsidRPr="00FE6AC6" w14:paraId="3E54FC94" w14:textId="77777777" w:rsidTr="008143B1">
        <w:trPr>
          <w:cantSplit/>
        </w:trPr>
        <w:tc>
          <w:tcPr>
            <w:tcW w:w="2235" w:type="dxa"/>
          </w:tcPr>
          <w:p w14:paraId="3E54FC92" w14:textId="77777777" w:rsidR="0051706F" w:rsidRPr="00FE6AC6" w:rsidRDefault="0051706F"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4FC93" w14:textId="77777777" w:rsidR="0051706F" w:rsidRPr="00FE6AC6" w:rsidRDefault="0051706F" w:rsidP="0063575E">
            <w:pPr>
              <w:keepNext/>
              <w:widowControl w:val="0"/>
              <w:spacing w:line="240" w:lineRule="auto"/>
              <w:rPr>
                <w:color w:val="000000"/>
                <w:szCs w:val="22"/>
                <w:lang w:val="ru-RU"/>
              </w:rPr>
            </w:pPr>
            <w:r w:rsidRPr="00FE6AC6">
              <w:rPr>
                <w:color w:val="000000"/>
                <w:szCs w:val="22"/>
                <w:lang w:val="bg-BG"/>
              </w:rPr>
              <w:t>Замаяност</w:t>
            </w:r>
            <w:r w:rsidRPr="00FE6AC6">
              <w:rPr>
                <w:color w:val="000000"/>
                <w:szCs w:val="22"/>
                <w:lang w:val="ru-RU"/>
              </w:rPr>
              <w:t xml:space="preserve">, </w:t>
            </w:r>
            <w:r w:rsidRPr="00FE6AC6">
              <w:rPr>
                <w:color w:val="000000"/>
                <w:szCs w:val="22"/>
                <w:lang w:val="bg-BG"/>
              </w:rPr>
              <w:t>парестезия</w:t>
            </w:r>
            <w:r w:rsidRPr="00FE6AC6">
              <w:rPr>
                <w:color w:val="000000"/>
                <w:szCs w:val="22"/>
                <w:lang w:val="ru-RU"/>
              </w:rPr>
              <w:t xml:space="preserve">, </w:t>
            </w:r>
            <w:r w:rsidRPr="00FE6AC6">
              <w:rPr>
                <w:color w:val="000000"/>
                <w:szCs w:val="22"/>
                <w:lang w:val="bg-BG"/>
              </w:rPr>
              <w:t>нарушения във вкуса</w:t>
            </w:r>
            <w:r w:rsidRPr="00FE6AC6">
              <w:rPr>
                <w:color w:val="000000"/>
                <w:szCs w:val="22"/>
                <w:lang w:val="ru-RU"/>
              </w:rPr>
              <w:t xml:space="preserve">, </w:t>
            </w:r>
            <w:r w:rsidRPr="00FE6AC6">
              <w:rPr>
                <w:color w:val="000000"/>
                <w:szCs w:val="22"/>
                <w:lang w:val="bg-BG"/>
              </w:rPr>
              <w:t>хипоестезия</w:t>
            </w:r>
          </w:p>
        </w:tc>
      </w:tr>
      <w:tr w:rsidR="0051706F" w:rsidRPr="00FE6AC6" w14:paraId="3E54FC97" w14:textId="77777777" w:rsidTr="008143B1">
        <w:trPr>
          <w:cantSplit/>
        </w:trPr>
        <w:tc>
          <w:tcPr>
            <w:tcW w:w="2235" w:type="dxa"/>
          </w:tcPr>
          <w:p w14:paraId="3E54FC95" w14:textId="77777777" w:rsidR="0051706F" w:rsidRPr="00FE6AC6" w:rsidRDefault="0051706F"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C96"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Мигрена</w:t>
            </w:r>
            <w:r w:rsidRPr="00FE6AC6">
              <w:rPr>
                <w:color w:val="000000"/>
                <w:szCs w:val="22"/>
                <w:lang w:val="ru-RU"/>
              </w:rPr>
              <w:t xml:space="preserve">, </w:t>
            </w:r>
            <w:r w:rsidRPr="00FE6AC6">
              <w:rPr>
                <w:color w:val="000000"/>
                <w:szCs w:val="22"/>
                <w:lang w:val="bg-BG"/>
              </w:rPr>
              <w:t>сомнолентност</w:t>
            </w:r>
            <w:r w:rsidRPr="00FE6AC6">
              <w:rPr>
                <w:color w:val="000000"/>
                <w:szCs w:val="22"/>
                <w:lang w:val="ru-RU"/>
              </w:rPr>
              <w:t xml:space="preserve">, </w:t>
            </w:r>
            <w:r w:rsidRPr="00FE6AC6">
              <w:rPr>
                <w:color w:val="000000"/>
                <w:szCs w:val="22"/>
                <w:lang w:val="bg-BG"/>
              </w:rPr>
              <w:t>синкоп</w:t>
            </w:r>
            <w:r w:rsidRPr="00FE6AC6">
              <w:rPr>
                <w:color w:val="000000"/>
                <w:szCs w:val="22"/>
                <w:lang w:val="ru-RU"/>
              </w:rPr>
              <w:t xml:space="preserve">, </w:t>
            </w:r>
            <w:r w:rsidRPr="00FE6AC6">
              <w:rPr>
                <w:color w:val="000000"/>
                <w:szCs w:val="22"/>
                <w:lang w:val="bg-BG"/>
              </w:rPr>
              <w:t>периферна невропатия</w:t>
            </w:r>
            <w:r w:rsidRPr="00FE6AC6">
              <w:rPr>
                <w:color w:val="000000"/>
                <w:szCs w:val="22"/>
                <w:lang w:val="ru-RU"/>
              </w:rPr>
              <w:t xml:space="preserve">, </w:t>
            </w:r>
            <w:r w:rsidRPr="00FE6AC6">
              <w:rPr>
                <w:color w:val="000000"/>
                <w:szCs w:val="22"/>
                <w:lang w:val="bg-BG"/>
              </w:rPr>
              <w:t>нарушения на паметта</w:t>
            </w:r>
            <w:r w:rsidRPr="00FE6AC6">
              <w:rPr>
                <w:color w:val="000000"/>
                <w:szCs w:val="22"/>
                <w:lang w:val="ru-RU"/>
              </w:rPr>
              <w:t xml:space="preserve">, </w:t>
            </w:r>
            <w:r w:rsidRPr="00FE6AC6">
              <w:rPr>
                <w:color w:val="000000"/>
                <w:szCs w:val="22"/>
                <w:lang w:val="bg-BG"/>
              </w:rPr>
              <w:t>ишиас</w:t>
            </w:r>
            <w:r w:rsidRPr="00FE6AC6">
              <w:rPr>
                <w:color w:val="000000"/>
                <w:szCs w:val="22"/>
                <w:lang w:val="ru-RU"/>
              </w:rPr>
              <w:t xml:space="preserve">, </w:t>
            </w:r>
            <w:r w:rsidRPr="00FE6AC6">
              <w:rPr>
                <w:color w:val="000000"/>
                <w:szCs w:val="22"/>
                <w:lang w:val="bg-BG"/>
              </w:rPr>
              <w:t xml:space="preserve">синдром на </w:t>
            </w:r>
            <w:r w:rsidR="002401B7" w:rsidRPr="00FE6AC6">
              <w:rPr>
                <w:color w:val="000000"/>
                <w:szCs w:val="22"/>
                <w:lang w:val="bg-BG"/>
              </w:rPr>
              <w:t>неспокойните</w:t>
            </w:r>
            <w:r w:rsidRPr="00FE6AC6">
              <w:rPr>
                <w:color w:val="000000"/>
                <w:szCs w:val="22"/>
                <w:lang w:val="bg-BG"/>
              </w:rPr>
              <w:t xml:space="preserve"> </w:t>
            </w:r>
            <w:r w:rsidRPr="00FE6AC6">
              <w:rPr>
                <w:szCs w:val="22"/>
                <w:lang w:val="bg-BG"/>
              </w:rPr>
              <w:t>крака</w:t>
            </w:r>
            <w:r w:rsidRPr="00FE6AC6">
              <w:rPr>
                <w:color w:val="000000"/>
                <w:szCs w:val="22"/>
                <w:lang w:val="ru-RU"/>
              </w:rPr>
              <w:t xml:space="preserve">, </w:t>
            </w:r>
            <w:r w:rsidRPr="00FE6AC6">
              <w:rPr>
                <w:color w:val="000000"/>
                <w:szCs w:val="22"/>
                <w:lang w:val="bg-BG"/>
              </w:rPr>
              <w:t>тремор</w:t>
            </w:r>
            <w:r w:rsidRPr="00FE6AC6">
              <w:rPr>
                <w:color w:val="000000"/>
                <w:szCs w:val="22"/>
                <w:lang w:val="ru-RU"/>
              </w:rPr>
              <w:t xml:space="preserve">, </w:t>
            </w:r>
            <w:r w:rsidRPr="00FE6AC6">
              <w:rPr>
                <w:color w:val="000000"/>
                <w:szCs w:val="22"/>
                <w:lang w:val="bg-BG"/>
              </w:rPr>
              <w:t>мозъчен кръвоизлив</w:t>
            </w:r>
          </w:p>
        </w:tc>
      </w:tr>
      <w:tr w:rsidR="0051706F" w:rsidRPr="00FE6AC6" w14:paraId="3E54FC9A" w14:textId="77777777" w:rsidTr="008143B1">
        <w:trPr>
          <w:cantSplit/>
        </w:trPr>
        <w:tc>
          <w:tcPr>
            <w:tcW w:w="2235" w:type="dxa"/>
          </w:tcPr>
          <w:p w14:paraId="3E54FC98" w14:textId="77777777" w:rsidR="0051706F" w:rsidRPr="00FE6AC6" w:rsidRDefault="0051706F"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4FC99" w14:textId="77777777" w:rsidR="0051706F" w:rsidRPr="00FE6AC6" w:rsidRDefault="0051706F" w:rsidP="0063575E">
            <w:pPr>
              <w:keepNext/>
              <w:widowControl w:val="0"/>
              <w:spacing w:line="240" w:lineRule="auto"/>
              <w:rPr>
                <w:color w:val="000000"/>
                <w:szCs w:val="22"/>
                <w:lang w:val="ru-RU"/>
              </w:rPr>
            </w:pPr>
            <w:r w:rsidRPr="00FE6AC6">
              <w:rPr>
                <w:color w:val="000000"/>
                <w:szCs w:val="22"/>
                <w:lang w:val="bg-BG"/>
              </w:rPr>
              <w:t>Повишено вътречерепно налягане</w:t>
            </w:r>
            <w:r w:rsidRPr="00FE6AC6">
              <w:rPr>
                <w:color w:val="000000"/>
                <w:szCs w:val="22"/>
                <w:lang w:val="ru-RU"/>
              </w:rPr>
              <w:t xml:space="preserve">, </w:t>
            </w:r>
            <w:r w:rsidRPr="00FE6AC6">
              <w:rPr>
                <w:color w:val="000000"/>
                <w:szCs w:val="22"/>
                <w:lang w:val="bg-BG"/>
              </w:rPr>
              <w:t>гърчове</w:t>
            </w:r>
            <w:r w:rsidRPr="00FE6AC6">
              <w:rPr>
                <w:color w:val="000000"/>
                <w:szCs w:val="22"/>
                <w:lang w:val="ru-RU"/>
              </w:rPr>
              <w:t xml:space="preserve">, </w:t>
            </w:r>
            <w:r w:rsidRPr="00FE6AC6">
              <w:rPr>
                <w:color w:val="000000"/>
                <w:szCs w:val="22"/>
                <w:lang w:val="bg-BG"/>
              </w:rPr>
              <w:t xml:space="preserve">неврит на n. </w:t>
            </w:r>
            <w:r w:rsidRPr="00FE6AC6">
              <w:rPr>
                <w:color w:val="000000"/>
                <w:szCs w:val="22"/>
                <w:lang w:val="en-US"/>
              </w:rPr>
              <w:t>opticus</w:t>
            </w:r>
          </w:p>
        </w:tc>
      </w:tr>
      <w:tr w:rsidR="005E39D5" w:rsidRPr="00FE6AC6" w14:paraId="3E54FC9D" w14:textId="77777777" w:rsidTr="008143B1">
        <w:trPr>
          <w:cantSplit/>
        </w:trPr>
        <w:tc>
          <w:tcPr>
            <w:tcW w:w="2235" w:type="dxa"/>
          </w:tcPr>
          <w:p w14:paraId="3E54FC9B" w14:textId="77777777" w:rsidR="005E39D5" w:rsidRPr="00FE6AC6" w:rsidRDefault="005E39D5"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9C" w14:textId="77777777" w:rsidR="005E39D5" w:rsidRPr="00FE6AC6" w:rsidRDefault="005E39D5" w:rsidP="0063575E">
            <w:pPr>
              <w:widowControl w:val="0"/>
              <w:spacing w:line="240" w:lineRule="auto"/>
              <w:rPr>
                <w:color w:val="000000"/>
                <w:szCs w:val="22"/>
                <w:lang w:val="bg-BG"/>
              </w:rPr>
            </w:pPr>
            <w:r w:rsidRPr="00FE6AC6">
              <w:rPr>
                <w:color w:val="000000"/>
                <w:szCs w:val="22"/>
                <w:lang w:val="bg-BG"/>
              </w:rPr>
              <w:t>Церебрален оток*</w:t>
            </w:r>
          </w:p>
        </w:tc>
      </w:tr>
      <w:tr w:rsidR="0051706F" w:rsidRPr="00FE6AC6" w14:paraId="3E54FC9F" w14:textId="77777777" w:rsidTr="008143B1">
        <w:trPr>
          <w:cantSplit/>
        </w:trPr>
        <w:tc>
          <w:tcPr>
            <w:tcW w:w="9322" w:type="dxa"/>
            <w:gridSpan w:val="2"/>
          </w:tcPr>
          <w:p w14:paraId="3E54FC9E" w14:textId="77777777" w:rsidR="0051706F" w:rsidRPr="00FE6AC6" w:rsidRDefault="0051706F" w:rsidP="0063575E">
            <w:pPr>
              <w:keepNext/>
              <w:widowControl w:val="0"/>
              <w:spacing w:line="240" w:lineRule="auto"/>
              <w:rPr>
                <w:color w:val="000000"/>
                <w:lang w:val="de-CH"/>
              </w:rPr>
            </w:pPr>
            <w:r w:rsidRPr="00FE6AC6">
              <w:rPr>
                <w:b/>
                <w:color w:val="000000"/>
                <w:szCs w:val="22"/>
              </w:rPr>
              <w:t>Нарушения</w:t>
            </w:r>
            <w:r w:rsidRPr="00FE6AC6">
              <w:rPr>
                <w:b/>
                <w:color w:val="000000"/>
                <w:szCs w:val="22"/>
                <w:lang w:val="da-DK"/>
              </w:rPr>
              <w:t xml:space="preserve"> </w:t>
            </w:r>
            <w:r w:rsidRPr="00FE6AC6">
              <w:rPr>
                <w:b/>
                <w:color w:val="000000"/>
                <w:szCs w:val="22"/>
              </w:rPr>
              <w:t>на</w:t>
            </w:r>
            <w:r w:rsidRPr="00FE6AC6">
              <w:rPr>
                <w:b/>
                <w:color w:val="000000"/>
                <w:szCs w:val="22"/>
                <w:lang w:val="da-DK"/>
              </w:rPr>
              <w:t xml:space="preserve"> </w:t>
            </w:r>
            <w:r w:rsidRPr="00FE6AC6">
              <w:rPr>
                <w:b/>
                <w:color w:val="000000"/>
                <w:szCs w:val="22"/>
              </w:rPr>
              <w:t>о</w:t>
            </w:r>
            <w:r w:rsidRPr="00FE6AC6">
              <w:rPr>
                <w:b/>
                <w:color w:val="000000"/>
                <w:szCs w:val="22"/>
                <w:lang w:val="bg-BG"/>
              </w:rPr>
              <w:t>чите</w:t>
            </w:r>
          </w:p>
        </w:tc>
      </w:tr>
      <w:tr w:rsidR="0051706F" w:rsidRPr="00FE6AC6" w14:paraId="3E54FCA2" w14:textId="77777777" w:rsidTr="008143B1">
        <w:trPr>
          <w:cantSplit/>
        </w:trPr>
        <w:tc>
          <w:tcPr>
            <w:tcW w:w="2235" w:type="dxa"/>
          </w:tcPr>
          <w:p w14:paraId="3E54FCA0" w14:textId="77777777" w:rsidR="0051706F" w:rsidRPr="00FE6AC6" w:rsidRDefault="0051706F" w:rsidP="0063575E">
            <w:pPr>
              <w:keepNext/>
              <w:widowControl w:val="0"/>
              <w:spacing w:line="240" w:lineRule="auto"/>
              <w:rPr>
                <w:color w:val="000000"/>
              </w:rPr>
            </w:pPr>
            <w:r w:rsidRPr="00FE6AC6">
              <w:rPr>
                <w:i/>
                <w:color w:val="000000"/>
                <w:szCs w:val="22"/>
              </w:rPr>
              <w:t>Чести:</w:t>
            </w:r>
          </w:p>
        </w:tc>
        <w:tc>
          <w:tcPr>
            <w:tcW w:w="7087" w:type="dxa"/>
          </w:tcPr>
          <w:p w14:paraId="3E54FCA1"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Оток на клепачите</w:t>
            </w:r>
            <w:r w:rsidRPr="00FE6AC6">
              <w:rPr>
                <w:color w:val="000000"/>
                <w:szCs w:val="22"/>
                <w:lang w:val="ru-RU"/>
              </w:rPr>
              <w:t xml:space="preserve">, повишено сълзене, </w:t>
            </w:r>
            <w:r w:rsidRPr="00FE6AC6">
              <w:rPr>
                <w:color w:val="000000"/>
                <w:szCs w:val="22"/>
                <w:lang w:val="bg-BG"/>
              </w:rPr>
              <w:t>конюнктивални кръвоизливи</w:t>
            </w:r>
            <w:r w:rsidRPr="00FE6AC6">
              <w:rPr>
                <w:color w:val="000000"/>
                <w:szCs w:val="22"/>
                <w:lang w:val="ru-RU"/>
              </w:rPr>
              <w:t xml:space="preserve">, </w:t>
            </w:r>
            <w:r w:rsidRPr="00FE6AC6">
              <w:rPr>
                <w:color w:val="000000"/>
                <w:szCs w:val="22"/>
                <w:lang w:val="bg-BG"/>
              </w:rPr>
              <w:t>конюнктивит</w:t>
            </w:r>
            <w:r w:rsidRPr="00FE6AC6">
              <w:rPr>
                <w:color w:val="000000"/>
                <w:szCs w:val="22"/>
                <w:lang w:val="ru-RU"/>
              </w:rPr>
              <w:t xml:space="preserve">, </w:t>
            </w:r>
            <w:r w:rsidRPr="00FE6AC6">
              <w:rPr>
                <w:color w:val="000000"/>
                <w:szCs w:val="22"/>
                <w:lang w:val="bg-BG"/>
              </w:rPr>
              <w:t>сухота на очите,</w:t>
            </w:r>
            <w:r w:rsidRPr="00FE6AC6">
              <w:rPr>
                <w:color w:val="000000"/>
                <w:szCs w:val="22"/>
                <w:lang w:val="ru-RU"/>
              </w:rPr>
              <w:t xml:space="preserve"> замъглено виждане</w:t>
            </w:r>
          </w:p>
        </w:tc>
      </w:tr>
      <w:tr w:rsidR="0051706F" w:rsidRPr="00FE6AC6" w14:paraId="3E54FCA5" w14:textId="77777777" w:rsidTr="008143B1">
        <w:trPr>
          <w:cantSplit/>
        </w:trPr>
        <w:tc>
          <w:tcPr>
            <w:tcW w:w="2235" w:type="dxa"/>
          </w:tcPr>
          <w:p w14:paraId="3E54FCA3" w14:textId="77777777" w:rsidR="0051706F" w:rsidRPr="00FE6AC6" w:rsidRDefault="0051706F"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CA4"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Очно дразнене</w:t>
            </w:r>
            <w:r w:rsidRPr="00FE6AC6">
              <w:rPr>
                <w:color w:val="000000"/>
                <w:szCs w:val="22"/>
                <w:lang w:val="ru-RU"/>
              </w:rPr>
              <w:t xml:space="preserve">, </w:t>
            </w:r>
            <w:r w:rsidRPr="00FE6AC6">
              <w:rPr>
                <w:color w:val="000000"/>
                <w:szCs w:val="22"/>
                <w:lang w:val="bg-BG"/>
              </w:rPr>
              <w:t>болка в очите</w:t>
            </w:r>
            <w:r w:rsidRPr="00FE6AC6">
              <w:rPr>
                <w:color w:val="000000"/>
                <w:szCs w:val="22"/>
                <w:lang w:val="ru-RU"/>
              </w:rPr>
              <w:t xml:space="preserve">, </w:t>
            </w:r>
            <w:r w:rsidRPr="00FE6AC6">
              <w:rPr>
                <w:color w:val="000000"/>
                <w:szCs w:val="22"/>
                <w:lang w:val="bg-BG"/>
              </w:rPr>
              <w:t>орбитален оток</w:t>
            </w:r>
            <w:r w:rsidRPr="00FE6AC6">
              <w:rPr>
                <w:color w:val="000000"/>
                <w:szCs w:val="22"/>
                <w:lang w:val="ru-RU"/>
              </w:rPr>
              <w:t xml:space="preserve">, </w:t>
            </w:r>
            <w:r w:rsidRPr="00FE6AC6">
              <w:rPr>
                <w:color w:val="000000"/>
                <w:szCs w:val="22"/>
                <w:lang w:val="bg-BG"/>
              </w:rPr>
              <w:t>кръвоизлив на склерата</w:t>
            </w:r>
            <w:r w:rsidRPr="00FE6AC6">
              <w:rPr>
                <w:color w:val="000000"/>
                <w:szCs w:val="22"/>
                <w:lang w:val="ru-RU"/>
              </w:rPr>
              <w:t xml:space="preserve">, </w:t>
            </w:r>
            <w:r w:rsidRPr="00FE6AC6">
              <w:rPr>
                <w:color w:val="000000"/>
                <w:szCs w:val="22"/>
                <w:lang w:val="bg-BG"/>
              </w:rPr>
              <w:t>кръвоизлив на ретината</w:t>
            </w:r>
            <w:r w:rsidRPr="00FE6AC6">
              <w:rPr>
                <w:color w:val="000000"/>
                <w:szCs w:val="22"/>
                <w:lang w:val="ru-RU"/>
              </w:rPr>
              <w:t xml:space="preserve">, </w:t>
            </w:r>
            <w:r w:rsidRPr="00FE6AC6">
              <w:rPr>
                <w:color w:val="000000"/>
                <w:szCs w:val="22"/>
                <w:lang w:val="bg-BG"/>
              </w:rPr>
              <w:t>блефарит</w:t>
            </w:r>
            <w:r w:rsidRPr="00FE6AC6">
              <w:rPr>
                <w:color w:val="000000"/>
                <w:szCs w:val="22"/>
                <w:lang w:val="ru-RU"/>
              </w:rPr>
              <w:t xml:space="preserve">, </w:t>
            </w:r>
            <w:r w:rsidRPr="00FE6AC6">
              <w:rPr>
                <w:color w:val="000000"/>
                <w:szCs w:val="22"/>
                <w:lang w:val="bg-BG"/>
              </w:rPr>
              <w:t>оток на макулата</w:t>
            </w:r>
          </w:p>
        </w:tc>
      </w:tr>
      <w:tr w:rsidR="0051706F" w:rsidRPr="00FE6AC6" w14:paraId="3E54FCA8" w14:textId="77777777" w:rsidTr="008143B1">
        <w:trPr>
          <w:cantSplit/>
        </w:trPr>
        <w:tc>
          <w:tcPr>
            <w:tcW w:w="2235" w:type="dxa"/>
          </w:tcPr>
          <w:p w14:paraId="3E54FCA6" w14:textId="77777777" w:rsidR="0051706F" w:rsidRPr="00FE6AC6" w:rsidRDefault="0051706F"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4FCA7"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Катаракта</w:t>
            </w:r>
            <w:r w:rsidRPr="00FE6AC6">
              <w:rPr>
                <w:color w:val="000000"/>
                <w:szCs w:val="22"/>
                <w:lang w:val="ru-RU"/>
              </w:rPr>
              <w:t xml:space="preserve">, </w:t>
            </w:r>
            <w:r w:rsidRPr="00FE6AC6">
              <w:rPr>
                <w:color w:val="000000"/>
                <w:szCs w:val="22"/>
                <w:lang w:val="bg-BG"/>
              </w:rPr>
              <w:t>глаукома</w:t>
            </w:r>
            <w:r w:rsidRPr="00FE6AC6">
              <w:rPr>
                <w:color w:val="000000"/>
                <w:szCs w:val="22"/>
                <w:lang w:val="ru-RU"/>
              </w:rPr>
              <w:t xml:space="preserve">, </w:t>
            </w:r>
            <w:r w:rsidRPr="00FE6AC6">
              <w:rPr>
                <w:color w:val="000000"/>
                <w:szCs w:val="22"/>
                <w:lang w:val="bg-BG"/>
              </w:rPr>
              <w:t>оток на папилата</w:t>
            </w:r>
          </w:p>
        </w:tc>
      </w:tr>
      <w:tr w:rsidR="00F421E4" w:rsidRPr="00FE6AC6" w14:paraId="3E54FCAB" w14:textId="77777777" w:rsidTr="008143B1">
        <w:trPr>
          <w:cantSplit/>
        </w:trPr>
        <w:tc>
          <w:tcPr>
            <w:tcW w:w="2235" w:type="dxa"/>
          </w:tcPr>
          <w:p w14:paraId="3E54FCA9" w14:textId="77777777" w:rsidR="00F421E4" w:rsidRPr="00FE6AC6" w:rsidRDefault="00F421E4"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AA" w14:textId="77777777" w:rsidR="00F421E4" w:rsidRPr="00FE6AC6" w:rsidRDefault="006A53F1" w:rsidP="0063575E">
            <w:pPr>
              <w:widowControl w:val="0"/>
              <w:spacing w:line="240" w:lineRule="auto"/>
              <w:rPr>
                <w:color w:val="000000"/>
                <w:szCs w:val="22"/>
                <w:lang w:val="bg-BG"/>
              </w:rPr>
            </w:pPr>
            <w:r w:rsidRPr="00FE6AC6">
              <w:rPr>
                <w:color w:val="000000"/>
                <w:szCs w:val="22"/>
                <w:lang w:val="bg-BG"/>
              </w:rPr>
              <w:t>Витреална хеморагия</w:t>
            </w:r>
            <w:r w:rsidR="00A87A58" w:rsidRPr="00FE6AC6">
              <w:rPr>
                <w:color w:val="000000"/>
                <w:szCs w:val="22"/>
              </w:rPr>
              <w:t>*</w:t>
            </w:r>
          </w:p>
        </w:tc>
      </w:tr>
      <w:tr w:rsidR="0051706F" w:rsidRPr="00FE6AC6" w14:paraId="3E54FCAD" w14:textId="77777777" w:rsidTr="008143B1">
        <w:trPr>
          <w:cantSplit/>
        </w:trPr>
        <w:tc>
          <w:tcPr>
            <w:tcW w:w="9322" w:type="dxa"/>
            <w:gridSpan w:val="2"/>
          </w:tcPr>
          <w:p w14:paraId="3E54FCAC" w14:textId="77777777" w:rsidR="0051706F" w:rsidRPr="00FE6AC6" w:rsidRDefault="0051706F" w:rsidP="0063575E">
            <w:pPr>
              <w:keepNext/>
              <w:widowControl w:val="0"/>
              <w:spacing w:line="240" w:lineRule="auto"/>
              <w:rPr>
                <w:color w:val="000000"/>
                <w:lang w:val="ru-RU"/>
              </w:rPr>
            </w:pPr>
            <w:r w:rsidRPr="00FE6AC6">
              <w:rPr>
                <w:b/>
                <w:color w:val="000000"/>
                <w:szCs w:val="22"/>
                <w:lang w:val="ru-RU"/>
              </w:rPr>
              <w:t xml:space="preserve">Нарушения на ухото и </w:t>
            </w:r>
            <w:r w:rsidRPr="00FE6AC6">
              <w:rPr>
                <w:b/>
                <w:color w:val="000000"/>
                <w:szCs w:val="22"/>
                <w:lang w:val="bg-BG"/>
              </w:rPr>
              <w:t>лабиринта</w:t>
            </w:r>
          </w:p>
        </w:tc>
      </w:tr>
      <w:tr w:rsidR="0051706F" w:rsidRPr="00FE6AC6" w14:paraId="3E54FCB0" w14:textId="77777777" w:rsidTr="008143B1">
        <w:trPr>
          <w:cantSplit/>
        </w:trPr>
        <w:tc>
          <w:tcPr>
            <w:tcW w:w="2235" w:type="dxa"/>
          </w:tcPr>
          <w:p w14:paraId="3E54FCAE" w14:textId="77777777" w:rsidR="0051706F" w:rsidRPr="00FE6AC6" w:rsidRDefault="0051706F" w:rsidP="0063575E">
            <w:pPr>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CAF" w14:textId="77777777" w:rsidR="0051706F" w:rsidRPr="00FE6AC6" w:rsidRDefault="0051706F" w:rsidP="0063575E">
            <w:pPr>
              <w:widowControl w:val="0"/>
              <w:spacing w:line="240" w:lineRule="auto"/>
              <w:rPr>
                <w:color w:val="000000"/>
                <w:lang w:val="ru-RU"/>
              </w:rPr>
            </w:pPr>
            <w:r w:rsidRPr="00FE6AC6">
              <w:rPr>
                <w:color w:val="000000"/>
                <w:szCs w:val="22"/>
                <w:lang w:val="bg-BG"/>
              </w:rPr>
              <w:t>Световъртеж</w:t>
            </w:r>
            <w:r w:rsidRPr="00FE6AC6">
              <w:rPr>
                <w:color w:val="000000"/>
                <w:szCs w:val="22"/>
                <w:lang w:val="ru-RU"/>
              </w:rPr>
              <w:t xml:space="preserve">, </w:t>
            </w:r>
            <w:r w:rsidRPr="00FE6AC6">
              <w:rPr>
                <w:color w:val="000000"/>
                <w:szCs w:val="22"/>
                <w:lang w:val="bg-BG"/>
              </w:rPr>
              <w:t>тинитус</w:t>
            </w:r>
            <w:r w:rsidRPr="00FE6AC6">
              <w:rPr>
                <w:color w:val="000000"/>
                <w:szCs w:val="22"/>
                <w:lang w:val="ru-RU"/>
              </w:rPr>
              <w:t xml:space="preserve">, </w:t>
            </w:r>
            <w:r w:rsidRPr="00FE6AC6">
              <w:rPr>
                <w:color w:val="000000"/>
                <w:szCs w:val="22"/>
                <w:lang w:val="bg-BG"/>
              </w:rPr>
              <w:t>загуба на слуха</w:t>
            </w:r>
          </w:p>
        </w:tc>
      </w:tr>
      <w:tr w:rsidR="00FB1F44" w:rsidRPr="00FE6AC6" w14:paraId="3E54FCB2" w14:textId="77777777" w:rsidTr="008143B1">
        <w:trPr>
          <w:cantSplit/>
        </w:trPr>
        <w:tc>
          <w:tcPr>
            <w:tcW w:w="9322" w:type="dxa"/>
            <w:gridSpan w:val="2"/>
          </w:tcPr>
          <w:p w14:paraId="3E54FCB1" w14:textId="77777777" w:rsidR="00FB1F44" w:rsidRPr="00FE6AC6" w:rsidRDefault="00FB1F44" w:rsidP="0063575E">
            <w:pPr>
              <w:keepNext/>
              <w:widowControl w:val="0"/>
              <w:spacing w:line="240" w:lineRule="auto"/>
              <w:rPr>
                <w:color w:val="000000"/>
              </w:rPr>
            </w:pPr>
            <w:r w:rsidRPr="00FE6AC6">
              <w:rPr>
                <w:b/>
                <w:color w:val="000000"/>
                <w:szCs w:val="22"/>
              </w:rPr>
              <w:t>Сърдечни нарушения</w:t>
            </w:r>
          </w:p>
        </w:tc>
      </w:tr>
      <w:tr w:rsidR="00FB1F44" w:rsidRPr="00FE6AC6" w14:paraId="3E54FCB5" w14:textId="77777777" w:rsidTr="008143B1">
        <w:trPr>
          <w:cantSplit/>
        </w:trPr>
        <w:tc>
          <w:tcPr>
            <w:tcW w:w="2235" w:type="dxa"/>
          </w:tcPr>
          <w:p w14:paraId="3E54FCB3" w14:textId="77777777" w:rsidR="00FB1F44" w:rsidRPr="00FE6AC6" w:rsidRDefault="00FB1F44"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CB4" w14:textId="77777777" w:rsidR="00FB1F44" w:rsidRPr="00FE6AC6" w:rsidRDefault="00FB1F44" w:rsidP="0063575E">
            <w:pPr>
              <w:keepNext/>
              <w:widowControl w:val="0"/>
              <w:spacing w:line="240" w:lineRule="auto"/>
              <w:rPr>
                <w:color w:val="000000"/>
                <w:lang w:val="ru-RU"/>
              </w:rPr>
            </w:pPr>
            <w:r w:rsidRPr="00FE6AC6">
              <w:rPr>
                <w:color w:val="000000"/>
                <w:szCs w:val="22"/>
                <w:lang w:val="bg-BG"/>
              </w:rPr>
              <w:t>Сърцебиене</w:t>
            </w:r>
            <w:r w:rsidRPr="00FE6AC6">
              <w:rPr>
                <w:color w:val="000000"/>
                <w:szCs w:val="22"/>
                <w:lang w:val="ru-RU"/>
              </w:rPr>
              <w:t xml:space="preserve">, </w:t>
            </w:r>
            <w:r w:rsidRPr="00FE6AC6">
              <w:rPr>
                <w:color w:val="000000"/>
                <w:szCs w:val="22"/>
                <w:lang w:val="bg-BG"/>
              </w:rPr>
              <w:t>тахикардия</w:t>
            </w:r>
            <w:r w:rsidRPr="00FE6AC6">
              <w:rPr>
                <w:color w:val="000000"/>
                <w:szCs w:val="22"/>
                <w:lang w:val="ru-RU"/>
              </w:rPr>
              <w:t xml:space="preserve">, </w:t>
            </w:r>
            <w:r w:rsidRPr="00FE6AC6">
              <w:rPr>
                <w:color w:val="000000"/>
                <w:szCs w:val="22"/>
                <w:lang w:val="bg-BG"/>
              </w:rPr>
              <w:t>застойна сърдечна недостатъчност</w:t>
            </w:r>
            <w:r w:rsidR="00BB0E74" w:rsidRPr="00FE6AC6">
              <w:rPr>
                <w:color w:val="000000"/>
                <w:szCs w:val="22"/>
                <w:vertAlign w:val="superscript"/>
                <w:lang w:val="ru-RU"/>
              </w:rPr>
              <w:t>3</w:t>
            </w:r>
            <w:r w:rsidRPr="00FE6AC6">
              <w:rPr>
                <w:color w:val="000000"/>
                <w:szCs w:val="22"/>
                <w:lang w:val="ru-RU"/>
              </w:rPr>
              <w:t xml:space="preserve">, </w:t>
            </w:r>
            <w:r w:rsidRPr="00FE6AC6">
              <w:rPr>
                <w:color w:val="000000"/>
                <w:szCs w:val="22"/>
                <w:lang w:val="bg-BG"/>
              </w:rPr>
              <w:t>белодробен оток</w:t>
            </w:r>
          </w:p>
        </w:tc>
      </w:tr>
      <w:tr w:rsidR="00FB1F44" w:rsidRPr="00FE6AC6" w14:paraId="3E54FCB8" w14:textId="77777777" w:rsidTr="008143B1">
        <w:trPr>
          <w:cantSplit/>
        </w:trPr>
        <w:tc>
          <w:tcPr>
            <w:tcW w:w="2235" w:type="dxa"/>
          </w:tcPr>
          <w:p w14:paraId="3E54FCB6" w14:textId="77777777" w:rsidR="00FB1F44" w:rsidRPr="00FE6AC6" w:rsidRDefault="00FB1F44"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4FCB7" w14:textId="77777777" w:rsidR="00FB1F44" w:rsidRPr="00FE6AC6" w:rsidRDefault="00FB1F44" w:rsidP="0063575E">
            <w:pPr>
              <w:keepNext/>
              <w:widowControl w:val="0"/>
              <w:spacing w:line="240" w:lineRule="auto"/>
              <w:rPr>
                <w:color w:val="000000"/>
                <w:lang w:val="ru-RU"/>
              </w:rPr>
            </w:pPr>
            <w:r w:rsidRPr="00FE6AC6">
              <w:rPr>
                <w:color w:val="000000"/>
                <w:szCs w:val="22"/>
                <w:lang w:val="bg-BG"/>
              </w:rPr>
              <w:t>Аритмия</w:t>
            </w:r>
            <w:r w:rsidRPr="00FE6AC6">
              <w:rPr>
                <w:color w:val="000000"/>
                <w:szCs w:val="22"/>
                <w:lang w:val="ru-RU"/>
              </w:rPr>
              <w:t xml:space="preserve">, </w:t>
            </w:r>
            <w:r w:rsidRPr="00FE6AC6">
              <w:rPr>
                <w:color w:val="000000"/>
                <w:szCs w:val="22"/>
                <w:lang w:val="bg-BG"/>
              </w:rPr>
              <w:t>предсърдно мъждене,</w:t>
            </w:r>
            <w:r w:rsidRPr="00FE6AC6">
              <w:rPr>
                <w:color w:val="000000"/>
                <w:szCs w:val="22"/>
                <w:lang w:val="ru-RU"/>
              </w:rPr>
              <w:t xml:space="preserve"> </w:t>
            </w:r>
            <w:r w:rsidRPr="00FE6AC6">
              <w:rPr>
                <w:color w:val="000000"/>
                <w:szCs w:val="22"/>
                <w:lang w:val="bg-BG"/>
              </w:rPr>
              <w:t>сърдечен арест</w:t>
            </w:r>
            <w:r w:rsidRPr="00FE6AC6">
              <w:rPr>
                <w:color w:val="000000"/>
                <w:szCs w:val="22"/>
                <w:lang w:val="ru-RU"/>
              </w:rPr>
              <w:t xml:space="preserve">, </w:t>
            </w:r>
            <w:r w:rsidRPr="00FE6AC6">
              <w:rPr>
                <w:color w:val="000000"/>
                <w:szCs w:val="22"/>
                <w:lang w:val="bg-BG"/>
              </w:rPr>
              <w:t>инфаркт на миокарда,</w:t>
            </w:r>
            <w:r w:rsidRPr="00FE6AC6">
              <w:rPr>
                <w:color w:val="000000"/>
                <w:szCs w:val="22"/>
                <w:lang w:val="ru-RU"/>
              </w:rPr>
              <w:t xml:space="preserve"> </w:t>
            </w:r>
            <w:r w:rsidRPr="00FE6AC6">
              <w:rPr>
                <w:color w:val="000000"/>
                <w:szCs w:val="22"/>
                <w:lang w:val="bg-BG"/>
              </w:rPr>
              <w:t>ангина пекторис</w:t>
            </w:r>
            <w:r w:rsidRPr="00FE6AC6">
              <w:rPr>
                <w:color w:val="000000"/>
                <w:szCs w:val="22"/>
                <w:lang w:val="ru-RU"/>
              </w:rPr>
              <w:t xml:space="preserve">, </w:t>
            </w:r>
            <w:r w:rsidRPr="00FE6AC6">
              <w:rPr>
                <w:color w:val="000000"/>
                <w:szCs w:val="22"/>
                <w:lang w:val="bg-BG"/>
              </w:rPr>
              <w:t>перикарден излив</w:t>
            </w:r>
          </w:p>
        </w:tc>
      </w:tr>
      <w:tr w:rsidR="000C63B2" w:rsidRPr="00FE6AC6" w14:paraId="3E54FCBB" w14:textId="77777777" w:rsidTr="008143B1">
        <w:trPr>
          <w:cantSplit/>
        </w:trPr>
        <w:tc>
          <w:tcPr>
            <w:tcW w:w="2235" w:type="dxa"/>
          </w:tcPr>
          <w:p w14:paraId="3E54FCB9" w14:textId="77777777" w:rsidR="000C63B2" w:rsidRPr="00FE6AC6" w:rsidRDefault="000C63B2"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BA" w14:textId="77777777" w:rsidR="000C63B2" w:rsidRPr="00FE6AC6" w:rsidRDefault="00EF3B04" w:rsidP="0063575E">
            <w:pPr>
              <w:widowControl w:val="0"/>
              <w:spacing w:line="240" w:lineRule="auto"/>
              <w:rPr>
                <w:color w:val="000000"/>
                <w:szCs w:val="22"/>
                <w:lang w:val="bg-BG"/>
              </w:rPr>
            </w:pPr>
            <w:r w:rsidRPr="00FE6AC6">
              <w:rPr>
                <w:color w:val="000000"/>
                <w:szCs w:val="22"/>
                <w:lang w:val="bg-BG"/>
              </w:rPr>
              <w:t>Перикардит</w:t>
            </w:r>
            <w:r w:rsidRPr="00FE6AC6">
              <w:rPr>
                <w:color w:val="000000"/>
                <w:szCs w:val="22"/>
              </w:rPr>
              <w:t>*,</w:t>
            </w:r>
            <w:r w:rsidRPr="00FE6AC6">
              <w:rPr>
                <w:color w:val="000000"/>
                <w:szCs w:val="22"/>
                <w:lang w:val="bg-BG"/>
              </w:rPr>
              <w:t xml:space="preserve"> сърдечна тампонада</w:t>
            </w:r>
            <w:r w:rsidRPr="00FE6AC6">
              <w:rPr>
                <w:color w:val="000000"/>
                <w:szCs w:val="22"/>
              </w:rPr>
              <w:t>*</w:t>
            </w:r>
          </w:p>
        </w:tc>
      </w:tr>
      <w:tr w:rsidR="00E21471" w:rsidRPr="00FE6AC6" w14:paraId="3E54FCBD" w14:textId="77777777" w:rsidTr="008143B1">
        <w:trPr>
          <w:cantSplit/>
        </w:trPr>
        <w:tc>
          <w:tcPr>
            <w:tcW w:w="9322" w:type="dxa"/>
            <w:gridSpan w:val="2"/>
          </w:tcPr>
          <w:p w14:paraId="3E54FCBC" w14:textId="77777777" w:rsidR="00E21471" w:rsidRPr="00FE6AC6" w:rsidRDefault="00E21471" w:rsidP="0063575E">
            <w:pPr>
              <w:keepNext/>
              <w:widowControl w:val="0"/>
              <w:spacing w:line="240" w:lineRule="auto"/>
              <w:rPr>
                <w:color w:val="000000"/>
                <w:szCs w:val="22"/>
              </w:rPr>
            </w:pPr>
            <w:r w:rsidRPr="00FE6AC6">
              <w:rPr>
                <w:b/>
                <w:color w:val="000000"/>
                <w:szCs w:val="22"/>
              </w:rPr>
              <w:t>Съдови нарушения</w:t>
            </w:r>
            <w:r w:rsidR="00B53410" w:rsidRPr="00FE6AC6">
              <w:rPr>
                <w:rFonts w:ascii="Times New Roman Bold" w:hAnsi="Times New Roman Bold"/>
                <w:b/>
                <w:color w:val="000000"/>
                <w:szCs w:val="22"/>
                <w:vertAlign w:val="superscript"/>
                <w:lang w:val="it-IT"/>
              </w:rPr>
              <w:t>4</w:t>
            </w:r>
          </w:p>
        </w:tc>
      </w:tr>
      <w:tr w:rsidR="00E21471" w:rsidRPr="00FE6AC6" w14:paraId="3E54FCC0" w14:textId="77777777" w:rsidTr="008143B1">
        <w:trPr>
          <w:cantSplit/>
        </w:trPr>
        <w:tc>
          <w:tcPr>
            <w:tcW w:w="2235" w:type="dxa"/>
          </w:tcPr>
          <w:p w14:paraId="3E54FCBE" w14:textId="77777777" w:rsidR="00E21471" w:rsidRPr="00FE6AC6" w:rsidRDefault="00E21471"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4FCBF" w14:textId="77777777" w:rsidR="00E21471" w:rsidRPr="00FE6AC6" w:rsidRDefault="00E21471" w:rsidP="0063575E">
            <w:pPr>
              <w:keepNext/>
              <w:widowControl w:val="0"/>
              <w:spacing w:line="240" w:lineRule="auto"/>
              <w:rPr>
                <w:color w:val="000000"/>
                <w:szCs w:val="22"/>
              </w:rPr>
            </w:pPr>
            <w:r w:rsidRPr="00FE6AC6">
              <w:rPr>
                <w:color w:val="000000"/>
                <w:szCs w:val="22"/>
                <w:lang w:val="bg-BG"/>
              </w:rPr>
              <w:t>Зачервяване</w:t>
            </w:r>
            <w:r w:rsidRPr="00FE6AC6">
              <w:rPr>
                <w:color w:val="000000"/>
                <w:szCs w:val="22"/>
              </w:rPr>
              <w:t xml:space="preserve">, </w:t>
            </w:r>
            <w:r w:rsidRPr="00FE6AC6">
              <w:rPr>
                <w:color w:val="000000"/>
                <w:szCs w:val="22"/>
                <w:lang w:val="bg-BG"/>
              </w:rPr>
              <w:t>хеморагия</w:t>
            </w:r>
          </w:p>
        </w:tc>
      </w:tr>
      <w:tr w:rsidR="00E21471" w:rsidRPr="00FE6AC6" w:rsidDel="00655175" w14:paraId="3E54FCC3" w14:textId="77777777" w:rsidTr="008143B1">
        <w:trPr>
          <w:cantSplit/>
        </w:trPr>
        <w:tc>
          <w:tcPr>
            <w:tcW w:w="2235" w:type="dxa"/>
          </w:tcPr>
          <w:p w14:paraId="3E54FCC1" w14:textId="77777777" w:rsidR="00E21471" w:rsidRPr="00FE6AC6" w:rsidDel="00655175" w:rsidRDefault="00E21471"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4FCC2" w14:textId="77777777" w:rsidR="00E21471" w:rsidRPr="00FE6AC6" w:rsidDel="00655175" w:rsidRDefault="00E21471" w:rsidP="0063575E">
            <w:pPr>
              <w:keepNext/>
              <w:widowControl w:val="0"/>
              <w:spacing w:line="240" w:lineRule="auto"/>
              <w:rPr>
                <w:color w:val="000000"/>
                <w:szCs w:val="22"/>
                <w:lang w:val="bg-BG"/>
              </w:rPr>
            </w:pPr>
            <w:r w:rsidRPr="00FE6AC6">
              <w:rPr>
                <w:color w:val="000000"/>
                <w:szCs w:val="22"/>
                <w:lang w:val="bg-BG"/>
              </w:rPr>
              <w:t>Хипертония</w:t>
            </w:r>
            <w:r w:rsidRPr="00FE6AC6">
              <w:rPr>
                <w:color w:val="000000"/>
                <w:szCs w:val="22"/>
                <w:lang w:val="ru-RU"/>
              </w:rPr>
              <w:t xml:space="preserve">, </w:t>
            </w:r>
            <w:r w:rsidRPr="00FE6AC6">
              <w:rPr>
                <w:color w:val="000000"/>
                <w:szCs w:val="22"/>
                <w:lang w:val="bg-BG"/>
              </w:rPr>
              <w:t>хематом</w:t>
            </w:r>
            <w:r w:rsidRPr="00FE6AC6">
              <w:rPr>
                <w:color w:val="000000"/>
                <w:szCs w:val="22"/>
                <w:lang w:val="ru-RU"/>
              </w:rPr>
              <w:t xml:space="preserve">, </w:t>
            </w:r>
            <w:r w:rsidR="00107624" w:rsidRPr="00FE6AC6">
              <w:rPr>
                <w:color w:val="000000"/>
                <w:szCs w:val="22"/>
                <w:lang w:val="ru-RU"/>
              </w:rPr>
              <w:t xml:space="preserve">субдурален хематом, </w:t>
            </w:r>
            <w:r w:rsidRPr="00FE6AC6">
              <w:rPr>
                <w:color w:val="000000"/>
                <w:szCs w:val="22"/>
                <w:lang w:val="bg-BG"/>
              </w:rPr>
              <w:t>студени крайници</w:t>
            </w:r>
            <w:r w:rsidRPr="00FE6AC6">
              <w:rPr>
                <w:color w:val="000000"/>
                <w:szCs w:val="22"/>
                <w:lang w:val="ru-RU"/>
              </w:rPr>
              <w:t xml:space="preserve">, </w:t>
            </w:r>
            <w:r w:rsidRPr="00FE6AC6">
              <w:rPr>
                <w:color w:val="000000"/>
                <w:szCs w:val="22"/>
                <w:lang w:val="bg-BG"/>
              </w:rPr>
              <w:t>хипотония</w:t>
            </w:r>
            <w:r w:rsidRPr="00FE6AC6">
              <w:rPr>
                <w:color w:val="000000"/>
                <w:szCs w:val="22"/>
                <w:lang w:val="ru-RU"/>
              </w:rPr>
              <w:t xml:space="preserve">, </w:t>
            </w:r>
            <w:r w:rsidRPr="00FE6AC6">
              <w:rPr>
                <w:color w:val="000000"/>
                <w:szCs w:val="22"/>
                <w:lang w:val="bg-BG"/>
              </w:rPr>
              <w:t xml:space="preserve">синдром на </w:t>
            </w:r>
            <w:r w:rsidRPr="00FE6AC6">
              <w:rPr>
                <w:color w:val="000000"/>
                <w:szCs w:val="22"/>
              </w:rPr>
              <w:t>Raynaud</w:t>
            </w:r>
          </w:p>
        </w:tc>
      </w:tr>
      <w:tr w:rsidR="0067641B" w:rsidRPr="00FE6AC6" w:rsidDel="00655175" w14:paraId="3E54FCC6" w14:textId="77777777" w:rsidTr="008143B1">
        <w:trPr>
          <w:cantSplit/>
        </w:trPr>
        <w:tc>
          <w:tcPr>
            <w:tcW w:w="2235" w:type="dxa"/>
          </w:tcPr>
          <w:p w14:paraId="3E54FCC4" w14:textId="77777777" w:rsidR="0067641B" w:rsidRPr="00FE6AC6" w:rsidRDefault="0067641B"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C5" w14:textId="77777777" w:rsidR="0067641B" w:rsidRPr="00FE6AC6" w:rsidRDefault="0067641B" w:rsidP="0063575E">
            <w:pPr>
              <w:widowControl w:val="0"/>
              <w:spacing w:line="240" w:lineRule="auto"/>
              <w:rPr>
                <w:color w:val="000000"/>
                <w:szCs w:val="22"/>
                <w:lang w:val="bg-BG"/>
              </w:rPr>
            </w:pPr>
            <w:r w:rsidRPr="00FE6AC6">
              <w:rPr>
                <w:color w:val="000000"/>
                <w:szCs w:val="22"/>
                <w:lang w:val="bg-BG"/>
              </w:rPr>
              <w:t>Тромбоза/емболизъм</w:t>
            </w:r>
            <w:r w:rsidRPr="00FE6AC6">
              <w:rPr>
                <w:color w:val="000000"/>
                <w:szCs w:val="22"/>
              </w:rPr>
              <w:t>*</w:t>
            </w:r>
          </w:p>
        </w:tc>
      </w:tr>
      <w:tr w:rsidR="0051706F" w:rsidRPr="00FE6AC6" w14:paraId="3E54FCC8" w14:textId="77777777" w:rsidTr="008143B1">
        <w:trPr>
          <w:cantSplit/>
        </w:trPr>
        <w:tc>
          <w:tcPr>
            <w:tcW w:w="9322" w:type="dxa"/>
            <w:gridSpan w:val="2"/>
          </w:tcPr>
          <w:p w14:paraId="3E54FCC7" w14:textId="77777777" w:rsidR="0051706F" w:rsidRPr="00FE6AC6" w:rsidRDefault="0051706F" w:rsidP="0063575E">
            <w:pPr>
              <w:keepNext/>
              <w:widowControl w:val="0"/>
              <w:spacing w:line="240" w:lineRule="auto"/>
              <w:rPr>
                <w:color w:val="000000"/>
                <w:szCs w:val="22"/>
                <w:lang w:val="ru-RU"/>
              </w:rPr>
            </w:pPr>
            <w:r w:rsidRPr="00FE6AC6">
              <w:rPr>
                <w:b/>
                <w:color w:val="000000"/>
                <w:szCs w:val="22"/>
                <w:lang w:val="ru-RU"/>
              </w:rPr>
              <w:t>Респираторни, гръдни и медиастинални нарушения</w:t>
            </w:r>
          </w:p>
        </w:tc>
      </w:tr>
      <w:tr w:rsidR="0051706F" w:rsidRPr="00FE6AC6" w14:paraId="3E54FCCB" w14:textId="77777777" w:rsidTr="008143B1">
        <w:trPr>
          <w:cantSplit/>
        </w:trPr>
        <w:tc>
          <w:tcPr>
            <w:tcW w:w="2235" w:type="dxa"/>
          </w:tcPr>
          <w:p w14:paraId="3E54FCC9" w14:textId="77777777" w:rsidR="0051706F" w:rsidRPr="00FE6AC6" w:rsidRDefault="0051706F"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4FCCA" w14:textId="77777777" w:rsidR="0051706F" w:rsidRPr="00FE6AC6" w:rsidRDefault="0051706F" w:rsidP="0063575E">
            <w:pPr>
              <w:keepNext/>
              <w:widowControl w:val="0"/>
              <w:spacing w:line="240" w:lineRule="auto"/>
              <w:rPr>
                <w:color w:val="000000"/>
              </w:rPr>
            </w:pPr>
            <w:r w:rsidRPr="00FE6AC6">
              <w:rPr>
                <w:color w:val="000000"/>
                <w:szCs w:val="22"/>
                <w:lang w:val="bg-BG"/>
              </w:rPr>
              <w:t>Диспнея</w:t>
            </w:r>
            <w:r w:rsidRPr="00FE6AC6">
              <w:rPr>
                <w:color w:val="000000"/>
                <w:szCs w:val="22"/>
                <w:lang w:val="fr-FR"/>
              </w:rPr>
              <w:t xml:space="preserve">, </w:t>
            </w:r>
            <w:r w:rsidRPr="00FE6AC6">
              <w:rPr>
                <w:color w:val="000000"/>
                <w:szCs w:val="22"/>
                <w:lang w:val="bg-BG"/>
              </w:rPr>
              <w:t>епистаксис</w:t>
            </w:r>
            <w:r w:rsidRPr="00FE6AC6">
              <w:rPr>
                <w:color w:val="000000"/>
                <w:szCs w:val="22"/>
                <w:lang w:val="fr-FR"/>
              </w:rPr>
              <w:t xml:space="preserve">, </w:t>
            </w:r>
            <w:r w:rsidRPr="00FE6AC6">
              <w:rPr>
                <w:color w:val="000000"/>
                <w:szCs w:val="22"/>
                <w:lang w:val="bg-BG"/>
              </w:rPr>
              <w:t>кашлица</w:t>
            </w:r>
          </w:p>
        </w:tc>
      </w:tr>
      <w:tr w:rsidR="0051706F" w:rsidRPr="00FE6AC6" w14:paraId="3E54FCCE" w14:textId="77777777" w:rsidTr="008143B1">
        <w:trPr>
          <w:cantSplit/>
        </w:trPr>
        <w:tc>
          <w:tcPr>
            <w:tcW w:w="2235" w:type="dxa"/>
          </w:tcPr>
          <w:p w14:paraId="3E54FCCC" w14:textId="77777777" w:rsidR="0051706F" w:rsidRPr="00FE6AC6" w:rsidRDefault="0051706F"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CCD"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Плеврален излив</w:t>
            </w:r>
            <w:r w:rsidR="00F405B6" w:rsidRPr="00FE6AC6">
              <w:rPr>
                <w:color w:val="000000"/>
                <w:szCs w:val="22"/>
                <w:vertAlign w:val="superscript"/>
                <w:lang w:val="ru-RU"/>
              </w:rPr>
              <w:t>5</w:t>
            </w:r>
            <w:r w:rsidRPr="00FE6AC6">
              <w:rPr>
                <w:color w:val="000000"/>
                <w:szCs w:val="22"/>
                <w:lang w:val="ru-RU"/>
              </w:rPr>
              <w:t xml:space="preserve">, </w:t>
            </w:r>
            <w:r w:rsidRPr="00FE6AC6">
              <w:rPr>
                <w:color w:val="000000"/>
                <w:szCs w:val="22"/>
                <w:lang w:val="bg-BG"/>
              </w:rPr>
              <w:t>фаринголарингеална болка</w:t>
            </w:r>
            <w:r w:rsidRPr="00FE6AC6">
              <w:rPr>
                <w:color w:val="000000"/>
                <w:szCs w:val="22"/>
                <w:lang w:val="ru-RU"/>
              </w:rPr>
              <w:t xml:space="preserve">, </w:t>
            </w:r>
            <w:r w:rsidRPr="00FE6AC6">
              <w:rPr>
                <w:color w:val="000000"/>
                <w:szCs w:val="22"/>
                <w:lang w:val="bg-BG"/>
              </w:rPr>
              <w:t>фарингит</w:t>
            </w:r>
          </w:p>
        </w:tc>
      </w:tr>
      <w:tr w:rsidR="0051706F" w:rsidRPr="00FE6AC6" w14:paraId="3E54FCD1" w14:textId="77777777" w:rsidTr="008143B1">
        <w:trPr>
          <w:cantSplit/>
        </w:trPr>
        <w:tc>
          <w:tcPr>
            <w:tcW w:w="2235" w:type="dxa"/>
          </w:tcPr>
          <w:p w14:paraId="3E54FCCF" w14:textId="77777777" w:rsidR="0051706F" w:rsidRPr="00FE6AC6" w:rsidRDefault="0051706F"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4FCD0"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Плеврална болка</w:t>
            </w:r>
            <w:r w:rsidRPr="00FE6AC6">
              <w:rPr>
                <w:color w:val="000000"/>
                <w:szCs w:val="22"/>
                <w:lang w:val="ru-RU"/>
              </w:rPr>
              <w:t xml:space="preserve">, </w:t>
            </w:r>
            <w:r w:rsidRPr="00FE6AC6">
              <w:rPr>
                <w:color w:val="000000"/>
                <w:szCs w:val="22"/>
                <w:lang w:val="bg-BG"/>
              </w:rPr>
              <w:t>белодробна фиброза</w:t>
            </w:r>
            <w:r w:rsidRPr="00FE6AC6">
              <w:rPr>
                <w:color w:val="000000"/>
                <w:szCs w:val="22"/>
                <w:lang w:val="ru-RU"/>
              </w:rPr>
              <w:t xml:space="preserve">, </w:t>
            </w:r>
            <w:r w:rsidRPr="00FE6AC6">
              <w:rPr>
                <w:color w:val="000000"/>
                <w:szCs w:val="22"/>
                <w:lang w:val="bg-BG"/>
              </w:rPr>
              <w:t>белодробна хипертония</w:t>
            </w:r>
            <w:r w:rsidRPr="00FE6AC6">
              <w:rPr>
                <w:color w:val="000000"/>
                <w:szCs w:val="22"/>
                <w:lang w:val="ru-RU"/>
              </w:rPr>
              <w:t xml:space="preserve">, </w:t>
            </w:r>
            <w:r w:rsidRPr="00FE6AC6">
              <w:rPr>
                <w:color w:val="000000"/>
                <w:szCs w:val="22"/>
                <w:lang w:val="bg-BG"/>
              </w:rPr>
              <w:t>белодробен кръвоизлив</w:t>
            </w:r>
          </w:p>
        </w:tc>
      </w:tr>
      <w:tr w:rsidR="00034B3E" w:rsidRPr="004015AA" w14:paraId="3E54FCD4" w14:textId="77777777" w:rsidTr="008143B1">
        <w:trPr>
          <w:cantSplit/>
        </w:trPr>
        <w:tc>
          <w:tcPr>
            <w:tcW w:w="2235" w:type="dxa"/>
          </w:tcPr>
          <w:p w14:paraId="3E54FCD2" w14:textId="77777777" w:rsidR="00034B3E" w:rsidRPr="00FE6AC6" w:rsidRDefault="00034B3E"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D3" w14:textId="77777777" w:rsidR="00034B3E" w:rsidRPr="00FE6AC6" w:rsidRDefault="00034B3E" w:rsidP="0063575E">
            <w:pPr>
              <w:widowControl w:val="0"/>
              <w:spacing w:line="240" w:lineRule="auto"/>
              <w:rPr>
                <w:color w:val="000000"/>
                <w:szCs w:val="22"/>
                <w:lang w:val="bg-BG"/>
              </w:rPr>
            </w:pPr>
            <w:r w:rsidRPr="00FE6AC6">
              <w:rPr>
                <w:color w:val="000000"/>
                <w:szCs w:val="22"/>
                <w:lang w:val="bg-BG"/>
              </w:rPr>
              <w:t>Остра дихателна недостатъчност</w:t>
            </w:r>
            <w:r w:rsidR="002131D3" w:rsidRPr="00FE6AC6">
              <w:rPr>
                <w:color w:val="000000"/>
                <w:szCs w:val="22"/>
                <w:vertAlign w:val="superscript"/>
                <w:lang w:val="bg-BG"/>
              </w:rPr>
              <w:t>11</w:t>
            </w:r>
            <w:r w:rsidRPr="00FE6AC6">
              <w:rPr>
                <w:color w:val="000000"/>
                <w:szCs w:val="22"/>
                <w:lang w:val="bg-BG"/>
              </w:rPr>
              <w:t>*, интерстициалн</w:t>
            </w:r>
            <w:r w:rsidR="00C52CA2" w:rsidRPr="00FE6AC6">
              <w:rPr>
                <w:color w:val="000000"/>
                <w:szCs w:val="22"/>
                <w:lang w:val="bg-BG"/>
              </w:rPr>
              <w:t>а</w:t>
            </w:r>
            <w:r w:rsidRPr="00FE6AC6">
              <w:rPr>
                <w:color w:val="000000"/>
                <w:szCs w:val="22"/>
                <w:lang w:val="bg-BG"/>
              </w:rPr>
              <w:t xml:space="preserve"> белодробн</w:t>
            </w:r>
            <w:r w:rsidR="00C52CA2" w:rsidRPr="00FE6AC6">
              <w:rPr>
                <w:color w:val="000000"/>
                <w:szCs w:val="22"/>
                <w:lang w:val="bg-BG"/>
              </w:rPr>
              <w:t>а</w:t>
            </w:r>
            <w:r w:rsidRPr="00FE6AC6">
              <w:rPr>
                <w:color w:val="000000"/>
                <w:szCs w:val="22"/>
                <w:lang w:val="bg-BG"/>
              </w:rPr>
              <w:t xml:space="preserve"> </w:t>
            </w:r>
            <w:r w:rsidR="00C52CA2" w:rsidRPr="00FE6AC6">
              <w:rPr>
                <w:color w:val="000000"/>
                <w:szCs w:val="22"/>
                <w:lang w:val="bg-BG"/>
              </w:rPr>
              <w:t>болест</w:t>
            </w:r>
            <w:r w:rsidRPr="00FE6AC6">
              <w:rPr>
                <w:color w:val="000000"/>
                <w:szCs w:val="22"/>
                <w:lang w:val="bg-BG"/>
              </w:rPr>
              <w:t>*</w:t>
            </w:r>
          </w:p>
        </w:tc>
      </w:tr>
      <w:tr w:rsidR="0051706F" w:rsidRPr="00FE6AC6" w14:paraId="3E54FCD6" w14:textId="77777777" w:rsidTr="008143B1">
        <w:trPr>
          <w:cantSplit/>
        </w:trPr>
        <w:tc>
          <w:tcPr>
            <w:tcW w:w="9322" w:type="dxa"/>
            <w:gridSpan w:val="2"/>
          </w:tcPr>
          <w:p w14:paraId="3E54FCD5" w14:textId="77777777" w:rsidR="0051706F" w:rsidRPr="00FE6AC6" w:rsidRDefault="0051706F" w:rsidP="0063575E">
            <w:pPr>
              <w:keepNext/>
              <w:widowControl w:val="0"/>
              <w:spacing w:line="240" w:lineRule="auto"/>
              <w:rPr>
                <w:color w:val="000000"/>
                <w:lang w:val="bg-BG"/>
              </w:rPr>
            </w:pPr>
            <w:r w:rsidRPr="00FE6AC6">
              <w:rPr>
                <w:b/>
                <w:color w:val="000000"/>
                <w:szCs w:val="22"/>
              </w:rPr>
              <w:t>Стомашно</w:t>
            </w:r>
            <w:r w:rsidRPr="00FE6AC6">
              <w:rPr>
                <w:b/>
                <w:color w:val="000000"/>
                <w:szCs w:val="22"/>
                <w:lang w:val="fr-FR"/>
              </w:rPr>
              <w:t>-</w:t>
            </w:r>
            <w:r w:rsidRPr="00FE6AC6">
              <w:rPr>
                <w:b/>
                <w:color w:val="000000"/>
                <w:szCs w:val="22"/>
              </w:rPr>
              <w:t>чревни</w:t>
            </w:r>
            <w:r w:rsidRPr="00FE6AC6">
              <w:rPr>
                <w:b/>
                <w:color w:val="000000"/>
                <w:szCs w:val="22"/>
                <w:lang w:val="fr-FR"/>
              </w:rPr>
              <w:t xml:space="preserve"> </w:t>
            </w:r>
            <w:r w:rsidRPr="00FE6AC6">
              <w:rPr>
                <w:b/>
                <w:color w:val="000000"/>
                <w:szCs w:val="22"/>
              </w:rPr>
              <w:t>нарушения</w:t>
            </w:r>
          </w:p>
        </w:tc>
      </w:tr>
      <w:tr w:rsidR="0051706F" w:rsidRPr="00FE6AC6" w14:paraId="3E54FCD9" w14:textId="77777777" w:rsidTr="008143B1">
        <w:trPr>
          <w:cantSplit/>
        </w:trPr>
        <w:tc>
          <w:tcPr>
            <w:tcW w:w="2235" w:type="dxa"/>
          </w:tcPr>
          <w:p w14:paraId="3E54FCD7" w14:textId="77777777" w:rsidR="0051706F" w:rsidRPr="00FE6AC6" w:rsidRDefault="0051706F"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4FCD8"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Гадене</w:t>
            </w:r>
            <w:r w:rsidRPr="00FE6AC6">
              <w:rPr>
                <w:color w:val="000000"/>
                <w:szCs w:val="22"/>
                <w:lang w:val="ru-RU"/>
              </w:rPr>
              <w:t xml:space="preserve">, </w:t>
            </w:r>
            <w:r w:rsidRPr="00FE6AC6">
              <w:rPr>
                <w:color w:val="000000"/>
                <w:szCs w:val="22"/>
                <w:lang w:val="bg-BG"/>
              </w:rPr>
              <w:t>диария</w:t>
            </w:r>
            <w:r w:rsidRPr="00FE6AC6">
              <w:rPr>
                <w:color w:val="000000"/>
                <w:szCs w:val="22"/>
                <w:lang w:val="ru-RU"/>
              </w:rPr>
              <w:t xml:space="preserve">, </w:t>
            </w:r>
            <w:r w:rsidRPr="00FE6AC6">
              <w:rPr>
                <w:color w:val="000000"/>
                <w:szCs w:val="22"/>
                <w:lang w:val="bg-BG"/>
              </w:rPr>
              <w:t>повръщане</w:t>
            </w:r>
            <w:r w:rsidRPr="00FE6AC6">
              <w:rPr>
                <w:color w:val="000000"/>
                <w:szCs w:val="22"/>
                <w:lang w:val="ru-RU"/>
              </w:rPr>
              <w:t xml:space="preserve">, </w:t>
            </w:r>
            <w:r w:rsidRPr="00FE6AC6">
              <w:rPr>
                <w:color w:val="000000"/>
                <w:szCs w:val="22"/>
                <w:lang w:val="bg-BG"/>
              </w:rPr>
              <w:t>диспепсия</w:t>
            </w:r>
            <w:r w:rsidRPr="00FE6AC6">
              <w:rPr>
                <w:color w:val="000000"/>
                <w:szCs w:val="22"/>
                <w:lang w:val="ru-RU"/>
              </w:rPr>
              <w:t xml:space="preserve">, </w:t>
            </w:r>
            <w:r w:rsidRPr="00FE6AC6">
              <w:rPr>
                <w:color w:val="000000"/>
                <w:szCs w:val="22"/>
                <w:lang w:val="bg-BG"/>
              </w:rPr>
              <w:t>коремна болка</w:t>
            </w:r>
            <w:r w:rsidR="000622F4" w:rsidRPr="00FE6AC6">
              <w:rPr>
                <w:color w:val="000000"/>
                <w:szCs w:val="22"/>
                <w:vertAlign w:val="superscript"/>
                <w:lang w:val="ru-RU"/>
              </w:rPr>
              <w:t>6</w:t>
            </w:r>
          </w:p>
        </w:tc>
      </w:tr>
      <w:tr w:rsidR="0051706F" w:rsidRPr="00FE6AC6" w14:paraId="3E54FCDC" w14:textId="77777777" w:rsidTr="008143B1">
        <w:trPr>
          <w:cantSplit/>
        </w:trPr>
        <w:tc>
          <w:tcPr>
            <w:tcW w:w="2235" w:type="dxa"/>
          </w:tcPr>
          <w:p w14:paraId="3E54FCDA" w14:textId="77777777" w:rsidR="0051706F" w:rsidRPr="00FE6AC6" w:rsidRDefault="0051706F"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4FCDB"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Флатуленция</w:t>
            </w:r>
            <w:r w:rsidRPr="00FE6AC6">
              <w:rPr>
                <w:color w:val="000000"/>
                <w:szCs w:val="22"/>
                <w:lang w:val="ru-RU"/>
              </w:rPr>
              <w:t xml:space="preserve">, </w:t>
            </w:r>
            <w:r w:rsidRPr="00FE6AC6">
              <w:rPr>
                <w:color w:val="000000"/>
                <w:szCs w:val="22"/>
                <w:lang w:val="bg-BG"/>
              </w:rPr>
              <w:t>подуване на корема</w:t>
            </w:r>
            <w:r w:rsidRPr="00FE6AC6">
              <w:rPr>
                <w:color w:val="000000"/>
                <w:szCs w:val="22"/>
                <w:lang w:val="ru-RU"/>
              </w:rPr>
              <w:t xml:space="preserve">, </w:t>
            </w:r>
            <w:r w:rsidRPr="00FE6AC6">
              <w:rPr>
                <w:color w:val="000000"/>
                <w:szCs w:val="22"/>
                <w:lang w:val="bg-BG"/>
              </w:rPr>
              <w:t>гастроезофагеален рефлукс</w:t>
            </w:r>
            <w:r w:rsidRPr="00FE6AC6">
              <w:rPr>
                <w:color w:val="000000"/>
                <w:szCs w:val="22"/>
                <w:lang w:val="ru-RU"/>
              </w:rPr>
              <w:t xml:space="preserve">, </w:t>
            </w:r>
            <w:r w:rsidRPr="00FE6AC6">
              <w:rPr>
                <w:color w:val="000000"/>
                <w:szCs w:val="22"/>
                <w:lang w:val="bg-BG"/>
              </w:rPr>
              <w:t>констипация</w:t>
            </w:r>
            <w:r w:rsidRPr="00FE6AC6">
              <w:rPr>
                <w:color w:val="000000"/>
                <w:szCs w:val="22"/>
                <w:lang w:val="ru-RU"/>
              </w:rPr>
              <w:t xml:space="preserve">, </w:t>
            </w:r>
            <w:r w:rsidRPr="00FE6AC6">
              <w:rPr>
                <w:color w:val="000000"/>
                <w:szCs w:val="22"/>
                <w:lang w:val="bg-BG"/>
              </w:rPr>
              <w:t>сухота в устата</w:t>
            </w:r>
            <w:r w:rsidRPr="00FE6AC6">
              <w:rPr>
                <w:color w:val="000000"/>
                <w:szCs w:val="22"/>
                <w:lang w:val="ru-RU"/>
              </w:rPr>
              <w:t xml:space="preserve">, </w:t>
            </w:r>
            <w:r w:rsidRPr="00FE6AC6">
              <w:rPr>
                <w:color w:val="000000"/>
                <w:szCs w:val="22"/>
                <w:lang w:val="bg-BG"/>
              </w:rPr>
              <w:t>гастрит</w:t>
            </w:r>
          </w:p>
        </w:tc>
      </w:tr>
      <w:tr w:rsidR="0051706F" w:rsidRPr="00FE6AC6" w14:paraId="3E54FCDF" w14:textId="77777777" w:rsidTr="008143B1">
        <w:trPr>
          <w:cantSplit/>
        </w:trPr>
        <w:tc>
          <w:tcPr>
            <w:tcW w:w="2235" w:type="dxa"/>
          </w:tcPr>
          <w:p w14:paraId="3E54FCDD" w14:textId="77777777" w:rsidR="0051706F" w:rsidRPr="00FE6AC6" w:rsidRDefault="0051706F"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CDE"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Стоматит</w:t>
            </w:r>
            <w:r w:rsidRPr="00FE6AC6">
              <w:rPr>
                <w:color w:val="000000"/>
                <w:szCs w:val="22"/>
                <w:lang w:val="ru-RU"/>
              </w:rPr>
              <w:t xml:space="preserve">, </w:t>
            </w:r>
            <w:r w:rsidRPr="00FE6AC6">
              <w:rPr>
                <w:color w:val="000000"/>
                <w:szCs w:val="22"/>
                <w:lang w:val="bg-BG"/>
              </w:rPr>
              <w:t>разязвявания в устната кухина,</w:t>
            </w:r>
            <w:r w:rsidRPr="00FE6AC6">
              <w:rPr>
                <w:color w:val="000000"/>
                <w:szCs w:val="22"/>
                <w:lang w:val="ru-RU"/>
              </w:rPr>
              <w:t xml:space="preserve"> </w:t>
            </w:r>
            <w:r w:rsidRPr="00FE6AC6">
              <w:rPr>
                <w:color w:val="000000"/>
                <w:szCs w:val="22"/>
                <w:lang w:val="bg-BG"/>
              </w:rPr>
              <w:t>стомашно-чревен кръвоизлив</w:t>
            </w:r>
            <w:r w:rsidR="002E3948" w:rsidRPr="00FE6AC6">
              <w:rPr>
                <w:color w:val="000000"/>
                <w:szCs w:val="22"/>
                <w:vertAlign w:val="superscript"/>
                <w:lang w:val="ru-RU"/>
              </w:rPr>
              <w:t>7</w:t>
            </w:r>
            <w:r w:rsidRPr="00FE6AC6">
              <w:rPr>
                <w:color w:val="000000"/>
                <w:szCs w:val="22"/>
                <w:lang w:val="ru-RU"/>
              </w:rPr>
              <w:t xml:space="preserve">, </w:t>
            </w:r>
            <w:r w:rsidRPr="00FE6AC6">
              <w:rPr>
                <w:color w:val="000000"/>
                <w:szCs w:val="22"/>
                <w:lang w:val="bg-BG"/>
              </w:rPr>
              <w:t>оригване</w:t>
            </w:r>
            <w:r w:rsidRPr="00FE6AC6">
              <w:rPr>
                <w:color w:val="000000"/>
                <w:szCs w:val="22"/>
                <w:lang w:val="ru-RU"/>
              </w:rPr>
              <w:t xml:space="preserve">, </w:t>
            </w:r>
            <w:r w:rsidRPr="00FE6AC6">
              <w:rPr>
                <w:color w:val="000000"/>
                <w:szCs w:val="22"/>
                <w:lang w:val="bg-BG"/>
              </w:rPr>
              <w:t>мелена</w:t>
            </w:r>
            <w:r w:rsidRPr="00FE6AC6">
              <w:rPr>
                <w:color w:val="000000"/>
                <w:szCs w:val="22"/>
                <w:lang w:val="ru-RU"/>
              </w:rPr>
              <w:t xml:space="preserve">, </w:t>
            </w:r>
            <w:r w:rsidRPr="00FE6AC6">
              <w:rPr>
                <w:color w:val="000000"/>
                <w:szCs w:val="22"/>
                <w:lang w:val="bg-BG"/>
              </w:rPr>
              <w:t>езофагит</w:t>
            </w:r>
            <w:r w:rsidRPr="00FE6AC6">
              <w:rPr>
                <w:color w:val="000000"/>
                <w:szCs w:val="22"/>
                <w:lang w:val="ru-RU"/>
              </w:rPr>
              <w:t xml:space="preserve">, </w:t>
            </w:r>
            <w:r w:rsidRPr="00FE6AC6">
              <w:rPr>
                <w:color w:val="000000"/>
                <w:szCs w:val="22"/>
                <w:lang w:val="bg-BG"/>
              </w:rPr>
              <w:t>асцит</w:t>
            </w:r>
            <w:r w:rsidRPr="00FE6AC6">
              <w:rPr>
                <w:color w:val="000000"/>
                <w:szCs w:val="22"/>
                <w:lang w:val="ru-RU"/>
              </w:rPr>
              <w:t xml:space="preserve">, стомашна язва, </w:t>
            </w:r>
            <w:r w:rsidRPr="00FE6AC6">
              <w:rPr>
                <w:color w:val="000000"/>
                <w:szCs w:val="22"/>
                <w:lang w:val="bg-BG"/>
              </w:rPr>
              <w:t>хематемеза</w:t>
            </w:r>
            <w:r w:rsidRPr="00FE6AC6">
              <w:rPr>
                <w:color w:val="000000"/>
                <w:szCs w:val="22"/>
                <w:lang w:val="ru-RU"/>
              </w:rPr>
              <w:t xml:space="preserve">, </w:t>
            </w:r>
            <w:r w:rsidRPr="00FE6AC6">
              <w:rPr>
                <w:color w:val="000000"/>
                <w:szCs w:val="22"/>
                <w:lang w:val="bg-BG"/>
              </w:rPr>
              <w:t>хейлит</w:t>
            </w:r>
            <w:r w:rsidRPr="00FE6AC6">
              <w:rPr>
                <w:color w:val="000000"/>
                <w:szCs w:val="22"/>
                <w:lang w:val="ru-RU"/>
              </w:rPr>
              <w:t xml:space="preserve">, </w:t>
            </w:r>
            <w:r w:rsidRPr="00FE6AC6">
              <w:rPr>
                <w:color w:val="000000"/>
                <w:szCs w:val="22"/>
                <w:lang w:val="bg-BG"/>
              </w:rPr>
              <w:t>дисфагия</w:t>
            </w:r>
            <w:r w:rsidRPr="00FE6AC6">
              <w:rPr>
                <w:color w:val="000000"/>
                <w:szCs w:val="22"/>
                <w:lang w:val="ru-RU"/>
              </w:rPr>
              <w:t xml:space="preserve">, </w:t>
            </w:r>
            <w:r w:rsidRPr="00FE6AC6">
              <w:rPr>
                <w:color w:val="000000"/>
                <w:szCs w:val="22"/>
                <w:lang w:val="bg-BG"/>
              </w:rPr>
              <w:t>панкреатит</w:t>
            </w:r>
          </w:p>
        </w:tc>
      </w:tr>
      <w:tr w:rsidR="0051706F" w:rsidRPr="00FE6AC6" w14:paraId="3E54FCE2" w14:textId="77777777" w:rsidTr="008143B1">
        <w:trPr>
          <w:cantSplit/>
        </w:trPr>
        <w:tc>
          <w:tcPr>
            <w:tcW w:w="2235" w:type="dxa"/>
          </w:tcPr>
          <w:p w14:paraId="3E54FCE0" w14:textId="77777777" w:rsidR="0051706F" w:rsidRPr="00FE6AC6" w:rsidRDefault="0051706F"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4FCE1" w14:textId="77777777" w:rsidR="0051706F" w:rsidRPr="00FE6AC6" w:rsidRDefault="0051706F" w:rsidP="0063575E">
            <w:pPr>
              <w:keepNext/>
              <w:widowControl w:val="0"/>
              <w:spacing w:line="240" w:lineRule="auto"/>
              <w:rPr>
                <w:snapToGrid w:val="0"/>
                <w:color w:val="000000"/>
                <w:szCs w:val="22"/>
                <w:lang w:val="ru-RU"/>
              </w:rPr>
            </w:pPr>
            <w:r w:rsidRPr="00FE6AC6">
              <w:rPr>
                <w:color w:val="000000"/>
                <w:szCs w:val="22"/>
                <w:lang w:val="bg-BG"/>
              </w:rPr>
              <w:t>Колит</w:t>
            </w:r>
            <w:r w:rsidRPr="00FE6AC6">
              <w:rPr>
                <w:color w:val="000000"/>
                <w:szCs w:val="22"/>
                <w:lang w:val="ru-RU"/>
              </w:rPr>
              <w:t xml:space="preserve">, </w:t>
            </w:r>
            <w:r w:rsidRPr="00FE6AC6">
              <w:rPr>
                <w:color w:val="000000"/>
                <w:szCs w:val="22"/>
                <w:lang w:val="bg-BG"/>
              </w:rPr>
              <w:t>илеит</w:t>
            </w:r>
            <w:r w:rsidRPr="00FE6AC6">
              <w:rPr>
                <w:snapToGrid w:val="0"/>
                <w:color w:val="000000"/>
                <w:szCs w:val="22"/>
                <w:lang w:val="ru-RU"/>
              </w:rPr>
              <w:t xml:space="preserve">, </w:t>
            </w:r>
            <w:r w:rsidRPr="00FE6AC6">
              <w:rPr>
                <w:snapToGrid w:val="0"/>
                <w:color w:val="000000"/>
                <w:szCs w:val="22"/>
                <w:lang w:val="bg-BG"/>
              </w:rPr>
              <w:t>възпалителни заболявания на червата</w:t>
            </w:r>
          </w:p>
        </w:tc>
      </w:tr>
      <w:tr w:rsidR="001428F6" w:rsidRPr="004015AA" w14:paraId="3E54FCE5" w14:textId="77777777" w:rsidTr="008143B1">
        <w:trPr>
          <w:cantSplit/>
        </w:trPr>
        <w:tc>
          <w:tcPr>
            <w:tcW w:w="2235" w:type="dxa"/>
          </w:tcPr>
          <w:p w14:paraId="3E54FCE3" w14:textId="77777777" w:rsidR="001428F6" w:rsidRPr="00FE6AC6" w:rsidRDefault="001428F6"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CE4" w14:textId="77777777" w:rsidR="001428F6" w:rsidRPr="00FE6AC6" w:rsidRDefault="001428F6" w:rsidP="0063575E">
            <w:pPr>
              <w:widowControl w:val="0"/>
              <w:spacing w:line="240" w:lineRule="auto"/>
              <w:rPr>
                <w:color w:val="000000"/>
                <w:szCs w:val="22"/>
                <w:lang w:val="bg-BG"/>
              </w:rPr>
            </w:pPr>
            <w:r w:rsidRPr="00FE6AC6">
              <w:rPr>
                <w:color w:val="000000"/>
                <w:szCs w:val="22"/>
                <w:lang w:val="bg-BG"/>
              </w:rPr>
              <w:t>Илеус/интестинална обструкция</w:t>
            </w:r>
            <w:r w:rsidR="008C64DA" w:rsidRPr="00FE6AC6">
              <w:rPr>
                <w:color w:val="000000"/>
                <w:szCs w:val="22"/>
                <w:lang w:val="bg-BG"/>
              </w:rPr>
              <w:t>*</w:t>
            </w:r>
            <w:r w:rsidRPr="00FE6AC6">
              <w:rPr>
                <w:color w:val="000000"/>
                <w:szCs w:val="22"/>
                <w:lang w:val="bg-BG"/>
              </w:rPr>
              <w:t>, гастроинтестинална перфорация*</w:t>
            </w:r>
            <w:r w:rsidRPr="00FE6AC6">
              <w:rPr>
                <w:snapToGrid w:val="0"/>
                <w:color w:val="000000"/>
                <w:szCs w:val="22"/>
                <w:lang w:val="bg-BG"/>
              </w:rPr>
              <w:t xml:space="preserve">, дивертикулит*, </w:t>
            </w:r>
            <w:r w:rsidR="00443F2F" w:rsidRPr="00FE6AC6">
              <w:rPr>
                <w:snapToGrid w:val="0"/>
                <w:color w:val="000000"/>
                <w:szCs w:val="22"/>
                <w:lang w:val="bg-BG"/>
              </w:rPr>
              <w:t>стомашна антрална съдова ектазия</w:t>
            </w:r>
            <w:r w:rsidRPr="00FE6AC6">
              <w:rPr>
                <w:snapToGrid w:val="0"/>
                <w:color w:val="000000"/>
                <w:szCs w:val="22"/>
                <w:lang w:val="bg-BG"/>
              </w:rPr>
              <w:t xml:space="preserve"> (</w:t>
            </w:r>
            <w:r w:rsidRPr="00FE6AC6">
              <w:rPr>
                <w:snapToGrid w:val="0"/>
                <w:color w:val="000000"/>
                <w:szCs w:val="22"/>
              </w:rPr>
              <w:t>GAVE</w:t>
            </w:r>
            <w:r w:rsidRPr="00FE6AC6">
              <w:rPr>
                <w:snapToGrid w:val="0"/>
                <w:color w:val="000000"/>
                <w:szCs w:val="22"/>
                <w:lang w:val="bg-BG"/>
              </w:rPr>
              <w:t>)*</w:t>
            </w:r>
          </w:p>
        </w:tc>
      </w:tr>
      <w:tr w:rsidR="00B17B3D" w:rsidRPr="00FE6AC6" w14:paraId="3E54FCE7" w14:textId="77777777" w:rsidTr="008143B1">
        <w:trPr>
          <w:cantSplit/>
        </w:trPr>
        <w:tc>
          <w:tcPr>
            <w:tcW w:w="9322" w:type="dxa"/>
            <w:gridSpan w:val="2"/>
          </w:tcPr>
          <w:p w14:paraId="3E54FCE6" w14:textId="77777777" w:rsidR="00B17B3D" w:rsidRPr="00FE6AC6" w:rsidRDefault="00B17B3D" w:rsidP="0063575E">
            <w:pPr>
              <w:keepNext/>
              <w:widowControl w:val="0"/>
              <w:spacing w:line="240" w:lineRule="auto"/>
              <w:rPr>
                <w:snapToGrid w:val="0"/>
                <w:color w:val="000000"/>
                <w:szCs w:val="22"/>
                <w:lang w:val="ru-RU"/>
              </w:rPr>
            </w:pPr>
            <w:r w:rsidRPr="00FE6AC6">
              <w:rPr>
                <w:b/>
                <w:color w:val="000000"/>
                <w:szCs w:val="22"/>
                <w:lang w:val="ru-RU"/>
              </w:rPr>
              <w:t>Хепатобилиарни нарушения</w:t>
            </w:r>
          </w:p>
        </w:tc>
      </w:tr>
      <w:tr w:rsidR="00B17B3D" w:rsidRPr="00FE6AC6" w14:paraId="3E54FCEA" w14:textId="77777777" w:rsidTr="008143B1">
        <w:trPr>
          <w:cantSplit/>
        </w:trPr>
        <w:tc>
          <w:tcPr>
            <w:tcW w:w="2235" w:type="dxa"/>
          </w:tcPr>
          <w:p w14:paraId="3E54FCE8" w14:textId="77777777" w:rsidR="00B17B3D" w:rsidRPr="00FE6AC6" w:rsidRDefault="00B17B3D"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4FCE9" w14:textId="77777777" w:rsidR="00B17B3D" w:rsidRPr="00FE6AC6" w:rsidRDefault="00B17B3D" w:rsidP="0063575E">
            <w:pPr>
              <w:keepNext/>
              <w:widowControl w:val="0"/>
              <w:spacing w:line="240" w:lineRule="auto"/>
              <w:rPr>
                <w:color w:val="000000"/>
                <w:szCs w:val="22"/>
              </w:rPr>
            </w:pPr>
            <w:r w:rsidRPr="00FE6AC6">
              <w:rPr>
                <w:color w:val="000000"/>
                <w:szCs w:val="22"/>
                <w:lang w:val="bg-BG"/>
              </w:rPr>
              <w:t>Повишени чернодробни ензими</w:t>
            </w:r>
          </w:p>
        </w:tc>
      </w:tr>
      <w:tr w:rsidR="00B17B3D" w:rsidRPr="00FE6AC6" w14:paraId="3E54FCED" w14:textId="77777777" w:rsidTr="008143B1">
        <w:trPr>
          <w:cantSplit/>
        </w:trPr>
        <w:tc>
          <w:tcPr>
            <w:tcW w:w="2235" w:type="dxa"/>
          </w:tcPr>
          <w:p w14:paraId="3E54FCEB" w14:textId="77777777" w:rsidR="00B17B3D" w:rsidRPr="00FE6AC6" w:rsidRDefault="00B17B3D"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4FCEC" w14:textId="77777777" w:rsidR="00B17B3D" w:rsidRPr="00FE6AC6" w:rsidRDefault="00B17B3D" w:rsidP="0063575E">
            <w:pPr>
              <w:keepNext/>
              <w:widowControl w:val="0"/>
              <w:spacing w:line="240" w:lineRule="auto"/>
              <w:rPr>
                <w:color w:val="000000"/>
                <w:szCs w:val="22"/>
              </w:rPr>
            </w:pPr>
            <w:r w:rsidRPr="00FE6AC6">
              <w:rPr>
                <w:color w:val="000000"/>
                <w:szCs w:val="22"/>
                <w:lang w:val="bg-BG"/>
              </w:rPr>
              <w:t>Хипербилирубинемия</w:t>
            </w:r>
            <w:r w:rsidRPr="00FE6AC6">
              <w:rPr>
                <w:color w:val="000000"/>
                <w:szCs w:val="22"/>
              </w:rPr>
              <w:t xml:space="preserve">, </w:t>
            </w:r>
            <w:r w:rsidRPr="00FE6AC6">
              <w:rPr>
                <w:color w:val="000000"/>
                <w:szCs w:val="22"/>
                <w:lang w:val="bg-BG"/>
              </w:rPr>
              <w:t>хепатит</w:t>
            </w:r>
            <w:r w:rsidRPr="00FE6AC6">
              <w:rPr>
                <w:color w:val="000000"/>
                <w:szCs w:val="22"/>
              </w:rPr>
              <w:t xml:space="preserve">, </w:t>
            </w:r>
            <w:r w:rsidRPr="00FE6AC6">
              <w:rPr>
                <w:color w:val="000000"/>
                <w:szCs w:val="22"/>
                <w:lang w:val="bg-BG"/>
              </w:rPr>
              <w:t>иктер</w:t>
            </w:r>
          </w:p>
        </w:tc>
      </w:tr>
      <w:tr w:rsidR="00B17B3D" w:rsidRPr="00FE6AC6" w14:paraId="3E54FCF0" w14:textId="77777777" w:rsidTr="008143B1">
        <w:trPr>
          <w:cantSplit/>
        </w:trPr>
        <w:tc>
          <w:tcPr>
            <w:tcW w:w="2235" w:type="dxa"/>
          </w:tcPr>
          <w:p w14:paraId="3E54FCEE" w14:textId="77777777" w:rsidR="00B17B3D" w:rsidRPr="00FE6AC6" w:rsidRDefault="00B17B3D" w:rsidP="0063575E">
            <w:pPr>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4FCEF" w14:textId="77777777" w:rsidR="00B17B3D" w:rsidRPr="00FE6AC6" w:rsidRDefault="00B17B3D" w:rsidP="0063575E">
            <w:pPr>
              <w:widowControl w:val="0"/>
              <w:spacing w:line="240" w:lineRule="auto"/>
              <w:rPr>
                <w:color w:val="000000"/>
                <w:szCs w:val="22"/>
              </w:rPr>
            </w:pPr>
            <w:r w:rsidRPr="00FE6AC6">
              <w:rPr>
                <w:color w:val="000000"/>
                <w:szCs w:val="22"/>
                <w:lang w:val="bg-BG"/>
              </w:rPr>
              <w:t>Чернодробна недостатъчност</w:t>
            </w:r>
            <w:r w:rsidR="00A65F6E" w:rsidRPr="00FE6AC6">
              <w:rPr>
                <w:color w:val="000000"/>
                <w:szCs w:val="22"/>
                <w:vertAlign w:val="superscript"/>
              </w:rPr>
              <w:t>8</w:t>
            </w:r>
            <w:r w:rsidRPr="00FE6AC6">
              <w:rPr>
                <w:color w:val="000000"/>
                <w:szCs w:val="22"/>
              </w:rPr>
              <w:t xml:space="preserve">, </w:t>
            </w:r>
            <w:r w:rsidRPr="00FE6AC6">
              <w:rPr>
                <w:color w:val="000000"/>
                <w:szCs w:val="22"/>
                <w:lang w:val="bg-BG"/>
              </w:rPr>
              <w:t>чернодробна некроза</w:t>
            </w:r>
          </w:p>
        </w:tc>
      </w:tr>
      <w:tr w:rsidR="0051706F" w:rsidRPr="00FE6AC6" w14:paraId="3E54FCF2" w14:textId="77777777" w:rsidTr="008143B1">
        <w:trPr>
          <w:cantSplit/>
        </w:trPr>
        <w:tc>
          <w:tcPr>
            <w:tcW w:w="9322" w:type="dxa"/>
            <w:gridSpan w:val="2"/>
          </w:tcPr>
          <w:p w14:paraId="3E54FCF1" w14:textId="77777777" w:rsidR="0051706F" w:rsidRPr="00FE6AC6" w:rsidRDefault="0051706F" w:rsidP="0063575E">
            <w:pPr>
              <w:keepNext/>
              <w:widowControl w:val="0"/>
              <w:spacing w:line="240" w:lineRule="auto"/>
              <w:rPr>
                <w:color w:val="000000"/>
                <w:lang w:val="ru-RU"/>
              </w:rPr>
            </w:pPr>
            <w:r w:rsidRPr="00FE6AC6">
              <w:rPr>
                <w:b/>
                <w:color w:val="000000"/>
                <w:szCs w:val="22"/>
                <w:lang w:val="ru-RU"/>
              </w:rPr>
              <w:lastRenderedPageBreak/>
              <w:t>Нарушения на кожата и подкожната тъкан</w:t>
            </w:r>
          </w:p>
        </w:tc>
      </w:tr>
      <w:tr w:rsidR="0051706F" w:rsidRPr="00FE6AC6" w14:paraId="3E54FCF5" w14:textId="77777777" w:rsidTr="008143B1">
        <w:trPr>
          <w:cantSplit/>
        </w:trPr>
        <w:tc>
          <w:tcPr>
            <w:tcW w:w="2235" w:type="dxa"/>
          </w:tcPr>
          <w:p w14:paraId="3E54FCF3" w14:textId="77777777" w:rsidR="0051706F" w:rsidRPr="00FE6AC6" w:rsidRDefault="0051706F"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4FCF4"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Периорбитален оток</w:t>
            </w:r>
            <w:r w:rsidRPr="00FE6AC6">
              <w:rPr>
                <w:color w:val="000000"/>
                <w:szCs w:val="22"/>
                <w:lang w:val="ru-RU"/>
              </w:rPr>
              <w:t xml:space="preserve">, </w:t>
            </w:r>
            <w:r w:rsidRPr="00FE6AC6">
              <w:rPr>
                <w:color w:val="000000"/>
                <w:szCs w:val="22"/>
                <w:lang w:val="bg-BG"/>
              </w:rPr>
              <w:t>дерматит</w:t>
            </w:r>
            <w:r w:rsidRPr="00FE6AC6">
              <w:rPr>
                <w:color w:val="000000"/>
                <w:szCs w:val="22"/>
                <w:lang w:val="ru-RU"/>
              </w:rPr>
              <w:t>/</w:t>
            </w:r>
            <w:r w:rsidRPr="00FE6AC6">
              <w:rPr>
                <w:color w:val="000000"/>
                <w:szCs w:val="22"/>
                <w:lang w:val="bg-BG"/>
              </w:rPr>
              <w:t>екзема</w:t>
            </w:r>
            <w:r w:rsidRPr="00FE6AC6">
              <w:rPr>
                <w:color w:val="000000"/>
                <w:szCs w:val="22"/>
                <w:lang w:val="ru-RU"/>
              </w:rPr>
              <w:t>/</w:t>
            </w:r>
            <w:r w:rsidRPr="00FE6AC6">
              <w:rPr>
                <w:color w:val="000000"/>
                <w:szCs w:val="22"/>
                <w:lang w:val="bg-BG"/>
              </w:rPr>
              <w:t>обрив</w:t>
            </w:r>
          </w:p>
        </w:tc>
      </w:tr>
      <w:tr w:rsidR="0051706F" w:rsidRPr="00FE6AC6" w14:paraId="3E54FCF8" w14:textId="77777777" w:rsidTr="008143B1">
        <w:trPr>
          <w:cantSplit/>
        </w:trPr>
        <w:tc>
          <w:tcPr>
            <w:tcW w:w="2235" w:type="dxa"/>
          </w:tcPr>
          <w:p w14:paraId="3E54FCF6" w14:textId="77777777" w:rsidR="0051706F" w:rsidRPr="00FE6AC6" w:rsidRDefault="0051706F"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4FCF7" w14:textId="77777777" w:rsidR="0051706F" w:rsidRPr="00FE6AC6" w:rsidRDefault="0051706F" w:rsidP="0063575E">
            <w:pPr>
              <w:keepNext/>
              <w:widowControl w:val="0"/>
              <w:spacing w:line="240" w:lineRule="auto"/>
              <w:rPr>
                <w:color w:val="000000"/>
                <w:lang w:val="ru-RU"/>
              </w:rPr>
            </w:pPr>
            <w:r w:rsidRPr="00FE6AC6">
              <w:rPr>
                <w:color w:val="000000"/>
                <w:szCs w:val="22"/>
                <w:lang w:val="bg-BG"/>
              </w:rPr>
              <w:t>Пруритус</w:t>
            </w:r>
            <w:r w:rsidRPr="00FE6AC6">
              <w:rPr>
                <w:color w:val="000000"/>
                <w:szCs w:val="22"/>
                <w:lang w:val="ru-RU"/>
              </w:rPr>
              <w:t xml:space="preserve">, </w:t>
            </w:r>
            <w:r w:rsidRPr="00FE6AC6">
              <w:rPr>
                <w:color w:val="000000"/>
                <w:szCs w:val="22"/>
                <w:lang w:val="bg-BG"/>
              </w:rPr>
              <w:t>оток на лицето</w:t>
            </w:r>
            <w:r w:rsidRPr="00FE6AC6">
              <w:rPr>
                <w:color w:val="000000"/>
                <w:szCs w:val="22"/>
                <w:lang w:val="ru-RU"/>
              </w:rPr>
              <w:t xml:space="preserve">, </w:t>
            </w:r>
            <w:r w:rsidRPr="00FE6AC6">
              <w:rPr>
                <w:color w:val="000000"/>
                <w:szCs w:val="22"/>
                <w:lang w:val="bg-BG"/>
              </w:rPr>
              <w:t>суха кожа</w:t>
            </w:r>
            <w:r w:rsidRPr="00FE6AC6">
              <w:rPr>
                <w:color w:val="000000"/>
                <w:szCs w:val="22"/>
                <w:lang w:val="ru-RU"/>
              </w:rPr>
              <w:t xml:space="preserve">, </w:t>
            </w:r>
            <w:r w:rsidRPr="00FE6AC6">
              <w:rPr>
                <w:color w:val="000000"/>
                <w:szCs w:val="22"/>
                <w:lang w:val="bg-BG"/>
              </w:rPr>
              <w:t>еритем</w:t>
            </w:r>
            <w:r w:rsidRPr="00FE6AC6">
              <w:rPr>
                <w:color w:val="000000"/>
                <w:szCs w:val="22"/>
                <w:lang w:val="ru-RU"/>
              </w:rPr>
              <w:t xml:space="preserve">, </w:t>
            </w:r>
            <w:r w:rsidRPr="00FE6AC6">
              <w:rPr>
                <w:color w:val="000000"/>
                <w:szCs w:val="22"/>
                <w:lang w:val="bg-BG"/>
              </w:rPr>
              <w:t>алопеция</w:t>
            </w:r>
            <w:r w:rsidRPr="00FE6AC6">
              <w:rPr>
                <w:color w:val="000000"/>
                <w:szCs w:val="22"/>
                <w:lang w:val="ru-RU"/>
              </w:rPr>
              <w:t xml:space="preserve">, </w:t>
            </w:r>
            <w:r w:rsidRPr="00FE6AC6">
              <w:rPr>
                <w:color w:val="000000"/>
                <w:szCs w:val="22"/>
                <w:lang w:val="bg-BG"/>
              </w:rPr>
              <w:t>нощни изпотявания,</w:t>
            </w:r>
            <w:r w:rsidRPr="00FE6AC6">
              <w:rPr>
                <w:color w:val="000000"/>
                <w:szCs w:val="22"/>
                <w:lang w:val="ru-RU"/>
              </w:rPr>
              <w:t xml:space="preserve"> </w:t>
            </w:r>
            <w:r w:rsidRPr="00FE6AC6">
              <w:rPr>
                <w:color w:val="000000"/>
                <w:szCs w:val="22"/>
                <w:lang w:val="bg-BG"/>
              </w:rPr>
              <w:t>фоточувствителна реакция</w:t>
            </w:r>
          </w:p>
        </w:tc>
      </w:tr>
      <w:tr w:rsidR="0051706F" w:rsidRPr="00FE6AC6" w14:paraId="3E54FCFB" w14:textId="77777777" w:rsidTr="008143B1">
        <w:trPr>
          <w:cantSplit/>
        </w:trPr>
        <w:tc>
          <w:tcPr>
            <w:tcW w:w="2235" w:type="dxa"/>
          </w:tcPr>
          <w:p w14:paraId="3E54FCF9" w14:textId="77777777" w:rsidR="0051706F" w:rsidRPr="00FE6AC6" w:rsidRDefault="0051706F"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CFA" w14:textId="77777777" w:rsidR="0051706F" w:rsidRPr="00FE6AC6" w:rsidRDefault="0051706F" w:rsidP="0063575E">
            <w:pPr>
              <w:keepNext/>
              <w:widowControl w:val="0"/>
              <w:spacing w:line="240" w:lineRule="auto"/>
              <w:rPr>
                <w:color w:val="000000"/>
                <w:szCs w:val="22"/>
              </w:rPr>
            </w:pPr>
            <w:r w:rsidRPr="00FE6AC6">
              <w:rPr>
                <w:color w:val="000000"/>
                <w:szCs w:val="22"/>
                <w:lang w:val="bg-BG"/>
              </w:rPr>
              <w:t>Пустулозен обрив</w:t>
            </w:r>
            <w:r w:rsidRPr="00FE6AC6">
              <w:rPr>
                <w:color w:val="000000"/>
                <w:szCs w:val="22"/>
              </w:rPr>
              <w:t xml:space="preserve">, </w:t>
            </w:r>
            <w:r w:rsidR="002401B7" w:rsidRPr="00FE6AC6">
              <w:rPr>
                <w:color w:val="000000"/>
                <w:szCs w:val="22"/>
                <w:lang w:val="bg-BG"/>
              </w:rPr>
              <w:t>натъртване</w:t>
            </w:r>
            <w:r w:rsidRPr="00FE6AC6">
              <w:rPr>
                <w:color w:val="000000"/>
                <w:szCs w:val="22"/>
              </w:rPr>
              <w:t xml:space="preserve">, </w:t>
            </w:r>
            <w:r w:rsidRPr="00FE6AC6">
              <w:rPr>
                <w:color w:val="000000"/>
                <w:szCs w:val="22"/>
                <w:lang w:val="bg-BG"/>
              </w:rPr>
              <w:t>повишено изпотяване</w:t>
            </w:r>
            <w:r w:rsidRPr="00FE6AC6">
              <w:rPr>
                <w:color w:val="000000"/>
                <w:szCs w:val="22"/>
              </w:rPr>
              <w:t xml:space="preserve">, </w:t>
            </w:r>
            <w:r w:rsidRPr="00FE6AC6">
              <w:rPr>
                <w:color w:val="000000"/>
                <w:szCs w:val="22"/>
                <w:lang w:val="bg-BG"/>
              </w:rPr>
              <w:t>уртикария</w:t>
            </w:r>
            <w:r w:rsidRPr="00FE6AC6">
              <w:rPr>
                <w:color w:val="000000"/>
                <w:szCs w:val="22"/>
              </w:rPr>
              <w:t xml:space="preserve">, </w:t>
            </w:r>
            <w:r w:rsidRPr="00FE6AC6">
              <w:rPr>
                <w:color w:val="000000"/>
                <w:szCs w:val="22"/>
                <w:lang w:val="bg-BG"/>
              </w:rPr>
              <w:t>екхимоза</w:t>
            </w:r>
            <w:r w:rsidRPr="00FE6AC6">
              <w:rPr>
                <w:color w:val="000000"/>
                <w:szCs w:val="22"/>
              </w:rPr>
              <w:t xml:space="preserve">, </w:t>
            </w:r>
            <w:r w:rsidRPr="00FE6AC6">
              <w:rPr>
                <w:color w:val="000000"/>
                <w:szCs w:val="22"/>
                <w:lang w:val="bg-BG"/>
              </w:rPr>
              <w:t>повишена склонност към насиняване</w:t>
            </w:r>
            <w:r w:rsidRPr="00FE6AC6">
              <w:rPr>
                <w:color w:val="000000"/>
                <w:szCs w:val="22"/>
              </w:rPr>
              <w:t xml:space="preserve">, </w:t>
            </w:r>
            <w:r w:rsidRPr="00FE6AC6">
              <w:rPr>
                <w:color w:val="000000"/>
                <w:szCs w:val="22"/>
                <w:lang w:val="bg-BG"/>
              </w:rPr>
              <w:t>хипотрихоза</w:t>
            </w:r>
            <w:r w:rsidRPr="00FE6AC6">
              <w:rPr>
                <w:color w:val="000000"/>
                <w:szCs w:val="22"/>
              </w:rPr>
              <w:t xml:space="preserve">, </w:t>
            </w:r>
            <w:r w:rsidRPr="00FE6AC6">
              <w:rPr>
                <w:color w:val="000000"/>
                <w:szCs w:val="22"/>
                <w:lang w:val="bg-BG"/>
              </w:rPr>
              <w:t>кожна хипопигментация</w:t>
            </w:r>
            <w:r w:rsidRPr="00FE6AC6">
              <w:rPr>
                <w:color w:val="000000"/>
                <w:szCs w:val="22"/>
              </w:rPr>
              <w:t xml:space="preserve">, </w:t>
            </w:r>
            <w:r w:rsidRPr="00FE6AC6">
              <w:rPr>
                <w:color w:val="000000"/>
                <w:szCs w:val="22"/>
                <w:lang w:val="bg-BG"/>
              </w:rPr>
              <w:t>ексфолиативен дерматит</w:t>
            </w:r>
            <w:r w:rsidRPr="00FE6AC6">
              <w:rPr>
                <w:color w:val="000000"/>
                <w:szCs w:val="22"/>
              </w:rPr>
              <w:t xml:space="preserve">, </w:t>
            </w:r>
            <w:r w:rsidR="002401B7" w:rsidRPr="00FE6AC6">
              <w:rPr>
                <w:color w:val="000000"/>
                <w:szCs w:val="22"/>
                <w:lang w:val="bg-BG"/>
              </w:rPr>
              <w:t>чупливост</w:t>
            </w:r>
            <w:r w:rsidRPr="00FE6AC6">
              <w:rPr>
                <w:color w:val="000000"/>
                <w:szCs w:val="22"/>
                <w:lang w:val="bg-BG"/>
              </w:rPr>
              <w:t xml:space="preserve"> на ноктите</w:t>
            </w:r>
            <w:r w:rsidRPr="00FE6AC6">
              <w:rPr>
                <w:color w:val="000000"/>
                <w:szCs w:val="22"/>
              </w:rPr>
              <w:t xml:space="preserve">, </w:t>
            </w:r>
            <w:r w:rsidRPr="00FE6AC6">
              <w:rPr>
                <w:color w:val="000000"/>
                <w:szCs w:val="22"/>
                <w:lang w:val="bg-BG"/>
              </w:rPr>
              <w:t>фоликулит</w:t>
            </w:r>
            <w:r w:rsidRPr="00FE6AC6">
              <w:rPr>
                <w:color w:val="000000"/>
                <w:szCs w:val="22"/>
              </w:rPr>
              <w:t xml:space="preserve">, </w:t>
            </w:r>
            <w:r w:rsidRPr="00FE6AC6">
              <w:rPr>
                <w:color w:val="000000"/>
                <w:szCs w:val="22"/>
                <w:lang w:val="bg-BG"/>
              </w:rPr>
              <w:t>петехии</w:t>
            </w:r>
            <w:r w:rsidRPr="00FE6AC6">
              <w:rPr>
                <w:color w:val="000000"/>
                <w:szCs w:val="22"/>
              </w:rPr>
              <w:t xml:space="preserve">, </w:t>
            </w:r>
            <w:r w:rsidRPr="00FE6AC6">
              <w:rPr>
                <w:color w:val="000000"/>
                <w:szCs w:val="22"/>
                <w:lang w:val="bg-BG"/>
              </w:rPr>
              <w:t>псориазис</w:t>
            </w:r>
            <w:r w:rsidRPr="00FE6AC6">
              <w:rPr>
                <w:color w:val="000000"/>
                <w:szCs w:val="22"/>
              </w:rPr>
              <w:t xml:space="preserve">, </w:t>
            </w:r>
            <w:r w:rsidRPr="00FE6AC6">
              <w:rPr>
                <w:color w:val="000000"/>
                <w:szCs w:val="22"/>
                <w:lang w:val="bg-BG"/>
              </w:rPr>
              <w:t>пурпура</w:t>
            </w:r>
            <w:r w:rsidRPr="00FE6AC6">
              <w:rPr>
                <w:color w:val="000000"/>
                <w:szCs w:val="22"/>
              </w:rPr>
              <w:t xml:space="preserve">, </w:t>
            </w:r>
            <w:r w:rsidRPr="00FE6AC6">
              <w:rPr>
                <w:color w:val="000000"/>
                <w:szCs w:val="22"/>
                <w:lang w:val="bg-BG"/>
              </w:rPr>
              <w:t>кожна хипрепигментация,</w:t>
            </w:r>
            <w:r w:rsidRPr="00FE6AC6">
              <w:rPr>
                <w:color w:val="000000"/>
                <w:szCs w:val="22"/>
              </w:rPr>
              <w:t xml:space="preserve"> </w:t>
            </w:r>
            <w:r w:rsidRPr="00FE6AC6">
              <w:rPr>
                <w:color w:val="000000"/>
                <w:szCs w:val="22"/>
                <w:lang w:val="bg-BG"/>
              </w:rPr>
              <w:t>булозни ерупции</w:t>
            </w:r>
          </w:p>
        </w:tc>
      </w:tr>
      <w:tr w:rsidR="0051706F" w:rsidRPr="00FE6AC6" w14:paraId="3E54FCFE" w14:textId="77777777" w:rsidTr="008143B1">
        <w:trPr>
          <w:cantSplit/>
        </w:trPr>
        <w:tc>
          <w:tcPr>
            <w:tcW w:w="2235" w:type="dxa"/>
          </w:tcPr>
          <w:p w14:paraId="3E54FCFC" w14:textId="77777777" w:rsidR="0051706F" w:rsidRPr="00FE6AC6" w:rsidRDefault="0051706F"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4FCFD" w14:textId="77777777" w:rsidR="0051706F" w:rsidRPr="00FE6AC6" w:rsidRDefault="0051706F" w:rsidP="0063575E">
            <w:pPr>
              <w:keepNext/>
              <w:widowControl w:val="0"/>
              <w:spacing w:line="240" w:lineRule="auto"/>
              <w:rPr>
                <w:color w:val="000000"/>
                <w:lang w:val="en-US"/>
              </w:rPr>
            </w:pPr>
            <w:r w:rsidRPr="00FE6AC6">
              <w:rPr>
                <w:color w:val="000000"/>
                <w:szCs w:val="22"/>
                <w:lang w:val="bg-BG"/>
              </w:rPr>
              <w:t>Остра фебрилна неутрофилна дерматоза</w:t>
            </w:r>
            <w:r w:rsidRPr="00FE6AC6">
              <w:rPr>
                <w:color w:val="000000"/>
                <w:szCs w:val="22"/>
              </w:rPr>
              <w:t xml:space="preserve"> (</w:t>
            </w:r>
            <w:r w:rsidRPr="00FE6AC6">
              <w:rPr>
                <w:color w:val="000000"/>
                <w:szCs w:val="22"/>
                <w:lang w:val="bg-BG"/>
              </w:rPr>
              <w:t xml:space="preserve">синдром на </w:t>
            </w:r>
            <w:r w:rsidRPr="00FE6AC6">
              <w:rPr>
                <w:color w:val="000000"/>
                <w:szCs w:val="22"/>
              </w:rPr>
              <w:t>Sweet</w:t>
            </w:r>
            <w:r w:rsidRPr="00FE6AC6">
              <w:rPr>
                <w:color w:val="000000"/>
                <w:szCs w:val="22"/>
                <w:lang w:val="bg-BG"/>
              </w:rPr>
              <w:t>)</w:t>
            </w:r>
            <w:r w:rsidRPr="00FE6AC6">
              <w:rPr>
                <w:color w:val="000000"/>
                <w:szCs w:val="22"/>
              </w:rPr>
              <w:t xml:space="preserve">, </w:t>
            </w:r>
            <w:r w:rsidR="002401B7" w:rsidRPr="00FE6AC6">
              <w:rPr>
                <w:color w:val="000000"/>
                <w:szCs w:val="22"/>
                <w:lang w:val="bg-BG"/>
              </w:rPr>
              <w:t>обезцветяване</w:t>
            </w:r>
            <w:r w:rsidR="002401B7" w:rsidRPr="00FE6AC6">
              <w:rPr>
                <w:color w:val="000000"/>
                <w:szCs w:val="22"/>
                <w:lang w:val="pt-PT"/>
              </w:rPr>
              <w:t xml:space="preserve"> </w:t>
            </w:r>
            <w:r w:rsidRPr="00FE6AC6">
              <w:rPr>
                <w:color w:val="000000"/>
                <w:szCs w:val="22"/>
                <w:lang w:val="pt-PT"/>
              </w:rPr>
              <w:t>на</w:t>
            </w:r>
            <w:r w:rsidRPr="00FE6AC6">
              <w:rPr>
                <w:color w:val="000000"/>
                <w:szCs w:val="22"/>
              </w:rPr>
              <w:t xml:space="preserve"> </w:t>
            </w:r>
            <w:r w:rsidRPr="00FE6AC6">
              <w:rPr>
                <w:color w:val="000000"/>
                <w:szCs w:val="22"/>
                <w:lang w:val="pt-PT"/>
              </w:rPr>
              <w:t>нокт</w:t>
            </w:r>
            <w:r w:rsidRPr="00FE6AC6">
              <w:rPr>
                <w:color w:val="000000"/>
                <w:szCs w:val="22"/>
                <w:lang w:val="bg-BG"/>
              </w:rPr>
              <w:t>и</w:t>
            </w:r>
            <w:r w:rsidRPr="00FE6AC6">
              <w:rPr>
                <w:color w:val="000000"/>
                <w:szCs w:val="22"/>
                <w:lang w:val="pt-PT"/>
              </w:rPr>
              <w:t>те</w:t>
            </w:r>
            <w:r w:rsidRPr="00FE6AC6">
              <w:rPr>
                <w:color w:val="000000"/>
                <w:szCs w:val="22"/>
              </w:rPr>
              <w:t xml:space="preserve">, </w:t>
            </w:r>
            <w:r w:rsidRPr="00FE6AC6">
              <w:rPr>
                <w:color w:val="000000"/>
                <w:szCs w:val="22"/>
                <w:lang w:val="bg-BG"/>
              </w:rPr>
              <w:t>ангио</w:t>
            </w:r>
            <w:r w:rsidR="002401B7" w:rsidRPr="00FE6AC6">
              <w:rPr>
                <w:color w:val="000000"/>
                <w:szCs w:val="22"/>
                <w:lang w:val="bg-BG"/>
              </w:rPr>
              <w:t xml:space="preserve">невротичен </w:t>
            </w:r>
            <w:r w:rsidRPr="00FE6AC6">
              <w:rPr>
                <w:color w:val="000000"/>
                <w:szCs w:val="22"/>
                <w:lang w:val="bg-BG"/>
              </w:rPr>
              <w:t>едем</w:t>
            </w:r>
            <w:r w:rsidRPr="00FE6AC6">
              <w:rPr>
                <w:color w:val="000000"/>
                <w:szCs w:val="22"/>
              </w:rPr>
              <w:t xml:space="preserve">, </w:t>
            </w:r>
            <w:r w:rsidRPr="00FE6AC6">
              <w:rPr>
                <w:color w:val="000000"/>
                <w:szCs w:val="22"/>
                <w:lang w:val="bg-BG"/>
              </w:rPr>
              <w:t>везикулозен обрив</w:t>
            </w:r>
            <w:r w:rsidRPr="00FE6AC6">
              <w:rPr>
                <w:color w:val="000000"/>
                <w:szCs w:val="22"/>
              </w:rPr>
              <w:t xml:space="preserve">, </w:t>
            </w:r>
            <w:r w:rsidRPr="00FE6AC6">
              <w:rPr>
                <w:color w:val="000000"/>
                <w:szCs w:val="22"/>
                <w:lang w:val="bg-BG"/>
              </w:rPr>
              <w:t>еритема мултиформе</w:t>
            </w:r>
            <w:r w:rsidRPr="00FE6AC6">
              <w:rPr>
                <w:color w:val="000000"/>
                <w:szCs w:val="22"/>
              </w:rPr>
              <w:t xml:space="preserve">, </w:t>
            </w:r>
            <w:r w:rsidRPr="00FE6AC6">
              <w:rPr>
                <w:color w:val="000000"/>
                <w:szCs w:val="22"/>
                <w:lang w:val="bg-BG"/>
              </w:rPr>
              <w:t>левкоцитокластичен васкулит</w:t>
            </w:r>
            <w:r w:rsidRPr="00FE6AC6">
              <w:rPr>
                <w:color w:val="000000"/>
                <w:szCs w:val="22"/>
              </w:rPr>
              <w:t xml:space="preserve">, </w:t>
            </w:r>
            <w:r w:rsidRPr="00FE6AC6">
              <w:rPr>
                <w:color w:val="000000"/>
                <w:szCs w:val="22"/>
                <w:lang w:val="bg-BG"/>
              </w:rPr>
              <w:t xml:space="preserve">синдром на </w:t>
            </w:r>
            <w:r w:rsidRPr="00FE6AC6">
              <w:rPr>
                <w:color w:val="000000"/>
                <w:szCs w:val="22"/>
              </w:rPr>
              <w:t>Stevens-Johnson</w:t>
            </w:r>
            <w:r w:rsidRPr="00FE6AC6">
              <w:rPr>
                <w:color w:val="000000"/>
                <w:szCs w:val="22"/>
                <w:lang w:val="bg-BG"/>
              </w:rPr>
              <w:t xml:space="preserve">, остра генерализирана екзантематозна пустулоза </w:t>
            </w:r>
            <w:r w:rsidRPr="00FE6AC6">
              <w:rPr>
                <w:color w:val="000000"/>
                <w:szCs w:val="22"/>
                <w:lang w:val="en-US"/>
              </w:rPr>
              <w:t>(AGEP)</w:t>
            </w:r>
          </w:p>
        </w:tc>
      </w:tr>
      <w:tr w:rsidR="007B523B" w:rsidRPr="004015AA" w14:paraId="3E54FD01" w14:textId="77777777" w:rsidTr="008143B1">
        <w:trPr>
          <w:cantSplit/>
        </w:trPr>
        <w:tc>
          <w:tcPr>
            <w:tcW w:w="2235" w:type="dxa"/>
          </w:tcPr>
          <w:p w14:paraId="3E54FCFF" w14:textId="77777777" w:rsidR="007B523B" w:rsidRPr="00FE6AC6" w:rsidRDefault="007B523B"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D00" w14:textId="77777777" w:rsidR="007B523B" w:rsidRPr="00FE6AC6" w:rsidRDefault="004E1127" w:rsidP="0063575E">
            <w:pPr>
              <w:widowControl w:val="0"/>
              <w:spacing w:line="240" w:lineRule="auto"/>
              <w:rPr>
                <w:color w:val="000000"/>
                <w:szCs w:val="22"/>
                <w:lang w:val="bg-BG"/>
              </w:rPr>
            </w:pPr>
            <w:r w:rsidRPr="00FE6AC6">
              <w:rPr>
                <w:color w:val="000000"/>
                <w:szCs w:val="22"/>
                <w:lang w:val="bg-BG"/>
              </w:rPr>
              <w:t>Синдром на палм</w:t>
            </w:r>
            <w:r w:rsidR="00C52CA2" w:rsidRPr="00FE6AC6">
              <w:rPr>
                <w:color w:val="000000"/>
                <w:szCs w:val="22"/>
                <w:lang w:val="bg-BG"/>
              </w:rPr>
              <w:t>арн</w:t>
            </w:r>
            <w:r w:rsidRPr="00FE6AC6">
              <w:rPr>
                <w:color w:val="000000"/>
                <w:szCs w:val="22"/>
                <w:lang w:val="bg-BG"/>
              </w:rPr>
              <w:t>о</w:t>
            </w:r>
            <w:r w:rsidR="00C52CA2" w:rsidRPr="00FE6AC6">
              <w:rPr>
                <w:color w:val="000000"/>
                <w:szCs w:val="22"/>
                <w:lang w:val="bg-BG"/>
              </w:rPr>
              <w:t>-</w:t>
            </w:r>
            <w:r w:rsidRPr="00FE6AC6">
              <w:rPr>
                <w:color w:val="000000"/>
                <w:szCs w:val="22"/>
                <w:lang w:val="bg-BG"/>
              </w:rPr>
              <w:t xml:space="preserve">плантарна еритродистезия*, лихеноидна кератоза*, лихен планус*, токсична епидермална некролиза*, </w:t>
            </w:r>
            <w:r w:rsidR="00464473" w:rsidRPr="00FE6AC6">
              <w:rPr>
                <w:color w:val="000000"/>
                <w:szCs w:val="22"/>
                <w:lang w:val="bg-BG"/>
              </w:rPr>
              <w:t>лекарствен обрив с еозинофилия и системни симптоми</w:t>
            </w:r>
            <w:r w:rsidRPr="00FE6AC6">
              <w:rPr>
                <w:color w:val="000000"/>
                <w:szCs w:val="22"/>
                <w:lang w:val="bg-BG"/>
              </w:rPr>
              <w:t xml:space="preserve"> (DRESS)*</w:t>
            </w:r>
            <w:r w:rsidR="00DF7592" w:rsidRPr="00FE6AC6">
              <w:rPr>
                <w:color w:val="000000"/>
                <w:szCs w:val="22"/>
                <w:lang w:val="bg-BG"/>
              </w:rPr>
              <w:t>, псевдопорфирия*</w:t>
            </w:r>
          </w:p>
        </w:tc>
      </w:tr>
      <w:tr w:rsidR="0051706F" w:rsidRPr="004015AA" w14:paraId="3E54FD03" w14:textId="77777777" w:rsidTr="008143B1">
        <w:trPr>
          <w:cantSplit/>
        </w:trPr>
        <w:tc>
          <w:tcPr>
            <w:tcW w:w="9322" w:type="dxa"/>
            <w:gridSpan w:val="2"/>
          </w:tcPr>
          <w:p w14:paraId="3E54FD02" w14:textId="77777777" w:rsidR="0051706F" w:rsidRPr="00FE6AC6" w:rsidRDefault="0051706F" w:rsidP="0063575E">
            <w:pPr>
              <w:keepNext/>
              <w:widowControl w:val="0"/>
              <w:spacing w:line="240" w:lineRule="auto"/>
              <w:rPr>
                <w:color w:val="000000"/>
                <w:szCs w:val="22"/>
                <w:lang w:val="ru-RU"/>
              </w:rPr>
            </w:pPr>
            <w:r w:rsidRPr="00FE6AC6">
              <w:rPr>
                <w:b/>
                <w:color w:val="000000"/>
                <w:szCs w:val="22"/>
                <w:lang w:val="ru-RU"/>
              </w:rPr>
              <w:t>Нарушения на мускулно-скелетната система и съединителната тъкан</w:t>
            </w:r>
          </w:p>
        </w:tc>
      </w:tr>
      <w:tr w:rsidR="0051706F" w:rsidRPr="00FE6AC6" w14:paraId="3E54FD06" w14:textId="77777777" w:rsidTr="008143B1">
        <w:trPr>
          <w:cantSplit/>
        </w:trPr>
        <w:tc>
          <w:tcPr>
            <w:tcW w:w="2235" w:type="dxa"/>
          </w:tcPr>
          <w:p w14:paraId="3E54FD04" w14:textId="77777777" w:rsidR="0051706F" w:rsidRPr="00FE6AC6" w:rsidRDefault="0051706F" w:rsidP="0063575E">
            <w:pPr>
              <w:keepNext/>
              <w:widowControl w:val="0"/>
              <w:spacing w:line="240" w:lineRule="auto"/>
              <w:rPr>
                <w:i/>
                <w:color w:val="000000"/>
                <w:szCs w:val="22"/>
              </w:rPr>
            </w:pPr>
            <w:r w:rsidRPr="00FE6AC6">
              <w:rPr>
                <w:i/>
                <w:color w:val="000000"/>
                <w:szCs w:val="22"/>
                <w:lang w:val="bg-BG"/>
              </w:rPr>
              <w:t>Много чести</w:t>
            </w:r>
            <w:r w:rsidRPr="00FE6AC6">
              <w:rPr>
                <w:i/>
                <w:color w:val="000000"/>
                <w:szCs w:val="22"/>
              </w:rPr>
              <w:t>:</w:t>
            </w:r>
          </w:p>
        </w:tc>
        <w:tc>
          <w:tcPr>
            <w:tcW w:w="7087" w:type="dxa"/>
          </w:tcPr>
          <w:p w14:paraId="3E54FD05" w14:textId="77777777" w:rsidR="0051706F" w:rsidRPr="00FE6AC6" w:rsidRDefault="0051706F" w:rsidP="0063575E">
            <w:pPr>
              <w:keepNext/>
              <w:widowControl w:val="0"/>
              <w:spacing w:line="240" w:lineRule="auto"/>
              <w:rPr>
                <w:color w:val="000000"/>
                <w:szCs w:val="22"/>
                <w:lang w:val="en-US"/>
              </w:rPr>
            </w:pPr>
            <w:r w:rsidRPr="00FE6AC6">
              <w:rPr>
                <w:color w:val="000000"/>
                <w:szCs w:val="22"/>
                <w:lang w:val="bg-BG"/>
              </w:rPr>
              <w:t>Мускулни спазми и крампи</w:t>
            </w:r>
            <w:r w:rsidRPr="00FE6AC6">
              <w:rPr>
                <w:color w:val="000000"/>
                <w:szCs w:val="22"/>
                <w:lang w:val="ru-RU"/>
              </w:rPr>
              <w:t xml:space="preserve">, </w:t>
            </w:r>
            <w:r w:rsidRPr="00FE6AC6">
              <w:rPr>
                <w:color w:val="000000"/>
                <w:szCs w:val="22"/>
                <w:lang w:val="bg-BG"/>
              </w:rPr>
              <w:t>мускулно-скелетна болка включително миалгия</w:t>
            </w:r>
            <w:r w:rsidR="002131D3" w:rsidRPr="00FE6AC6">
              <w:rPr>
                <w:color w:val="000000"/>
                <w:szCs w:val="22"/>
                <w:vertAlign w:val="superscript"/>
              </w:rPr>
              <w:t>9</w:t>
            </w:r>
            <w:r w:rsidRPr="00FE6AC6">
              <w:rPr>
                <w:color w:val="000000"/>
                <w:szCs w:val="22"/>
                <w:lang w:val="bg-BG"/>
              </w:rPr>
              <w:t>, артралгия, болка в костите</w:t>
            </w:r>
            <w:r w:rsidR="002131D3" w:rsidRPr="00FE6AC6">
              <w:rPr>
                <w:color w:val="000000"/>
                <w:szCs w:val="22"/>
                <w:vertAlign w:val="superscript"/>
                <w:lang w:val="en-US"/>
              </w:rPr>
              <w:t>10</w:t>
            </w:r>
          </w:p>
        </w:tc>
      </w:tr>
      <w:tr w:rsidR="0051706F" w:rsidRPr="00FE6AC6" w14:paraId="3E54FD09" w14:textId="77777777" w:rsidTr="008143B1">
        <w:trPr>
          <w:cantSplit/>
        </w:trPr>
        <w:tc>
          <w:tcPr>
            <w:tcW w:w="2235" w:type="dxa"/>
          </w:tcPr>
          <w:p w14:paraId="3E54FD07" w14:textId="77777777" w:rsidR="0051706F" w:rsidRPr="00FE6AC6" w:rsidRDefault="0051706F" w:rsidP="0063575E">
            <w:pPr>
              <w:keepNext/>
              <w:widowControl w:val="0"/>
              <w:spacing w:line="240" w:lineRule="auto"/>
              <w:rPr>
                <w:i/>
                <w:color w:val="000000"/>
                <w:szCs w:val="22"/>
              </w:rPr>
            </w:pPr>
            <w:r w:rsidRPr="00FE6AC6">
              <w:rPr>
                <w:i/>
                <w:color w:val="000000"/>
                <w:szCs w:val="22"/>
                <w:lang w:val="ru-RU"/>
              </w:rPr>
              <w:t>Чести</w:t>
            </w:r>
            <w:r w:rsidRPr="00FE6AC6">
              <w:rPr>
                <w:i/>
                <w:color w:val="000000"/>
                <w:szCs w:val="22"/>
              </w:rPr>
              <w:t>:</w:t>
            </w:r>
          </w:p>
        </w:tc>
        <w:tc>
          <w:tcPr>
            <w:tcW w:w="7087" w:type="dxa"/>
          </w:tcPr>
          <w:p w14:paraId="3E54FD08" w14:textId="77777777" w:rsidR="0051706F" w:rsidRPr="00FE6AC6" w:rsidRDefault="0051706F" w:rsidP="0063575E">
            <w:pPr>
              <w:keepNext/>
              <w:widowControl w:val="0"/>
              <w:spacing w:line="240" w:lineRule="auto"/>
              <w:rPr>
                <w:color w:val="000000"/>
                <w:szCs w:val="22"/>
                <w:lang w:val="pt-PT"/>
              </w:rPr>
            </w:pPr>
            <w:r w:rsidRPr="00FE6AC6">
              <w:rPr>
                <w:color w:val="000000"/>
                <w:szCs w:val="22"/>
                <w:lang w:val="bg-BG"/>
              </w:rPr>
              <w:t>Оток на ставите</w:t>
            </w:r>
          </w:p>
        </w:tc>
      </w:tr>
      <w:tr w:rsidR="0051706F" w:rsidRPr="00FE6AC6" w14:paraId="3E54FD0C" w14:textId="77777777" w:rsidTr="008143B1">
        <w:trPr>
          <w:cantSplit/>
        </w:trPr>
        <w:tc>
          <w:tcPr>
            <w:tcW w:w="2235" w:type="dxa"/>
          </w:tcPr>
          <w:p w14:paraId="3E54FD0A" w14:textId="77777777" w:rsidR="0051706F" w:rsidRPr="00FE6AC6" w:rsidRDefault="0051706F"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4FD0B" w14:textId="77777777" w:rsidR="0051706F" w:rsidRPr="00FE6AC6" w:rsidRDefault="0051706F" w:rsidP="0063575E">
            <w:pPr>
              <w:keepNext/>
              <w:widowControl w:val="0"/>
              <w:spacing w:line="240" w:lineRule="auto"/>
              <w:rPr>
                <w:color w:val="000000"/>
                <w:szCs w:val="22"/>
                <w:lang w:val="pt-PT"/>
              </w:rPr>
            </w:pPr>
            <w:r w:rsidRPr="00FE6AC6">
              <w:rPr>
                <w:color w:val="000000"/>
                <w:szCs w:val="22"/>
                <w:lang w:val="bg-BG"/>
              </w:rPr>
              <w:t>Ставна и мускулна скованост</w:t>
            </w:r>
          </w:p>
        </w:tc>
      </w:tr>
      <w:tr w:rsidR="0051706F" w:rsidRPr="00FE6AC6" w14:paraId="3E54FD0F" w14:textId="77777777" w:rsidTr="008143B1">
        <w:trPr>
          <w:cantSplit/>
        </w:trPr>
        <w:tc>
          <w:tcPr>
            <w:tcW w:w="2235" w:type="dxa"/>
          </w:tcPr>
          <w:p w14:paraId="3E54FD0D" w14:textId="77777777" w:rsidR="0051706F" w:rsidRPr="00FE6AC6" w:rsidRDefault="0051706F" w:rsidP="0063575E">
            <w:pPr>
              <w:keepNext/>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4FD0E" w14:textId="77777777" w:rsidR="0051706F" w:rsidRPr="00FE6AC6" w:rsidRDefault="0051706F" w:rsidP="0063575E">
            <w:pPr>
              <w:keepNext/>
              <w:widowControl w:val="0"/>
              <w:spacing w:line="240" w:lineRule="auto"/>
              <w:rPr>
                <w:color w:val="000000"/>
                <w:szCs w:val="22"/>
                <w:lang w:val="ru-RU"/>
              </w:rPr>
            </w:pPr>
            <w:r w:rsidRPr="00FE6AC6">
              <w:rPr>
                <w:bCs/>
                <w:color w:val="000000"/>
                <w:szCs w:val="22"/>
                <w:lang w:val="bg-BG"/>
              </w:rPr>
              <w:t>Мускулна слабост</w:t>
            </w:r>
            <w:r w:rsidRPr="00FE6AC6">
              <w:rPr>
                <w:bCs/>
                <w:color w:val="000000"/>
                <w:szCs w:val="22"/>
                <w:lang w:val="ru-RU"/>
              </w:rPr>
              <w:t xml:space="preserve">, </w:t>
            </w:r>
            <w:r w:rsidRPr="00FE6AC6">
              <w:rPr>
                <w:bCs/>
                <w:color w:val="000000"/>
                <w:szCs w:val="22"/>
                <w:lang w:val="bg-BG"/>
              </w:rPr>
              <w:t>артрит, рабдомиолиза/миопатия</w:t>
            </w:r>
          </w:p>
        </w:tc>
      </w:tr>
      <w:tr w:rsidR="000035AA" w:rsidRPr="004015AA" w14:paraId="3E54FD12" w14:textId="77777777" w:rsidTr="008143B1">
        <w:trPr>
          <w:cantSplit/>
        </w:trPr>
        <w:tc>
          <w:tcPr>
            <w:tcW w:w="2235" w:type="dxa"/>
          </w:tcPr>
          <w:p w14:paraId="3E54FD10" w14:textId="77777777" w:rsidR="000035AA" w:rsidRPr="00FE6AC6" w:rsidRDefault="000035AA"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D11" w14:textId="77777777" w:rsidR="000035AA" w:rsidRPr="00FE6AC6" w:rsidRDefault="00B723D2" w:rsidP="0063575E">
            <w:pPr>
              <w:widowControl w:val="0"/>
              <w:spacing w:line="240" w:lineRule="auto"/>
              <w:rPr>
                <w:bCs/>
                <w:color w:val="000000"/>
                <w:szCs w:val="22"/>
                <w:lang w:val="bg-BG"/>
              </w:rPr>
            </w:pPr>
            <w:r w:rsidRPr="00FE6AC6">
              <w:rPr>
                <w:color w:val="000000"/>
                <w:szCs w:val="22"/>
                <w:lang w:val="bg-BG"/>
              </w:rPr>
              <w:t>Аваскуларна некроза/некроза на бедрената кост*, изоставане в растежа при деца*</w:t>
            </w:r>
          </w:p>
        </w:tc>
      </w:tr>
      <w:tr w:rsidR="005E5190" w:rsidRPr="004015AA" w14:paraId="3E54FD14" w14:textId="77777777" w:rsidTr="008143B1">
        <w:trPr>
          <w:cantSplit/>
        </w:trPr>
        <w:tc>
          <w:tcPr>
            <w:tcW w:w="9322" w:type="dxa"/>
            <w:gridSpan w:val="2"/>
          </w:tcPr>
          <w:p w14:paraId="3E54FD13" w14:textId="77777777" w:rsidR="005E5190" w:rsidRPr="00FE6AC6" w:rsidRDefault="005E5190" w:rsidP="0063575E">
            <w:pPr>
              <w:keepNext/>
              <w:widowControl w:val="0"/>
              <w:spacing w:line="240" w:lineRule="auto"/>
              <w:rPr>
                <w:b/>
                <w:color w:val="000000"/>
                <w:szCs w:val="22"/>
                <w:lang w:val="ru-RU"/>
              </w:rPr>
            </w:pPr>
            <w:r w:rsidRPr="00FE6AC6">
              <w:rPr>
                <w:b/>
                <w:color w:val="000000"/>
                <w:szCs w:val="22"/>
                <w:lang w:val="ru-RU"/>
              </w:rPr>
              <w:t>Нарушения на бъбреците и пикочните пътища</w:t>
            </w:r>
          </w:p>
        </w:tc>
      </w:tr>
      <w:tr w:rsidR="005E5190" w:rsidRPr="00FE6AC6" w14:paraId="3E54FD17" w14:textId="77777777" w:rsidTr="008143B1">
        <w:trPr>
          <w:cantSplit/>
        </w:trPr>
        <w:tc>
          <w:tcPr>
            <w:tcW w:w="2235" w:type="dxa"/>
          </w:tcPr>
          <w:p w14:paraId="3E54FD15" w14:textId="77777777" w:rsidR="005E5190" w:rsidRPr="00FE6AC6" w:rsidRDefault="005E5190"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4FD16" w14:textId="77777777" w:rsidR="005E5190" w:rsidRPr="00FE6AC6" w:rsidRDefault="005E5190" w:rsidP="0063575E">
            <w:pPr>
              <w:keepNext/>
              <w:widowControl w:val="0"/>
              <w:spacing w:line="240" w:lineRule="auto"/>
              <w:rPr>
                <w:color w:val="000000"/>
                <w:lang w:val="ru-RU"/>
              </w:rPr>
            </w:pPr>
            <w:r w:rsidRPr="00FE6AC6">
              <w:rPr>
                <w:color w:val="000000"/>
                <w:szCs w:val="22"/>
                <w:lang w:val="bg-BG"/>
              </w:rPr>
              <w:t>Бъбречна болка</w:t>
            </w:r>
            <w:r w:rsidRPr="00FE6AC6">
              <w:rPr>
                <w:color w:val="000000"/>
                <w:szCs w:val="22"/>
                <w:lang w:val="ru-RU"/>
              </w:rPr>
              <w:t xml:space="preserve">, </w:t>
            </w:r>
            <w:r w:rsidRPr="00FE6AC6">
              <w:rPr>
                <w:color w:val="000000"/>
                <w:szCs w:val="22"/>
                <w:lang w:val="bg-BG"/>
              </w:rPr>
              <w:t>хематурия</w:t>
            </w:r>
            <w:r w:rsidRPr="00FE6AC6">
              <w:rPr>
                <w:color w:val="000000"/>
                <w:szCs w:val="22"/>
                <w:lang w:val="ru-RU"/>
              </w:rPr>
              <w:t xml:space="preserve">, </w:t>
            </w:r>
            <w:r w:rsidRPr="00FE6AC6">
              <w:rPr>
                <w:color w:val="000000"/>
                <w:szCs w:val="22"/>
                <w:lang w:val="bg-BG"/>
              </w:rPr>
              <w:t>остра бъбречна недостатъчност</w:t>
            </w:r>
            <w:r w:rsidRPr="00FE6AC6">
              <w:rPr>
                <w:color w:val="000000"/>
                <w:szCs w:val="22"/>
                <w:lang w:val="ru-RU"/>
              </w:rPr>
              <w:t xml:space="preserve">, </w:t>
            </w:r>
            <w:r w:rsidR="0096085B" w:rsidRPr="00FE6AC6">
              <w:rPr>
                <w:color w:val="000000"/>
                <w:szCs w:val="22"/>
                <w:lang w:val="ru-RU"/>
              </w:rPr>
              <w:t>повишена</w:t>
            </w:r>
            <w:r w:rsidRPr="00FE6AC6">
              <w:rPr>
                <w:color w:val="000000"/>
                <w:szCs w:val="22"/>
                <w:lang w:val="bg-BG"/>
              </w:rPr>
              <w:t xml:space="preserve"> честота на уриниране</w:t>
            </w:r>
          </w:p>
        </w:tc>
      </w:tr>
      <w:tr w:rsidR="00551CCA" w:rsidRPr="00FE6AC6" w14:paraId="3E54FD1A" w14:textId="77777777" w:rsidTr="008143B1">
        <w:trPr>
          <w:cantSplit/>
        </w:trPr>
        <w:tc>
          <w:tcPr>
            <w:tcW w:w="2235" w:type="dxa"/>
          </w:tcPr>
          <w:p w14:paraId="3E54FD18" w14:textId="77777777" w:rsidR="00551CCA" w:rsidRPr="00FE6AC6" w:rsidRDefault="00551CCA"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4FD19" w14:textId="77777777" w:rsidR="00551CCA" w:rsidRPr="00FE6AC6" w:rsidRDefault="00551CCA" w:rsidP="0063575E">
            <w:pPr>
              <w:widowControl w:val="0"/>
              <w:spacing w:line="240" w:lineRule="auto"/>
              <w:rPr>
                <w:color w:val="000000"/>
                <w:szCs w:val="22"/>
                <w:lang w:val="bg-BG"/>
              </w:rPr>
            </w:pPr>
            <w:r w:rsidRPr="00FE6AC6">
              <w:rPr>
                <w:color w:val="000000"/>
                <w:szCs w:val="22"/>
                <w:lang w:val="bg-BG"/>
              </w:rPr>
              <w:t>Хронична бъбречна недостатъчност</w:t>
            </w:r>
          </w:p>
        </w:tc>
      </w:tr>
      <w:tr w:rsidR="00B66D21" w:rsidRPr="00FE6AC6" w14:paraId="3E54FD1C" w14:textId="77777777" w:rsidTr="008143B1">
        <w:trPr>
          <w:cantSplit/>
        </w:trPr>
        <w:tc>
          <w:tcPr>
            <w:tcW w:w="9322" w:type="dxa"/>
            <w:gridSpan w:val="2"/>
          </w:tcPr>
          <w:p w14:paraId="3E54FD1B" w14:textId="77777777" w:rsidR="00B66D21" w:rsidRPr="00FE6AC6" w:rsidRDefault="00B66D21" w:rsidP="0063575E">
            <w:pPr>
              <w:keepNext/>
              <w:widowControl w:val="0"/>
              <w:spacing w:line="240" w:lineRule="auto"/>
              <w:rPr>
                <w:color w:val="000000"/>
                <w:szCs w:val="22"/>
                <w:lang w:val="ru-RU"/>
              </w:rPr>
            </w:pPr>
            <w:r w:rsidRPr="00FE6AC6">
              <w:rPr>
                <w:b/>
                <w:color w:val="000000"/>
                <w:szCs w:val="22"/>
                <w:lang w:val="ru-RU"/>
              </w:rPr>
              <w:t>Нарушения на възпроизводителната система и гърдата</w:t>
            </w:r>
          </w:p>
        </w:tc>
      </w:tr>
      <w:tr w:rsidR="00B66D21" w:rsidRPr="00FE6AC6" w14:paraId="3E54FD1F" w14:textId="77777777" w:rsidTr="008143B1">
        <w:trPr>
          <w:cantSplit/>
        </w:trPr>
        <w:tc>
          <w:tcPr>
            <w:tcW w:w="2235" w:type="dxa"/>
          </w:tcPr>
          <w:p w14:paraId="3E54FD1D" w14:textId="77777777" w:rsidR="00B66D21" w:rsidRPr="00FE6AC6" w:rsidRDefault="00B66D21"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4FD1E" w14:textId="77777777" w:rsidR="00B66D21" w:rsidRPr="00FE6AC6" w:rsidRDefault="00B66D21" w:rsidP="0063575E">
            <w:pPr>
              <w:keepNext/>
              <w:widowControl w:val="0"/>
              <w:spacing w:line="240" w:lineRule="auto"/>
              <w:rPr>
                <w:color w:val="000000"/>
                <w:szCs w:val="22"/>
                <w:lang w:val="ru-RU"/>
              </w:rPr>
            </w:pPr>
            <w:r w:rsidRPr="00FE6AC6">
              <w:rPr>
                <w:color w:val="000000"/>
                <w:szCs w:val="22"/>
                <w:lang w:val="bg-BG"/>
              </w:rPr>
              <w:t>Гинекомастия</w:t>
            </w:r>
            <w:r w:rsidRPr="00FE6AC6">
              <w:rPr>
                <w:color w:val="000000"/>
                <w:szCs w:val="22"/>
                <w:lang w:val="ru-RU"/>
              </w:rPr>
              <w:t xml:space="preserve">, </w:t>
            </w:r>
            <w:r w:rsidRPr="00FE6AC6">
              <w:rPr>
                <w:color w:val="000000"/>
                <w:szCs w:val="22"/>
                <w:lang w:val="bg-BG"/>
              </w:rPr>
              <w:t>еректилна дисфункция</w:t>
            </w:r>
            <w:r w:rsidRPr="00FE6AC6">
              <w:rPr>
                <w:color w:val="000000"/>
                <w:szCs w:val="22"/>
                <w:lang w:val="ru-RU"/>
              </w:rPr>
              <w:t xml:space="preserve">, </w:t>
            </w:r>
            <w:r w:rsidRPr="00FE6AC6">
              <w:rPr>
                <w:color w:val="000000"/>
                <w:szCs w:val="22"/>
                <w:lang w:val="bg-BG"/>
              </w:rPr>
              <w:t>менорагия</w:t>
            </w:r>
            <w:r w:rsidRPr="00FE6AC6">
              <w:rPr>
                <w:color w:val="000000"/>
                <w:szCs w:val="22"/>
                <w:lang w:val="ru-RU"/>
              </w:rPr>
              <w:t xml:space="preserve">, </w:t>
            </w:r>
            <w:r w:rsidRPr="00FE6AC6">
              <w:rPr>
                <w:color w:val="000000"/>
                <w:szCs w:val="22"/>
                <w:lang w:val="bg-BG"/>
              </w:rPr>
              <w:t>нередовна менструация</w:t>
            </w:r>
            <w:r w:rsidRPr="00FE6AC6">
              <w:rPr>
                <w:color w:val="000000"/>
                <w:szCs w:val="22"/>
                <w:lang w:val="ru-RU"/>
              </w:rPr>
              <w:t xml:space="preserve">, </w:t>
            </w:r>
            <w:r w:rsidRPr="00FE6AC6">
              <w:rPr>
                <w:color w:val="000000"/>
                <w:szCs w:val="22"/>
                <w:lang w:val="bg-BG"/>
              </w:rPr>
              <w:t>сексуална дисфункция</w:t>
            </w:r>
            <w:r w:rsidRPr="00FE6AC6">
              <w:rPr>
                <w:color w:val="000000"/>
                <w:szCs w:val="22"/>
                <w:lang w:val="ru-RU"/>
              </w:rPr>
              <w:t xml:space="preserve">, </w:t>
            </w:r>
            <w:r w:rsidRPr="00FE6AC6">
              <w:rPr>
                <w:color w:val="000000"/>
                <w:szCs w:val="22"/>
                <w:lang w:val="bg-BG"/>
              </w:rPr>
              <w:t>болка в гръдното зърно</w:t>
            </w:r>
            <w:r w:rsidRPr="00FE6AC6">
              <w:rPr>
                <w:color w:val="000000"/>
                <w:szCs w:val="22"/>
                <w:lang w:val="ru-RU"/>
              </w:rPr>
              <w:t xml:space="preserve">, </w:t>
            </w:r>
            <w:r w:rsidRPr="00FE6AC6">
              <w:rPr>
                <w:color w:val="000000"/>
                <w:szCs w:val="22"/>
                <w:lang w:val="bg-BG"/>
              </w:rPr>
              <w:t>уголемяване на млечната жлеза</w:t>
            </w:r>
            <w:r w:rsidRPr="00FE6AC6">
              <w:rPr>
                <w:color w:val="000000"/>
                <w:szCs w:val="22"/>
                <w:lang w:val="ru-RU"/>
              </w:rPr>
              <w:t xml:space="preserve">, </w:t>
            </w:r>
            <w:r w:rsidRPr="00FE6AC6">
              <w:rPr>
                <w:color w:val="000000"/>
                <w:szCs w:val="22"/>
                <w:lang w:val="bg-BG"/>
              </w:rPr>
              <w:t>скротален оток</w:t>
            </w:r>
          </w:p>
        </w:tc>
      </w:tr>
      <w:tr w:rsidR="00B66D21" w:rsidRPr="004015AA" w14:paraId="3E54FD22" w14:textId="77777777" w:rsidTr="008143B1">
        <w:trPr>
          <w:cantSplit/>
        </w:trPr>
        <w:tc>
          <w:tcPr>
            <w:tcW w:w="2235" w:type="dxa"/>
          </w:tcPr>
          <w:p w14:paraId="3E54FD20" w14:textId="77777777" w:rsidR="00B66D21" w:rsidRPr="00FE6AC6" w:rsidRDefault="00B66D21" w:rsidP="0063575E">
            <w:pPr>
              <w:widowControl w:val="0"/>
              <w:spacing w:line="240" w:lineRule="auto"/>
              <w:rPr>
                <w:i/>
                <w:color w:val="000000"/>
                <w:szCs w:val="22"/>
                <w:lang w:val="bg-BG"/>
              </w:rPr>
            </w:pPr>
            <w:r w:rsidRPr="00FE6AC6">
              <w:rPr>
                <w:i/>
                <w:color w:val="000000"/>
                <w:szCs w:val="22"/>
                <w:lang w:val="bg-BG"/>
              </w:rPr>
              <w:t>Редки:</w:t>
            </w:r>
          </w:p>
        </w:tc>
        <w:tc>
          <w:tcPr>
            <w:tcW w:w="7087" w:type="dxa"/>
          </w:tcPr>
          <w:p w14:paraId="3E54FD21" w14:textId="77777777" w:rsidR="00B66D21" w:rsidRPr="00FE6AC6" w:rsidRDefault="00B66D21" w:rsidP="0063575E">
            <w:pPr>
              <w:widowControl w:val="0"/>
              <w:spacing w:line="240" w:lineRule="auto"/>
              <w:rPr>
                <w:color w:val="000000"/>
                <w:szCs w:val="22"/>
                <w:lang w:val="bg-BG"/>
              </w:rPr>
            </w:pPr>
            <w:r w:rsidRPr="00FE6AC6">
              <w:rPr>
                <w:color w:val="000000"/>
                <w:szCs w:val="22"/>
                <w:lang w:val="bg-BG"/>
              </w:rPr>
              <w:t>Хеморагичен корпус лутеум/хеморагична овариална киста</w:t>
            </w:r>
          </w:p>
        </w:tc>
      </w:tr>
      <w:tr w:rsidR="0051706F" w:rsidRPr="004015AA" w14:paraId="3E54FD24" w14:textId="77777777" w:rsidTr="008143B1">
        <w:trPr>
          <w:cantSplit/>
        </w:trPr>
        <w:tc>
          <w:tcPr>
            <w:tcW w:w="9322" w:type="dxa"/>
            <w:gridSpan w:val="2"/>
          </w:tcPr>
          <w:p w14:paraId="3E54FD23" w14:textId="77777777" w:rsidR="0051706F" w:rsidRPr="00FE6AC6" w:rsidRDefault="0051706F" w:rsidP="0063575E">
            <w:pPr>
              <w:keepNext/>
              <w:widowControl w:val="0"/>
              <w:spacing w:line="240" w:lineRule="auto"/>
              <w:rPr>
                <w:color w:val="000000"/>
                <w:szCs w:val="22"/>
                <w:lang w:val="ru-RU"/>
              </w:rPr>
            </w:pPr>
            <w:r w:rsidRPr="00FE6AC6">
              <w:rPr>
                <w:b/>
                <w:color w:val="000000"/>
                <w:szCs w:val="22"/>
                <w:lang w:val="ru-RU"/>
              </w:rPr>
              <w:t>Общи нарушения и ефекти на мястото на приложение</w:t>
            </w:r>
          </w:p>
        </w:tc>
      </w:tr>
      <w:tr w:rsidR="0051706F" w:rsidRPr="00FE6AC6" w14:paraId="3E54FD27" w14:textId="77777777" w:rsidTr="008143B1">
        <w:trPr>
          <w:cantSplit/>
        </w:trPr>
        <w:tc>
          <w:tcPr>
            <w:tcW w:w="2235" w:type="dxa"/>
          </w:tcPr>
          <w:p w14:paraId="3E54FD25" w14:textId="77777777" w:rsidR="0051706F" w:rsidRPr="00FE6AC6" w:rsidRDefault="0051706F" w:rsidP="0063575E">
            <w:pPr>
              <w:keepNext/>
              <w:widowControl w:val="0"/>
              <w:spacing w:line="240" w:lineRule="auto"/>
              <w:rPr>
                <w:i/>
                <w:color w:val="000000"/>
                <w:szCs w:val="22"/>
              </w:rPr>
            </w:pPr>
            <w:r w:rsidRPr="00FE6AC6">
              <w:rPr>
                <w:i/>
                <w:color w:val="000000"/>
                <w:szCs w:val="22"/>
                <w:lang w:val="bg-BG"/>
              </w:rPr>
              <w:t>Много чести</w:t>
            </w:r>
            <w:r w:rsidRPr="00FE6AC6">
              <w:rPr>
                <w:i/>
                <w:color w:val="000000"/>
                <w:szCs w:val="22"/>
              </w:rPr>
              <w:t>:</w:t>
            </w:r>
          </w:p>
        </w:tc>
        <w:tc>
          <w:tcPr>
            <w:tcW w:w="7087" w:type="dxa"/>
          </w:tcPr>
          <w:p w14:paraId="3E54FD26" w14:textId="77777777" w:rsidR="0051706F" w:rsidRPr="00FE6AC6" w:rsidRDefault="0051706F" w:rsidP="0063575E">
            <w:pPr>
              <w:keepNext/>
              <w:widowControl w:val="0"/>
              <w:spacing w:line="240" w:lineRule="auto"/>
              <w:rPr>
                <w:color w:val="000000"/>
                <w:szCs w:val="22"/>
                <w:lang w:val="ru-RU"/>
              </w:rPr>
            </w:pPr>
            <w:r w:rsidRPr="00FE6AC6">
              <w:rPr>
                <w:color w:val="000000"/>
                <w:szCs w:val="22"/>
                <w:lang w:val="bg-BG"/>
              </w:rPr>
              <w:t>Задръжка на течности и оток</w:t>
            </w:r>
            <w:r w:rsidRPr="00FE6AC6">
              <w:rPr>
                <w:color w:val="000000"/>
                <w:szCs w:val="22"/>
                <w:lang w:val="ru-RU"/>
              </w:rPr>
              <w:t xml:space="preserve">, </w:t>
            </w:r>
            <w:r w:rsidRPr="00FE6AC6">
              <w:rPr>
                <w:color w:val="000000"/>
                <w:szCs w:val="22"/>
                <w:lang w:val="bg-BG"/>
              </w:rPr>
              <w:t>умора</w:t>
            </w:r>
          </w:p>
        </w:tc>
      </w:tr>
      <w:tr w:rsidR="0051706F" w:rsidRPr="00FE6AC6" w14:paraId="3E54FD2A" w14:textId="77777777" w:rsidTr="008143B1">
        <w:trPr>
          <w:cantSplit/>
        </w:trPr>
        <w:tc>
          <w:tcPr>
            <w:tcW w:w="2235" w:type="dxa"/>
          </w:tcPr>
          <w:p w14:paraId="3E54FD28" w14:textId="77777777" w:rsidR="0051706F" w:rsidRPr="00FE6AC6" w:rsidRDefault="0051706F"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4FD29" w14:textId="77777777" w:rsidR="0051706F" w:rsidRPr="00FE6AC6" w:rsidRDefault="0051706F" w:rsidP="0063575E">
            <w:pPr>
              <w:keepNext/>
              <w:widowControl w:val="0"/>
              <w:spacing w:line="240" w:lineRule="auto"/>
              <w:rPr>
                <w:color w:val="000000"/>
                <w:szCs w:val="22"/>
                <w:lang w:val="ru-RU"/>
              </w:rPr>
            </w:pPr>
            <w:r w:rsidRPr="00FE6AC6">
              <w:rPr>
                <w:color w:val="000000"/>
                <w:szCs w:val="22"/>
                <w:lang w:val="bg-BG"/>
              </w:rPr>
              <w:t>Слабост</w:t>
            </w:r>
            <w:r w:rsidRPr="00FE6AC6">
              <w:rPr>
                <w:color w:val="000000"/>
                <w:szCs w:val="22"/>
                <w:lang w:val="ru-RU"/>
              </w:rPr>
              <w:t xml:space="preserve">, </w:t>
            </w:r>
            <w:r w:rsidRPr="00FE6AC6">
              <w:rPr>
                <w:color w:val="000000"/>
                <w:szCs w:val="22"/>
                <w:lang w:val="bg-BG"/>
              </w:rPr>
              <w:t>пирексия</w:t>
            </w:r>
            <w:r w:rsidRPr="00FE6AC6">
              <w:rPr>
                <w:color w:val="000000"/>
                <w:szCs w:val="22"/>
                <w:lang w:val="ru-RU"/>
              </w:rPr>
              <w:t xml:space="preserve">, </w:t>
            </w:r>
            <w:r w:rsidRPr="00FE6AC6">
              <w:rPr>
                <w:color w:val="000000"/>
                <w:szCs w:val="22"/>
                <w:lang w:val="bg-BG"/>
              </w:rPr>
              <w:t>аназарка</w:t>
            </w:r>
            <w:r w:rsidRPr="00FE6AC6">
              <w:rPr>
                <w:color w:val="000000"/>
                <w:szCs w:val="22"/>
                <w:lang w:val="ru-RU"/>
              </w:rPr>
              <w:t xml:space="preserve">, </w:t>
            </w:r>
            <w:r w:rsidRPr="00FE6AC6">
              <w:rPr>
                <w:color w:val="000000"/>
                <w:szCs w:val="22"/>
                <w:lang w:val="bg-BG"/>
              </w:rPr>
              <w:t>втрисане</w:t>
            </w:r>
            <w:r w:rsidRPr="00FE6AC6">
              <w:rPr>
                <w:color w:val="000000"/>
                <w:szCs w:val="22"/>
                <w:lang w:val="ru-RU"/>
              </w:rPr>
              <w:t xml:space="preserve">, </w:t>
            </w:r>
            <w:r w:rsidRPr="00FE6AC6">
              <w:rPr>
                <w:color w:val="000000"/>
                <w:szCs w:val="22"/>
                <w:lang w:val="bg-BG"/>
              </w:rPr>
              <w:t>скованост</w:t>
            </w:r>
          </w:p>
        </w:tc>
      </w:tr>
      <w:tr w:rsidR="0051706F" w:rsidRPr="00FE6AC6" w14:paraId="3E54FD2D" w14:textId="77777777" w:rsidTr="008143B1">
        <w:trPr>
          <w:cantSplit/>
        </w:trPr>
        <w:tc>
          <w:tcPr>
            <w:tcW w:w="2235" w:type="dxa"/>
          </w:tcPr>
          <w:p w14:paraId="3E54FD2B" w14:textId="77777777" w:rsidR="0051706F" w:rsidRPr="00FE6AC6" w:rsidRDefault="0051706F" w:rsidP="0063575E">
            <w:pPr>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4FD2C" w14:textId="77777777" w:rsidR="0051706F" w:rsidRPr="00FE6AC6" w:rsidRDefault="0051706F" w:rsidP="0063575E">
            <w:pPr>
              <w:widowControl w:val="0"/>
              <w:spacing w:line="240" w:lineRule="auto"/>
              <w:rPr>
                <w:color w:val="000000"/>
                <w:szCs w:val="22"/>
                <w:lang w:val="bg-BG"/>
              </w:rPr>
            </w:pPr>
            <w:r w:rsidRPr="00FE6AC6">
              <w:rPr>
                <w:color w:val="000000"/>
                <w:szCs w:val="22"/>
                <w:lang w:val="bg-BG"/>
              </w:rPr>
              <w:t>Болка в гърдите</w:t>
            </w:r>
            <w:r w:rsidRPr="00FE6AC6">
              <w:rPr>
                <w:color w:val="000000"/>
                <w:szCs w:val="22"/>
                <w:lang w:val="ru-RU"/>
              </w:rPr>
              <w:t xml:space="preserve">, </w:t>
            </w:r>
            <w:r w:rsidR="00C04EEF" w:rsidRPr="00FE6AC6">
              <w:rPr>
                <w:color w:val="000000"/>
                <w:szCs w:val="22"/>
                <w:lang w:val="ru-RU"/>
              </w:rPr>
              <w:t xml:space="preserve">(физическо) </w:t>
            </w:r>
            <w:r w:rsidR="00C04EEF" w:rsidRPr="00FE6AC6">
              <w:rPr>
                <w:color w:val="000000"/>
                <w:szCs w:val="22"/>
                <w:lang w:val="bg-BG"/>
              </w:rPr>
              <w:t>неразположение</w:t>
            </w:r>
          </w:p>
        </w:tc>
      </w:tr>
      <w:tr w:rsidR="005F7B39" w:rsidRPr="00FE6AC6" w14:paraId="3E54FD2F" w14:textId="77777777" w:rsidTr="008143B1">
        <w:trPr>
          <w:cantSplit/>
        </w:trPr>
        <w:tc>
          <w:tcPr>
            <w:tcW w:w="9322" w:type="dxa"/>
            <w:gridSpan w:val="2"/>
          </w:tcPr>
          <w:p w14:paraId="3E54FD2E" w14:textId="77777777" w:rsidR="005F7B39" w:rsidRPr="00FE6AC6" w:rsidRDefault="005F7B39" w:rsidP="0063575E">
            <w:pPr>
              <w:keepNext/>
              <w:widowControl w:val="0"/>
              <w:spacing w:line="240" w:lineRule="auto"/>
              <w:rPr>
                <w:color w:val="000000"/>
                <w:szCs w:val="22"/>
                <w:lang w:val="bg-BG"/>
              </w:rPr>
            </w:pPr>
            <w:r w:rsidRPr="00FE6AC6">
              <w:rPr>
                <w:b/>
                <w:color w:val="000000"/>
                <w:szCs w:val="22"/>
              </w:rPr>
              <w:lastRenderedPageBreak/>
              <w:t>Изследвания</w:t>
            </w:r>
          </w:p>
        </w:tc>
      </w:tr>
      <w:tr w:rsidR="005F7B39" w:rsidRPr="00FE6AC6" w14:paraId="3E54FD32" w14:textId="77777777" w:rsidTr="008143B1">
        <w:trPr>
          <w:cantSplit/>
        </w:trPr>
        <w:tc>
          <w:tcPr>
            <w:tcW w:w="2235" w:type="dxa"/>
          </w:tcPr>
          <w:p w14:paraId="3E54FD30" w14:textId="77777777" w:rsidR="005F7B39" w:rsidRPr="00FE6AC6" w:rsidRDefault="005F7B39"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4FD31" w14:textId="77777777" w:rsidR="005F7B39" w:rsidRPr="00FE6AC6" w:rsidRDefault="005F7B39" w:rsidP="0063575E">
            <w:pPr>
              <w:keepNext/>
              <w:widowControl w:val="0"/>
              <w:spacing w:line="240" w:lineRule="auto"/>
              <w:rPr>
                <w:color w:val="000000"/>
              </w:rPr>
            </w:pPr>
            <w:r w:rsidRPr="00FE6AC6">
              <w:rPr>
                <w:color w:val="000000"/>
                <w:szCs w:val="22"/>
                <w:lang w:val="bg-BG"/>
              </w:rPr>
              <w:t>Повишаване на телесното тегло</w:t>
            </w:r>
          </w:p>
        </w:tc>
      </w:tr>
      <w:tr w:rsidR="005F7B39" w:rsidRPr="00FE6AC6" w14:paraId="3E54FD35" w14:textId="77777777" w:rsidTr="008143B1">
        <w:trPr>
          <w:cantSplit/>
        </w:trPr>
        <w:tc>
          <w:tcPr>
            <w:tcW w:w="2235" w:type="dxa"/>
          </w:tcPr>
          <w:p w14:paraId="3E54FD33" w14:textId="77777777" w:rsidR="005F7B39" w:rsidRPr="00FE6AC6" w:rsidRDefault="005F7B39" w:rsidP="0063575E">
            <w:pPr>
              <w:keepNext/>
              <w:widowControl w:val="0"/>
              <w:spacing w:line="240" w:lineRule="auto"/>
              <w:rPr>
                <w:color w:val="000000"/>
              </w:rPr>
            </w:pPr>
            <w:r w:rsidRPr="00FE6AC6">
              <w:rPr>
                <w:i/>
                <w:color w:val="000000"/>
                <w:szCs w:val="22"/>
                <w:lang w:val="bg-BG"/>
              </w:rPr>
              <w:t>Чести</w:t>
            </w:r>
            <w:r w:rsidRPr="00FE6AC6">
              <w:rPr>
                <w:color w:val="000000"/>
                <w:szCs w:val="22"/>
              </w:rPr>
              <w:t>:</w:t>
            </w:r>
          </w:p>
        </w:tc>
        <w:tc>
          <w:tcPr>
            <w:tcW w:w="7087" w:type="dxa"/>
          </w:tcPr>
          <w:p w14:paraId="3E54FD34" w14:textId="77777777" w:rsidR="005F7B39" w:rsidRPr="00FE6AC6" w:rsidRDefault="005F7B39" w:rsidP="0063575E">
            <w:pPr>
              <w:keepNext/>
              <w:widowControl w:val="0"/>
              <w:spacing w:line="240" w:lineRule="auto"/>
              <w:rPr>
                <w:color w:val="000000"/>
              </w:rPr>
            </w:pPr>
            <w:r w:rsidRPr="00FE6AC6">
              <w:rPr>
                <w:color w:val="000000"/>
                <w:szCs w:val="22"/>
                <w:lang w:val="bg-BG"/>
              </w:rPr>
              <w:t>Понижаване на телесното тегло</w:t>
            </w:r>
          </w:p>
        </w:tc>
      </w:tr>
      <w:tr w:rsidR="005F7B39" w:rsidRPr="00FE6AC6" w14:paraId="3E54FD38" w14:textId="77777777" w:rsidTr="008143B1">
        <w:trPr>
          <w:cantSplit/>
        </w:trPr>
        <w:tc>
          <w:tcPr>
            <w:tcW w:w="2235" w:type="dxa"/>
          </w:tcPr>
          <w:p w14:paraId="3E54FD36" w14:textId="77777777" w:rsidR="005F7B39" w:rsidRPr="00FE6AC6" w:rsidRDefault="005F7B39" w:rsidP="0063575E">
            <w:pPr>
              <w:keepNext/>
              <w:widowControl w:val="0"/>
              <w:spacing w:line="240" w:lineRule="auto"/>
              <w:rPr>
                <w:color w:val="000000"/>
              </w:rPr>
            </w:pPr>
            <w:r w:rsidRPr="00FE6AC6">
              <w:rPr>
                <w:i/>
                <w:color w:val="000000"/>
                <w:szCs w:val="22"/>
                <w:lang w:val="bg-BG"/>
              </w:rPr>
              <w:t>Нечести</w:t>
            </w:r>
            <w:r w:rsidRPr="00FE6AC6">
              <w:rPr>
                <w:color w:val="000000"/>
                <w:szCs w:val="22"/>
              </w:rPr>
              <w:t>:</w:t>
            </w:r>
          </w:p>
        </w:tc>
        <w:tc>
          <w:tcPr>
            <w:tcW w:w="7087" w:type="dxa"/>
          </w:tcPr>
          <w:p w14:paraId="3E54FD37" w14:textId="77777777" w:rsidR="005F7B39" w:rsidRPr="00FE6AC6" w:rsidRDefault="00F916D1" w:rsidP="0063575E">
            <w:pPr>
              <w:keepNext/>
              <w:widowControl w:val="0"/>
              <w:spacing w:line="240" w:lineRule="auto"/>
              <w:rPr>
                <w:color w:val="000000"/>
                <w:lang w:val="ru-RU"/>
              </w:rPr>
            </w:pPr>
            <w:r w:rsidRPr="00FE6AC6">
              <w:rPr>
                <w:color w:val="000000"/>
                <w:szCs w:val="22"/>
                <w:lang w:val="bg-BG"/>
              </w:rPr>
              <w:t>Повишен</w:t>
            </w:r>
            <w:r w:rsidR="005F7B39" w:rsidRPr="00FE6AC6">
              <w:rPr>
                <w:color w:val="000000"/>
                <w:szCs w:val="22"/>
                <w:lang w:val="bg-BG"/>
              </w:rPr>
              <w:t xml:space="preserve"> креатинин в кръвта, повишение на креатинин фосфокиназата в кръвта, повишение на лактат дехидрогеназата в кръвта</w:t>
            </w:r>
            <w:r w:rsidR="003A0BF0" w:rsidRPr="00FE6AC6">
              <w:rPr>
                <w:color w:val="000000"/>
                <w:szCs w:val="22"/>
                <w:lang w:val="bg-BG"/>
              </w:rPr>
              <w:t>, повишаване на алкалната фосфатаза в кръвта</w:t>
            </w:r>
          </w:p>
        </w:tc>
      </w:tr>
      <w:tr w:rsidR="005F7B39" w:rsidRPr="00FE6AC6" w14:paraId="3E54FD3B" w14:textId="77777777" w:rsidTr="008143B1">
        <w:trPr>
          <w:cantSplit/>
        </w:trPr>
        <w:tc>
          <w:tcPr>
            <w:tcW w:w="2235" w:type="dxa"/>
          </w:tcPr>
          <w:p w14:paraId="3E54FD39" w14:textId="77777777" w:rsidR="005F7B39" w:rsidRPr="00FE6AC6" w:rsidRDefault="005F7B39" w:rsidP="0063575E">
            <w:pPr>
              <w:keepNext/>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4FD3A" w14:textId="77777777" w:rsidR="005F7B39" w:rsidRPr="00FE6AC6" w:rsidRDefault="005F7B39" w:rsidP="0063575E">
            <w:pPr>
              <w:keepNext/>
              <w:widowControl w:val="0"/>
              <w:spacing w:line="240" w:lineRule="auto"/>
              <w:rPr>
                <w:color w:val="000000"/>
                <w:szCs w:val="22"/>
                <w:lang w:val="ru-RU"/>
              </w:rPr>
            </w:pPr>
            <w:r w:rsidRPr="00FE6AC6">
              <w:rPr>
                <w:color w:val="000000"/>
                <w:szCs w:val="22"/>
                <w:lang w:val="bg-BG"/>
              </w:rPr>
              <w:t>Повишение на амилазата в кръвта</w:t>
            </w:r>
          </w:p>
        </w:tc>
      </w:tr>
    </w:tbl>
    <w:p w14:paraId="3E54FD3C" w14:textId="77777777" w:rsidR="00CC6EFA" w:rsidRPr="00FE6AC6" w:rsidRDefault="00CC6EFA" w:rsidP="0063575E">
      <w:pPr>
        <w:keepNext/>
        <w:widowControl w:val="0"/>
        <w:spacing w:line="240" w:lineRule="auto"/>
        <w:rPr>
          <w:color w:val="000000"/>
          <w:szCs w:val="22"/>
        </w:rPr>
      </w:pPr>
    </w:p>
    <w:p w14:paraId="3E54FD3D" w14:textId="77777777" w:rsidR="000B0D28" w:rsidRPr="00FE6AC6" w:rsidRDefault="00CC6EFA" w:rsidP="008143B1">
      <w:pPr>
        <w:keepNext/>
        <w:keepLines/>
        <w:widowControl w:val="0"/>
        <w:spacing w:line="240" w:lineRule="auto"/>
        <w:ind w:left="567" w:hanging="567"/>
        <w:rPr>
          <w:color w:val="000000"/>
          <w:szCs w:val="22"/>
          <w:lang w:val="bg-BG"/>
        </w:rPr>
      </w:pPr>
      <w:r w:rsidRPr="00FE6AC6">
        <w:rPr>
          <w:color w:val="000000"/>
          <w:szCs w:val="22"/>
        </w:rPr>
        <w:t>*</w:t>
      </w:r>
      <w:r w:rsidRPr="00FE6AC6">
        <w:rPr>
          <w:color w:val="000000"/>
          <w:szCs w:val="22"/>
        </w:rPr>
        <w:tab/>
      </w:r>
      <w:r w:rsidR="00A47F34" w:rsidRPr="00FE6AC6">
        <w:rPr>
          <w:color w:val="000000"/>
          <w:szCs w:val="22"/>
          <w:lang w:val="bg-BG"/>
        </w:rPr>
        <w:t>Тези видове реакции са били съобщени предимно по време на постмаркетинговия опит с</w:t>
      </w:r>
      <w:r w:rsidRPr="00FE6AC6">
        <w:rPr>
          <w:color w:val="000000"/>
          <w:szCs w:val="22"/>
        </w:rPr>
        <w:t xml:space="preserve"> Glivec. </w:t>
      </w:r>
      <w:r w:rsidR="00A47F34" w:rsidRPr="00FE6AC6">
        <w:rPr>
          <w:color w:val="000000"/>
          <w:szCs w:val="22"/>
          <w:lang w:val="bg-BG"/>
        </w:rPr>
        <w:t xml:space="preserve">Включват се както </w:t>
      </w:r>
      <w:r w:rsidR="00C52CA2" w:rsidRPr="00FE6AC6">
        <w:rPr>
          <w:color w:val="000000"/>
          <w:szCs w:val="22"/>
          <w:lang w:val="bg-BG"/>
        </w:rPr>
        <w:t xml:space="preserve">спонтанни </w:t>
      </w:r>
      <w:r w:rsidR="00A47F34" w:rsidRPr="00FE6AC6">
        <w:rPr>
          <w:color w:val="000000"/>
          <w:szCs w:val="22"/>
          <w:lang w:val="bg-BG"/>
        </w:rPr>
        <w:t xml:space="preserve">съобщения, така и сериозни нежелани събития от текущи проучвания, от програми </w:t>
      </w:r>
      <w:r w:rsidR="00C52CA2" w:rsidRPr="00FE6AC6">
        <w:rPr>
          <w:color w:val="000000"/>
          <w:szCs w:val="22"/>
          <w:lang w:val="bg-BG"/>
        </w:rPr>
        <w:t>с</w:t>
      </w:r>
      <w:r w:rsidR="00A47F34" w:rsidRPr="00FE6AC6">
        <w:rPr>
          <w:color w:val="000000"/>
          <w:szCs w:val="22"/>
          <w:lang w:val="bg-BG"/>
        </w:rPr>
        <w:t xml:space="preserve"> разширен достъп, клинични фармакологични проучвания и експлорат</w:t>
      </w:r>
      <w:r w:rsidR="00C52CA2" w:rsidRPr="00FE6AC6">
        <w:rPr>
          <w:color w:val="000000"/>
          <w:szCs w:val="22"/>
          <w:lang w:val="bg-BG"/>
        </w:rPr>
        <w:t>орни</w:t>
      </w:r>
      <w:r w:rsidR="00A47F34" w:rsidRPr="00FE6AC6">
        <w:rPr>
          <w:color w:val="000000"/>
          <w:szCs w:val="22"/>
          <w:lang w:val="bg-BG"/>
        </w:rPr>
        <w:t xml:space="preserve"> проучвания при неодобрени </w:t>
      </w:r>
      <w:r w:rsidR="00C52CA2" w:rsidRPr="00FE6AC6">
        <w:rPr>
          <w:color w:val="000000"/>
          <w:szCs w:val="22"/>
          <w:lang w:val="bg-BG"/>
        </w:rPr>
        <w:t>показания</w:t>
      </w:r>
      <w:r w:rsidR="00A47F34" w:rsidRPr="00FE6AC6">
        <w:rPr>
          <w:color w:val="000000"/>
          <w:szCs w:val="22"/>
          <w:lang w:val="bg-BG"/>
        </w:rPr>
        <w:t>. Тъй като тези реакции са съобщени при популация с неопределен</w:t>
      </w:r>
      <w:r w:rsidR="00C52CA2" w:rsidRPr="00FE6AC6">
        <w:rPr>
          <w:color w:val="000000"/>
          <w:szCs w:val="22"/>
          <w:lang w:val="bg-BG"/>
        </w:rPr>
        <w:t xml:space="preserve"> размер</w:t>
      </w:r>
      <w:r w:rsidR="00A47F34" w:rsidRPr="00FE6AC6">
        <w:rPr>
          <w:color w:val="000000"/>
          <w:szCs w:val="22"/>
          <w:lang w:val="bg-BG"/>
        </w:rPr>
        <w:t>, не винаги е възможно да се оцени тяхната честота или причинно</w:t>
      </w:r>
      <w:r w:rsidR="00B7770B" w:rsidRPr="00FE6AC6">
        <w:rPr>
          <w:color w:val="000000"/>
          <w:szCs w:val="22"/>
          <w:lang w:val="bg-BG"/>
        </w:rPr>
        <w:t>-</w:t>
      </w:r>
      <w:r w:rsidR="00A47F34" w:rsidRPr="00FE6AC6">
        <w:rPr>
          <w:color w:val="000000"/>
          <w:szCs w:val="22"/>
          <w:lang w:val="bg-BG"/>
        </w:rPr>
        <w:t>следствената връзка с експозицията на иматиниб</w:t>
      </w:r>
      <w:r w:rsidRPr="00FE6AC6">
        <w:rPr>
          <w:color w:val="000000"/>
          <w:szCs w:val="22"/>
          <w:lang w:val="bg-BG"/>
        </w:rPr>
        <w:t>.</w:t>
      </w:r>
    </w:p>
    <w:p w14:paraId="3E54FD3E" w14:textId="77777777" w:rsidR="000B0D28" w:rsidRPr="00FE6AC6" w:rsidRDefault="000B0D28"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1</w:t>
      </w:r>
      <w:r w:rsidRPr="00FE6AC6">
        <w:rPr>
          <w:color w:val="000000"/>
          <w:szCs w:val="22"/>
          <w:lang w:val="ru-RU"/>
        </w:rPr>
        <w:tab/>
      </w:r>
      <w:r w:rsidR="006F6AAE" w:rsidRPr="00FE6AC6">
        <w:rPr>
          <w:color w:val="000000"/>
          <w:szCs w:val="22"/>
          <w:lang w:val="bg-BG"/>
        </w:rPr>
        <w:t xml:space="preserve">За пневмония се съобщава най-често при пациенти с трансформирана ХМЛ и при пациенти с </w:t>
      </w:r>
      <w:r w:rsidR="006F6AAE" w:rsidRPr="00FE6AC6">
        <w:rPr>
          <w:color w:val="000000"/>
          <w:szCs w:val="22"/>
        </w:rPr>
        <w:t>GIST</w:t>
      </w:r>
      <w:r w:rsidR="006F6AAE" w:rsidRPr="00FE6AC6">
        <w:rPr>
          <w:color w:val="000000"/>
          <w:szCs w:val="22"/>
          <w:lang w:val="ru-RU"/>
        </w:rPr>
        <w:t>.</w:t>
      </w:r>
    </w:p>
    <w:p w14:paraId="3E54FD3F" w14:textId="77777777" w:rsidR="000B0D28" w:rsidRPr="00FE6AC6" w:rsidRDefault="000B0D28"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2</w:t>
      </w:r>
      <w:r w:rsidRPr="00FE6AC6">
        <w:rPr>
          <w:color w:val="000000"/>
          <w:szCs w:val="22"/>
          <w:lang w:val="ru-RU"/>
        </w:rPr>
        <w:tab/>
      </w:r>
      <w:r w:rsidR="00A6354D" w:rsidRPr="00FE6AC6">
        <w:rPr>
          <w:color w:val="000000"/>
          <w:szCs w:val="22"/>
          <w:lang w:val="bg-BG"/>
        </w:rPr>
        <w:t xml:space="preserve">Главоболието е най-често при пациенти с </w:t>
      </w:r>
      <w:r w:rsidRPr="00FE6AC6">
        <w:rPr>
          <w:color w:val="000000"/>
          <w:szCs w:val="22"/>
        </w:rPr>
        <w:t>GIST</w:t>
      </w:r>
      <w:r w:rsidRPr="00FE6AC6">
        <w:rPr>
          <w:color w:val="000000"/>
          <w:szCs w:val="22"/>
          <w:lang w:val="ru-RU"/>
        </w:rPr>
        <w:t>.</w:t>
      </w:r>
    </w:p>
    <w:p w14:paraId="3E54FD40" w14:textId="77777777" w:rsidR="000B0D28" w:rsidRPr="00FE6AC6" w:rsidRDefault="000B0D28"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3</w:t>
      </w:r>
      <w:r w:rsidRPr="00FE6AC6">
        <w:rPr>
          <w:color w:val="000000"/>
          <w:szCs w:val="22"/>
          <w:lang w:val="ru-RU"/>
        </w:rPr>
        <w:tab/>
      </w:r>
      <w:r w:rsidR="000F4F0E" w:rsidRPr="00FE6AC6">
        <w:rPr>
          <w:color w:val="000000"/>
          <w:szCs w:val="22"/>
          <w:lang w:val="bg-BG"/>
        </w:rPr>
        <w:t xml:space="preserve">Въз основа на пациентогодини, сърдечните </w:t>
      </w:r>
      <w:r w:rsidR="002423D8" w:rsidRPr="00FE6AC6">
        <w:rPr>
          <w:color w:val="000000"/>
          <w:szCs w:val="22"/>
          <w:lang w:val="bg-BG"/>
        </w:rPr>
        <w:t>събития</w:t>
      </w:r>
      <w:r w:rsidR="00C04EEF" w:rsidRPr="00FE6AC6">
        <w:rPr>
          <w:color w:val="000000"/>
          <w:szCs w:val="22"/>
          <w:lang w:val="bg-BG"/>
        </w:rPr>
        <w:t>,</w:t>
      </w:r>
      <w:r w:rsidR="000F4F0E" w:rsidRPr="00FE6AC6">
        <w:rPr>
          <w:color w:val="000000"/>
          <w:szCs w:val="22"/>
          <w:lang w:val="bg-BG"/>
        </w:rPr>
        <w:t xml:space="preserve"> включително застойната сърдечна недостатъчност са наблюдавани по-често при пациенти с трансформирана ХМЛ, отколкото при пациенти с хронична ХМЛ</w:t>
      </w:r>
      <w:r w:rsidR="000F4F0E" w:rsidRPr="00FE6AC6">
        <w:rPr>
          <w:color w:val="000000"/>
          <w:szCs w:val="22"/>
          <w:lang w:val="ru-RU"/>
        </w:rPr>
        <w:t>.</w:t>
      </w:r>
    </w:p>
    <w:p w14:paraId="3E54FD41" w14:textId="77777777" w:rsidR="00242A14" w:rsidRPr="00FE6AC6" w:rsidRDefault="000B0D28"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4</w:t>
      </w:r>
      <w:r w:rsidR="00242A14" w:rsidRPr="00FE6AC6">
        <w:rPr>
          <w:color w:val="000000"/>
          <w:szCs w:val="22"/>
          <w:lang w:val="ru-RU"/>
        </w:rPr>
        <w:tab/>
      </w:r>
      <w:r w:rsidR="00242A14" w:rsidRPr="00FE6AC6">
        <w:rPr>
          <w:color w:val="000000"/>
          <w:szCs w:val="22"/>
          <w:lang w:val="bg-BG"/>
        </w:rPr>
        <w:t xml:space="preserve">Зачервяването е най-често при пациентите с </w:t>
      </w:r>
      <w:r w:rsidR="00242A14" w:rsidRPr="00FE6AC6">
        <w:rPr>
          <w:color w:val="000000"/>
          <w:szCs w:val="22"/>
        </w:rPr>
        <w:t>GIST</w:t>
      </w:r>
      <w:r w:rsidR="00242A14" w:rsidRPr="00FE6AC6">
        <w:rPr>
          <w:color w:val="000000"/>
          <w:szCs w:val="22"/>
          <w:lang w:val="bg-BG"/>
        </w:rPr>
        <w:t>, а кървенето</w:t>
      </w:r>
      <w:r w:rsidR="00242A14" w:rsidRPr="00FE6AC6">
        <w:rPr>
          <w:color w:val="000000"/>
          <w:szCs w:val="22"/>
          <w:lang w:val="ru-RU"/>
        </w:rPr>
        <w:t xml:space="preserve"> (</w:t>
      </w:r>
      <w:r w:rsidR="00242A14" w:rsidRPr="00FE6AC6">
        <w:rPr>
          <w:color w:val="000000"/>
          <w:szCs w:val="22"/>
          <w:lang w:val="bg-BG"/>
        </w:rPr>
        <w:t>хематом, хеморагия</w:t>
      </w:r>
      <w:r w:rsidR="00242A14" w:rsidRPr="00FE6AC6">
        <w:rPr>
          <w:color w:val="000000"/>
          <w:szCs w:val="22"/>
          <w:lang w:val="ru-RU"/>
        </w:rPr>
        <w:t xml:space="preserve">) е най-често при пациенти с </w:t>
      </w:r>
      <w:r w:rsidR="00242A14" w:rsidRPr="00FE6AC6">
        <w:rPr>
          <w:color w:val="000000"/>
          <w:szCs w:val="22"/>
        </w:rPr>
        <w:t>GIST</w:t>
      </w:r>
      <w:r w:rsidR="00242A14" w:rsidRPr="00FE6AC6">
        <w:rPr>
          <w:color w:val="000000"/>
          <w:szCs w:val="22"/>
          <w:lang w:val="ru-RU"/>
        </w:rPr>
        <w:t xml:space="preserve"> и с трансформирана ХМЛ (ХМЛ-</w:t>
      </w:r>
      <w:r w:rsidR="00C04EEF" w:rsidRPr="00FE6AC6">
        <w:rPr>
          <w:color w:val="000000"/>
          <w:szCs w:val="22"/>
          <w:lang w:val="ru-RU"/>
        </w:rPr>
        <w:t>ФА</w:t>
      </w:r>
      <w:r w:rsidR="00242A14" w:rsidRPr="00FE6AC6">
        <w:rPr>
          <w:color w:val="000000"/>
          <w:szCs w:val="22"/>
          <w:lang w:val="ru-RU"/>
        </w:rPr>
        <w:t xml:space="preserve"> и ХМЛ-</w:t>
      </w:r>
      <w:r w:rsidR="00C04EEF" w:rsidRPr="00FE6AC6">
        <w:rPr>
          <w:color w:val="000000"/>
          <w:szCs w:val="22"/>
          <w:lang w:val="ru-RU"/>
        </w:rPr>
        <w:t>БК</w:t>
      </w:r>
      <w:r w:rsidR="00242A14" w:rsidRPr="00FE6AC6">
        <w:rPr>
          <w:color w:val="000000"/>
          <w:szCs w:val="22"/>
          <w:lang w:val="ru-RU"/>
        </w:rPr>
        <w:t>).</w:t>
      </w:r>
    </w:p>
    <w:p w14:paraId="3E54FD42" w14:textId="77777777" w:rsidR="000B0D28" w:rsidRPr="00FE6AC6" w:rsidRDefault="000B0D28"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5</w:t>
      </w:r>
      <w:r w:rsidRPr="00FE6AC6">
        <w:rPr>
          <w:color w:val="000000"/>
          <w:szCs w:val="22"/>
          <w:lang w:val="ru-RU"/>
        </w:rPr>
        <w:tab/>
      </w:r>
      <w:r w:rsidR="00C02887" w:rsidRPr="00FE6AC6">
        <w:rPr>
          <w:color w:val="000000"/>
          <w:szCs w:val="22"/>
          <w:lang w:val="bg-BG"/>
        </w:rPr>
        <w:t xml:space="preserve">Плеврални изливи са съобщавани </w:t>
      </w:r>
      <w:r w:rsidR="002423D8" w:rsidRPr="00FE6AC6">
        <w:rPr>
          <w:color w:val="000000"/>
          <w:szCs w:val="22"/>
          <w:lang w:val="bg-BG"/>
        </w:rPr>
        <w:t>по</w:t>
      </w:r>
      <w:r w:rsidR="00C02887" w:rsidRPr="00FE6AC6">
        <w:rPr>
          <w:color w:val="000000"/>
          <w:szCs w:val="22"/>
          <w:lang w:val="bg-BG"/>
        </w:rPr>
        <w:t xml:space="preserve">-често при пациенти с </w:t>
      </w:r>
      <w:r w:rsidR="00C02887" w:rsidRPr="00FE6AC6">
        <w:rPr>
          <w:color w:val="000000"/>
          <w:szCs w:val="22"/>
        </w:rPr>
        <w:t>GIST</w:t>
      </w:r>
      <w:r w:rsidR="00C02887" w:rsidRPr="00FE6AC6">
        <w:rPr>
          <w:color w:val="000000"/>
          <w:szCs w:val="22"/>
          <w:lang w:val="ru-RU"/>
        </w:rPr>
        <w:t xml:space="preserve"> </w:t>
      </w:r>
      <w:r w:rsidR="00C02887" w:rsidRPr="00FE6AC6">
        <w:rPr>
          <w:color w:val="000000"/>
          <w:szCs w:val="22"/>
          <w:lang w:val="bg-BG"/>
        </w:rPr>
        <w:t>и при пациенти с трансформирана ХМЛ</w:t>
      </w:r>
      <w:r w:rsidR="00C02887" w:rsidRPr="00FE6AC6">
        <w:rPr>
          <w:color w:val="000000"/>
          <w:szCs w:val="22"/>
          <w:lang w:val="ru-RU"/>
        </w:rPr>
        <w:t xml:space="preserve"> (</w:t>
      </w:r>
      <w:r w:rsidR="00C02887" w:rsidRPr="00FE6AC6">
        <w:rPr>
          <w:color w:val="000000"/>
          <w:szCs w:val="22"/>
          <w:lang w:val="bg-BG"/>
        </w:rPr>
        <w:t>ХМЛ</w:t>
      </w:r>
      <w:r w:rsidR="00C02887" w:rsidRPr="00FE6AC6">
        <w:rPr>
          <w:color w:val="000000"/>
          <w:szCs w:val="22"/>
          <w:lang w:val="ru-RU"/>
        </w:rPr>
        <w:t>-</w:t>
      </w:r>
      <w:r w:rsidR="00C04EEF" w:rsidRPr="00FE6AC6">
        <w:rPr>
          <w:color w:val="000000"/>
          <w:szCs w:val="22"/>
          <w:lang w:val="ru-RU"/>
        </w:rPr>
        <w:t>ФА</w:t>
      </w:r>
      <w:r w:rsidR="00C02887" w:rsidRPr="00FE6AC6">
        <w:rPr>
          <w:color w:val="000000"/>
          <w:szCs w:val="22"/>
          <w:lang w:val="ru-RU"/>
        </w:rPr>
        <w:t xml:space="preserve"> </w:t>
      </w:r>
      <w:r w:rsidR="00C02887" w:rsidRPr="00FE6AC6">
        <w:rPr>
          <w:color w:val="000000"/>
          <w:szCs w:val="22"/>
          <w:lang w:val="bg-BG"/>
        </w:rPr>
        <w:t>и ХМЛ</w:t>
      </w:r>
      <w:r w:rsidR="00C02887" w:rsidRPr="00FE6AC6">
        <w:rPr>
          <w:color w:val="000000"/>
          <w:szCs w:val="22"/>
          <w:lang w:val="ru-RU"/>
        </w:rPr>
        <w:t>-</w:t>
      </w:r>
      <w:r w:rsidR="00C04EEF" w:rsidRPr="00FE6AC6">
        <w:rPr>
          <w:color w:val="000000"/>
          <w:szCs w:val="22"/>
          <w:lang w:val="ru-RU"/>
        </w:rPr>
        <w:t>БК</w:t>
      </w:r>
      <w:r w:rsidR="00C02887" w:rsidRPr="00FE6AC6">
        <w:rPr>
          <w:color w:val="000000"/>
          <w:szCs w:val="22"/>
          <w:lang w:val="ru-RU"/>
        </w:rPr>
        <w:t>)</w:t>
      </w:r>
      <w:r w:rsidR="00C02887" w:rsidRPr="00FE6AC6">
        <w:rPr>
          <w:color w:val="000000"/>
          <w:szCs w:val="22"/>
          <w:lang w:val="bg-BG"/>
        </w:rPr>
        <w:t>, отколкото при пациенти с хронична ХМЛ</w:t>
      </w:r>
      <w:r w:rsidR="00C02887" w:rsidRPr="00FE6AC6">
        <w:rPr>
          <w:color w:val="000000"/>
          <w:szCs w:val="22"/>
          <w:lang w:val="ru-RU"/>
        </w:rPr>
        <w:t>.</w:t>
      </w:r>
    </w:p>
    <w:p w14:paraId="3E54FD43" w14:textId="77777777" w:rsidR="000B0D28" w:rsidRPr="00FE6AC6" w:rsidRDefault="000B0D28"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6</w:t>
      </w:r>
      <w:r w:rsidR="00041BB8" w:rsidRPr="00FE6AC6">
        <w:rPr>
          <w:color w:val="000000"/>
          <w:szCs w:val="22"/>
          <w:lang w:val="bg-BG"/>
        </w:rPr>
        <w:t>+7</w:t>
      </w:r>
      <w:r w:rsidRPr="00FE6AC6">
        <w:rPr>
          <w:color w:val="000000"/>
          <w:szCs w:val="22"/>
          <w:lang w:val="ru-RU"/>
        </w:rPr>
        <w:tab/>
      </w:r>
      <w:r w:rsidR="00CC3722" w:rsidRPr="00FE6AC6">
        <w:rPr>
          <w:color w:val="000000"/>
          <w:szCs w:val="22"/>
          <w:lang w:val="bg-BG"/>
        </w:rPr>
        <w:t>Коремна болка и стомашно-чрев</w:t>
      </w:r>
      <w:r w:rsidR="00C04EEF" w:rsidRPr="00FE6AC6">
        <w:rPr>
          <w:color w:val="000000"/>
          <w:szCs w:val="22"/>
          <w:lang w:val="bg-BG"/>
        </w:rPr>
        <w:t>ни</w:t>
      </w:r>
      <w:r w:rsidR="00CC3722" w:rsidRPr="00FE6AC6">
        <w:rPr>
          <w:color w:val="000000"/>
          <w:szCs w:val="22"/>
          <w:lang w:val="bg-BG"/>
        </w:rPr>
        <w:t xml:space="preserve"> кръвоизлив</w:t>
      </w:r>
      <w:r w:rsidR="00C04EEF" w:rsidRPr="00FE6AC6">
        <w:rPr>
          <w:color w:val="000000"/>
          <w:szCs w:val="22"/>
          <w:lang w:val="bg-BG"/>
        </w:rPr>
        <w:t>и</w:t>
      </w:r>
      <w:r w:rsidR="00CC3722" w:rsidRPr="00FE6AC6">
        <w:rPr>
          <w:color w:val="000000"/>
          <w:szCs w:val="22"/>
          <w:lang w:val="bg-BG"/>
        </w:rPr>
        <w:t xml:space="preserve"> са наблюдавани най-често при пациенти с </w:t>
      </w:r>
      <w:r w:rsidR="00CC3722" w:rsidRPr="00FE6AC6">
        <w:rPr>
          <w:color w:val="000000"/>
          <w:szCs w:val="22"/>
        </w:rPr>
        <w:t>GIST</w:t>
      </w:r>
      <w:r w:rsidR="00CC3722" w:rsidRPr="00FE6AC6">
        <w:rPr>
          <w:color w:val="000000"/>
          <w:szCs w:val="22"/>
          <w:lang w:val="ru-RU"/>
        </w:rPr>
        <w:t>.</w:t>
      </w:r>
    </w:p>
    <w:p w14:paraId="3E54FD44" w14:textId="77777777" w:rsidR="000B0D28" w:rsidRPr="00FE6AC6" w:rsidRDefault="000B0D28"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8</w:t>
      </w:r>
      <w:r w:rsidRPr="00FE6AC6">
        <w:rPr>
          <w:color w:val="000000"/>
          <w:szCs w:val="22"/>
          <w:lang w:val="ru-RU"/>
        </w:rPr>
        <w:tab/>
      </w:r>
      <w:r w:rsidR="005C440B" w:rsidRPr="00FE6AC6">
        <w:rPr>
          <w:color w:val="000000"/>
          <w:szCs w:val="22"/>
          <w:lang w:val="bg-BG"/>
        </w:rPr>
        <w:t>Съобщени</w:t>
      </w:r>
      <w:r w:rsidR="00E32D68" w:rsidRPr="00FE6AC6">
        <w:rPr>
          <w:color w:val="000000"/>
          <w:szCs w:val="22"/>
          <w:lang w:val="bg-BG"/>
        </w:rPr>
        <w:t xml:space="preserve"> са няко</w:t>
      </w:r>
      <w:r w:rsidR="005C440B" w:rsidRPr="00FE6AC6">
        <w:rPr>
          <w:color w:val="000000"/>
          <w:szCs w:val="22"/>
          <w:lang w:val="bg-BG"/>
        </w:rPr>
        <w:t>лко</w:t>
      </w:r>
      <w:r w:rsidR="00E32D68" w:rsidRPr="00FE6AC6">
        <w:rPr>
          <w:color w:val="000000"/>
          <w:szCs w:val="22"/>
          <w:lang w:val="bg-BG"/>
        </w:rPr>
        <w:t xml:space="preserve"> фатални случа</w:t>
      </w:r>
      <w:r w:rsidR="001608A5" w:rsidRPr="00FE6AC6">
        <w:rPr>
          <w:color w:val="000000"/>
          <w:szCs w:val="22"/>
          <w:lang w:val="bg-BG"/>
        </w:rPr>
        <w:t>я</w:t>
      </w:r>
      <w:r w:rsidR="00E32D68" w:rsidRPr="00FE6AC6">
        <w:rPr>
          <w:color w:val="000000"/>
          <w:szCs w:val="22"/>
          <w:lang w:val="bg-BG"/>
        </w:rPr>
        <w:t xml:space="preserve"> на чернодробна недостатъчност и чернодробна некроза</w:t>
      </w:r>
      <w:r w:rsidR="00E32D68" w:rsidRPr="00FE6AC6">
        <w:rPr>
          <w:color w:val="000000"/>
          <w:szCs w:val="22"/>
          <w:lang w:val="ru-RU"/>
        </w:rPr>
        <w:t>.</w:t>
      </w:r>
    </w:p>
    <w:p w14:paraId="3E54FD45" w14:textId="77777777" w:rsidR="009D29DD" w:rsidRPr="00FE6AC6" w:rsidRDefault="000B0D28"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9</w:t>
      </w:r>
      <w:r w:rsidRPr="00FE6AC6">
        <w:rPr>
          <w:color w:val="000000"/>
          <w:szCs w:val="22"/>
          <w:lang w:val="ru-RU"/>
        </w:rPr>
        <w:tab/>
      </w:r>
      <w:r w:rsidR="009D29DD" w:rsidRPr="00FE6AC6">
        <w:rPr>
          <w:color w:val="000000"/>
          <w:szCs w:val="22"/>
          <w:lang w:val="bg-BG"/>
        </w:rPr>
        <w:t xml:space="preserve">Мускулно-скелетна болка по време на лечението с иматиниб или след </w:t>
      </w:r>
      <w:r w:rsidR="00A859F8" w:rsidRPr="00FE6AC6">
        <w:rPr>
          <w:color w:val="000000"/>
          <w:szCs w:val="22"/>
          <w:lang w:val="bg-BG"/>
        </w:rPr>
        <w:t xml:space="preserve">преустановяването му </w:t>
      </w:r>
      <w:r w:rsidR="009D29DD" w:rsidRPr="00FE6AC6">
        <w:rPr>
          <w:color w:val="000000"/>
          <w:szCs w:val="22"/>
          <w:lang w:val="bg-BG"/>
        </w:rPr>
        <w:t>е наблюдавана по време на постмаркетинговия период</w:t>
      </w:r>
      <w:r w:rsidR="00A859F8" w:rsidRPr="00FE6AC6">
        <w:rPr>
          <w:color w:val="000000"/>
          <w:szCs w:val="22"/>
          <w:lang w:val="bg-BG"/>
        </w:rPr>
        <w:t>.</w:t>
      </w:r>
    </w:p>
    <w:p w14:paraId="3E54FD46" w14:textId="77777777" w:rsidR="000B0D28" w:rsidRPr="00FE6AC6" w:rsidRDefault="009D29D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10</w:t>
      </w:r>
      <w:r w:rsidRPr="00FE6AC6">
        <w:rPr>
          <w:color w:val="000000"/>
          <w:szCs w:val="22"/>
          <w:lang w:val="ru-RU"/>
        </w:rPr>
        <w:tab/>
      </w:r>
      <w:r w:rsidR="0053086B" w:rsidRPr="00FE6AC6">
        <w:rPr>
          <w:color w:val="000000"/>
          <w:szCs w:val="22"/>
          <w:lang w:val="bg-BG"/>
        </w:rPr>
        <w:t xml:space="preserve">Мускулно-скелетна болка и свързани с нея нежелани </w:t>
      </w:r>
      <w:r w:rsidR="001608A5" w:rsidRPr="00FE6AC6">
        <w:rPr>
          <w:color w:val="000000"/>
          <w:szCs w:val="22"/>
          <w:lang w:val="bg-BG"/>
        </w:rPr>
        <w:t>събития</w:t>
      </w:r>
      <w:r w:rsidR="0053086B" w:rsidRPr="00FE6AC6">
        <w:rPr>
          <w:color w:val="000000"/>
          <w:szCs w:val="22"/>
          <w:lang w:val="bg-BG"/>
        </w:rPr>
        <w:t xml:space="preserve"> са наблюдавани по-често при пациенти с ХМЛ, отколкото при пациенти с </w:t>
      </w:r>
      <w:r w:rsidR="0053086B" w:rsidRPr="00FE6AC6">
        <w:rPr>
          <w:color w:val="000000"/>
          <w:szCs w:val="22"/>
        </w:rPr>
        <w:t>GIST</w:t>
      </w:r>
      <w:r w:rsidR="0053086B" w:rsidRPr="00FE6AC6">
        <w:rPr>
          <w:color w:val="000000"/>
          <w:szCs w:val="22"/>
          <w:lang w:val="ru-RU"/>
        </w:rPr>
        <w:t>.</w:t>
      </w:r>
    </w:p>
    <w:p w14:paraId="3E54FD47" w14:textId="77777777" w:rsidR="005B3AD7" w:rsidRPr="00FE6AC6" w:rsidRDefault="009D29DD" w:rsidP="008143B1">
      <w:pPr>
        <w:keepLines/>
        <w:widowControl w:val="0"/>
        <w:spacing w:line="240" w:lineRule="auto"/>
        <w:ind w:left="539" w:hanging="539"/>
        <w:rPr>
          <w:lang w:val="ru-RU"/>
        </w:rPr>
      </w:pPr>
      <w:r w:rsidRPr="00FE6AC6">
        <w:rPr>
          <w:color w:val="000000"/>
          <w:szCs w:val="22"/>
          <w:lang w:val="ru-RU"/>
        </w:rPr>
        <w:t>11</w:t>
      </w:r>
      <w:r w:rsidRPr="00FE6AC6">
        <w:rPr>
          <w:color w:val="000000"/>
          <w:szCs w:val="22"/>
          <w:lang w:val="ru-RU"/>
        </w:rPr>
        <w:tab/>
      </w:r>
      <w:r w:rsidR="005B3AD7" w:rsidRPr="00FE6AC6">
        <w:rPr>
          <w:color w:val="000000"/>
          <w:szCs w:val="22"/>
          <w:lang w:val="bg-BG"/>
        </w:rPr>
        <w:t xml:space="preserve">Фатални случаи са съобщавани при пациенти с напреднало заболяване, сериозни инфекции, тежка неутропения и други сериозни </w:t>
      </w:r>
      <w:r w:rsidR="00686ACE" w:rsidRPr="00FE6AC6">
        <w:rPr>
          <w:color w:val="000000"/>
          <w:szCs w:val="22"/>
          <w:lang w:val="bg-BG"/>
        </w:rPr>
        <w:t>придружаващи</w:t>
      </w:r>
      <w:r w:rsidR="005B3AD7" w:rsidRPr="00FE6AC6">
        <w:rPr>
          <w:color w:val="000000"/>
          <w:szCs w:val="22"/>
          <w:lang w:val="bg-BG"/>
        </w:rPr>
        <w:t xml:space="preserve"> заболявания</w:t>
      </w:r>
      <w:r w:rsidR="005B3AD7" w:rsidRPr="00FE6AC6">
        <w:rPr>
          <w:color w:val="000000"/>
          <w:szCs w:val="22"/>
          <w:lang w:val="ru-RU"/>
        </w:rPr>
        <w:t>.</w:t>
      </w:r>
    </w:p>
    <w:p w14:paraId="3E54FD48" w14:textId="77777777" w:rsidR="00A64DDB" w:rsidRPr="00FE6AC6" w:rsidRDefault="00A64DDB" w:rsidP="0063575E">
      <w:pPr>
        <w:widowControl w:val="0"/>
        <w:spacing w:line="240" w:lineRule="auto"/>
        <w:rPr>
          <w:color w:val="000000"/>
          <w:szCs w:val="22"/>
          <w:lang w:val="ru-RU"/>
        </w:rPr>
      </w:pPr>
    </w:p>
    <w:p w14:paraId="3E54FD49"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Отклонения в лабораторните изследвания</w:t>
      </w:r>
    </w:p>
    <w:p w14:paraId="3E54FD4A" w14:textId="77777777" w:rsidR="001636FA" w:rsidRPr="00FE6AC6" w:rsidRDefault="001636FA" w:rsidP="0063575E">
      <w:pPr>
        <w:keepNext/>
        <w:widowControl w:val="0"/>
        <w:tabs>
          <w:tab w:val="clear" w:pos="567"/>
        </w:tabs>
        <w:spacing w:line="240" w:lineRule="auto"/>
        <w:rPr>
          <w:i/>
          <w:color w:val="000000"/>
          <w:lang w:val="bg-BG"/>
        </w:rPr>
      </w:pPr>
      <w:r w:rsidRPr="00FE6AC6">
        <w:rPr>
          <w:i/>
          <w:color w:val="000000"/>
          <w:lang w:val="bg-BG"/>
        </w:rPr>
        <w:t>Хематология</w:t>
      </w:r>
    </w:p>
    <w:p w14:paraId="3E54FD4B" w14:textId="77777777" w:rsidR="001636FA" w:rsidRPr="00FE6AC6" w:rsidRDefault="001636FA" w:rsidP="0063575E">
      <w:pPr>
        <w:widowControl w:val="0"/>
        <w:tabs>
          <w:tab w:val="clear" w:pos="567"/>
          <w:tab w:val="left" w:pos="2268"/>
        </w:tabs>
        <w:spacing w:line="240" w:lineRule="auto"/>
        <w:rPr>
          <w:color w:val="000000"/>
          <w:lang w:val="bg-BG"/>
        </w:rPr>
      </w:pPr>
      <w:r w:rsidRPr="00FE6AC6">
        <w:rPr>
          <w:color w:val="000000"/>
          <w:lang w:val="bg-BG"/>
        </w:rPr>
        <w:t xml:space="preserve">Цитопениите при ХМЛ, особено неутропения и тромбоцитопения, са постоянна находка във всички проучвания, с </w:t>
      </w:r>
      <w:r w:rsidR="005E1A36" w:rsidRPr="00FE6AC6">
        <w:rPr>
          <w:color w:val="000000"/>
          <w:lang w:val="bg-BG"/>
        </w:rPr>
        <w:t xml:space="preserve">лека насока за </w:t>
      </w:r>
      <w:r w:rsidRPr="00FE6AC6">
        <w:rPr>
          <w:color w:val="000000"/>
          <w:lang w:val="bg-BG"/>
        </w:rPr>
        <w:t>по-висока честота при по-високи дози ≥750</w:t>
      </w:r>
      <w:r w:rsidRPr="00FE6AC6">
        <w:rPr>
          <w:color w:val="000000"/>
          <w:lang w:val="en-US"/>
        </w:rPr>
        <w:t> </w:t>
      </w:r>
      <w:r w:rsidR="005E1A36" w:rsidRPr="00FE6AC6">
        <w:rPr>
          <w:color w:val="000000"/>
          <w:lang w:val="en-US"/>
        </w:rPr>
        <w:t>mg </w:t>
      </w:r>
      <w:r w:rsidRPr="00FE6AC6">
        <w:rPr>
          <w:color w:val="000000"/>
          <w:lang w:val="bg-BG"/>
        </w:rPr>
        <w:t>(фаза I</w:t>
      </w:r>
      <w:r w:rsidR="005E1A36" w:rsidRPr="00FE6AC6">
        <w:rPr>
          <w:color w:val="000000"/>
          <w:lang w:val="bg-BG"/>
        </w:rPr>
        <w:t> </w:t>
      </w:r>
      <w:r w:rsidRPr="00FE6AC6">
        <w:rPr>
          <w:color w:val="000000"/>
          <w:lang w:val="bg-BG"/>
        </w:rPr>
        <w:t>проучване). Появата на цитопениите обаче е също така в ясна зависимост от стадия на заболяването. Честота на неутропениите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или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(AБН &lt;1,0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тромбоцитопениите (тр</w:t>
      </w:r>
      <w:r w:rsidR="00101306" w:rsidRPr="00FE6AC6">
        <w:rPr>
          <w:color w:val="000000"/>
          <w:lang w:val="bg-BG"/>
        </w:rPr>
        <w:t>о</w:t>
      </w:r>
      <w:r w:rsidRPr="00FE6AC6">
        <w:rPr>
          <w:color w:val="000000"/>
          <w:lang w:val="bg-BG"/>
        </w:rPr>
        <w:t>мбоцитен брой &lt;50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е между</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и</w:t>
      </w:r>
      <w:r w:rsidRPr="00FE6AC6">
        <w:rPr>
          <w:color w:val="000000"/>
          <w:lang w:val="en-US"/>
        </w:rPr>
        <w:t> </w:t>
      </w:r>
      <w:r w:rsidRPr="00FE6AC6">
        <w:rPr>
          <w:color w:val="000000"/>
          <w:lang w:val="bg-BG"/>
        </w:rPr>
        <w:t>6</w:t>
      </w:r>
      <w:r w:rsidRPr="00FE6AC6">
        <w:rPr>
          <w:color w:val="000000"/>
          <w:lang w:val="en-US"/>
        </w:rPr>
        <w:t> </w:t>
      </w:r>
      <w:r w:rsidRPr="00FE6AC6">
        <w:rPr>
          <w:color w:val="000000"/>
          <w:lang w:val="bg-BG"/>
        </w:rPr>
        <w:t>пъти по-висока при бластна криза и фаза на акцелерация (59</w:t>
      </w:r>
      <w:r w:rsidRPr="00FE6AC6">
        <w:rPr>
          <w:color w:val="000000"/>
          <w:lang w:val="bg-BG"/>
        </w:rPr>
        <w:noBreakHyphen/>
        <w:t>64% и</w:t>
      </w:r>
      <w:r w:rsidRPr="00FE6AC6">
        <w:rPr>
          <w:color w:val="000000"/>
          <w:lang w:val="en-US"/>
        </w:rPr>
        <w:t> </w:t>
      </w:r>
      <w:r w:rsidRPr="00FE6AC6">
        <w:rPr>
          <w:color w:val="000000"/>
          <w:lang w:val="bg-BG"/>
        </w:rPr>
        <w:t>44</w:t>
      </w:r>
      <w:r w:rsidRPr="00FE6AC6">
        <w:rPr>
          <w:color w:val="000000"/>
          <w:lang w:val="bg-BG"/>
        </w:rPr>
        <w:noBreakHyphen/>
        <w:t>63%, съответно за неутропенията и тромбоцитопенията)</w:t>
      </w:r>
      <w:r w:rsidR="005E1A36" w:rsidRPr="00FE6AC6">
        <w:rPr>
          <w:color w:val="000000"/>
          <w:lang w:val="bg-BG"/>
        </w:rPr>
        <w:t>,</w:t>
      </w:r>
      <w:r w:rsidRPr="00FE6AC6">
        <w:rPr>
          <w:color w:val="000000"/>
          <w:lang w:val="bg-BG"/>
        </w:rPr>
        <w:t xml:space="preserve"> в сравнение с новодиагностицираните пациенти в хронична фаза на ХМЛ (</w:t>
      </w:r>
      <w:r w:rsidR="0018408A" w:rsidRPr="00FE6AC6">
        <w:rPr>
          <w:color w:val="000000"/>
          <w:lang w:val="bg-BG"/>
        </w:rPr>
        <w:t>16,7</w:t>
      </w:r>
      <w:r w:rsidRPr="00FE6AC6">
        <w:rPr>
          <w:color w:val="000000"/>
          <w:lang w:val="bg-BG"/>
        </w:rPr>
        <w:t>% неутропении и</w:t>
      </w:r>
      <w:r w:rsidRPr="00FE6AC6">
        <w:rPr>
          <w:color w:val="000000"/>
          <w:lang w:val="en-US"/>
        </w:rPr>
        <w:t> </w:t>
      </w:r>
      <w:r w:rsidRPr="00FE6AC6">
        <w:rPr>
          <w:color w:val="000000"/>
          <w:lang w:val="bg-BG"/>
        </w:rPr>
        <w:t>8,</w:t>
      </w:r>
      <w:r w:rsidR="0018408A" w:rsidRPr="00FE6AC6">
        <w:rPr>
          <w:color w:val="000000"/>
          <w:lang w:val="bg-BG"/>
        </w:rPr>
        <w:t>9</w:t>
      </w:r>
      <w:r w:rsidRPr="00FE6AC6">
        <w:rPr>
          <w:color w:val="000000"/>
          <w:lang w:val="bg-BG"/>
        </w:rPr>
        <w:t>% тромбоцитопении). При новодиагностицирана хронична фаза на ХМЛ, степен</w:t>
      </w:r>
      <w:r w:rsidRPr="00FE6AC6">
        <w:rPr>
          <w:color w:val="000000"/>
          <w:lang w:val="en-US"/>
        </w:rPr>
        <w:t> </w:t>
      </w:r>
      <w:r w:rsidRPr="00FE6AC6">
        <w:rPr>
          <w:color w:val="000000"/>
          <w:lang w:val="bg-BG"/>
        </w:rPr>
        <w:t>4</w:t>
      </w:r>
      <w:r w:rsidR="005E1A36" w:rsidRPr="00FE6AC6">
        <w:rPr>
          <w:color w:val="000000"/>
          <w:lang w:val="bg-BG"/>
        </w:rPr>
        <w:t xml:space="preserve"> неутропения</w:t>
      </w:r>
      <w:r w:rsidRPr="00FE6AC6">
        <w:rPr>
          <w:color w:val="000000"/>
          <w:lang w:val="en-US"/>
        </w:rPr>
        <w:t> </w:t>
      </w:r>
      <w:r w:rsidRPr="00FE6AC6">
        <w:rPr>
          <w:color w:val="000000"/>
          <w:lang w:val="bg-BG"/>
        </w:rPr>
        <w:t>(АБН &lt;0,5</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r w:rsidRPr="00FE6AC6">
        <w:rPr>
          <w:color w:val="000000"/>
          <w:vertAlign w:val="superscript"/>
          <w:lang w:val="bg-BG"/>
        </w:rPr>
        <w:t xml:space="preserve"> </w:t>
      </w:r>
      <w:r w:rsidRPr="00FE6AC6">
        <w:rPr>
          <w:color w:val="000000"/>
          <w:lang w:val="bg-BG"/>
        </w:rPr>
        <w:t>) и тромбоцитопения (тромбоцитен брой &lt;10</w:t>
      </w:r>
      <w:r w:rsidRPr="00FE6AC6">
        <w:rPr>
          <w:color w:val="000000"/>
          <w:lang w:val="en-US"/>
        </w:rPr>
        <w:t> </w:t>
      </w:r>
      <w:r w:rsidRPr="00FE6AC6">
        <w:rPr>
          <w:color w:val="000000"/>
          <w:lang w:val="bg-BG"/>
        </w:rPr>
        <w:t>x</w:t>
      </w:r>
      <w:r w:rsidRPr="00FE6AC6">
        <w:rPr>
          <w:color w:val="000000"/>
          <w:lang w:val="en-US"/>
        </w:rPr>
        <w:t> </w:t>
      </w:r>
      <w:r w:rsidRPr="00FE6AC6">
        <w:rPr>
          <w:color w:val="000000"/>
          <w:lang w:val="bg-BG"/>
        </w:rPr>
        <w:t>10</w:t>
      </w:r>
      <w:r w:rsidRPr="00FE6AC6">
        <w:rPr>
          <w:color w:val="000000"/>
          <w:vertAlign w:val="superscript"/>
          <w:lang w:val="bg-BG"/>
        </w:rPr>
        <w:t>9</w:t>
      </w:r>
      <w:r w:rsidRPr="00FE6AC6">
        <w:rPr>
          <w:color w:val="000000"/>
          <w:lang w:val="bg-BG"/>
        </w:rPr>
        <w:t>/l) се наблюдават съответно при</w:t>
      </w:r>
      <w:r w:rsidRPr="00FE6AC6">
        <w:rPr>
          <w:color w:val="000000"/>
          <w:lang w:val="en-US"/>
        </w:rPr>
        <w:t> </w:t>
      </w:r>
      <w:r w:rsidRPr="00FE6AC6">
        <w:rPr>
          <w:color w:val="000000"/>
          <w:lang w:val="bg-BG"/>
        </w:rPr>
        <w:t>3</w:t>
      </w:r>
      <w:r w:rsidR="0095596D" w:rsidRPr="00FE6AC6">
        <w:rPr>
          <w:color w:val="000000"/>
          <w:lang w:val="bg-BG"/>
        </w:rPr>
        <w:t>,6</w:t>
      </w:r>
      <w:r w:rsidRPr="00FE6AC6">
        <w:rPr>
          <w:color w:val="000000"/>
          <w:lang w:val="bg-BG"/>
        </w:rPr>
        <w:t xml:space="preserve">% и &lt;1% от пациентите. </w:t>
      </w:r>
      <w:r w:rsidR="001623F8" w:rsidRPr="00FE6AC6">
        <w:rPr>
          <w:color w:val="000000"/>
          <w:lang w:val="bg-BG"/>
        </w:rPr>
        <w:t xml:space="preserve">Медианата на </w:t>
      </w:r>
      <w:r w:rsidRPr="00FE6AC6">
        <w:rPr>
          <w:color w:val="000000"/>
          <w:lang w:val="bg-BG"/>
        </w:rPr>
        <w:t>продължителност на епизодите на неутропения и тромбоцитопения обикновено варира от</w:t>
      </w:r>
      <w:r w:rsidRPr="00FE6AC6">
        <w:rPr>
          <w:color w:val="000000"/>
          <w:lang w:val="en-US"/>
        </w:rPr>
        <w:t> </w:t>
      </w:r>
      <w:r w:rsidRPr="00FE6AC6">
        <w:rPr>
          <w:color w:val="000000"/>
          <w:lang w:val="bg-BG"/>
        </w:rPr>
        <w:t>2</w:t>
      </w:r>
      <w:r w:rsidRPr="00FE6AC6">
        <w:rPr>
          <w:color w:val="000000"/>
          <w:lang w:val="en-US"/>
        </w:rPr>
        <w:t> </w:t>
      </w:r>
      <w:r w:rsidRPr="00FE6AC6">
        <w:rPr>
          <w:color w:val="000000"/>
          <w:lang w:val="bg-BG"/>
        </w:rPr>
        <w:t>до</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седмици и от</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до</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седмици</w:t>
      </w:r>
      <w:r w:rsidR="005E1A36" w:rsidRPr="00FE6AC6">
        <w:rPr>
          <w:color w:val="000000"/>
          <w:lang w:val="bg-BG"/>
        </w:rPr>
        <w:t>, съответно</w:t>
      </w:r>
      <w:r w:rsidRPr="00FE6AC6">
        <w:rPr>
          <w:color w:val="000000"/>
          <w:lang w:val="bg-BG"/>
        </w:rPr>
        <w:t xml:space="preserve">. Поведението при тези реакции обикновено включва или редуциране на дозата, или преустановяване на лечението с Glivec, но в редки случаи може да се стигне до окончателно спиране на </w:t>
      </w:r>
      <w:r w:rsidR="005E1A36" w:rsidRPr="00FE6AC6">
        <w:rPr>
          <w:color w:val="000000"/>
          <w:lang w:val="bg-BG"/>
        </w:rPr>
        <w:t>терапията</w:t>
      </w:r>
      <w:r w:rsidRPr="00FE6AC6">
        <w:rPr>
          <w:color w:val="000000"/>
          <w:lang w:val="bg-BG"/>
        </w:rPr>
        <w:t>. При пациенти с ХМЛ в детска възраст най-често наблюдаваните прояви на токсичност са цитопении степен 3 или 4, включващи неутропения, тромбоцитопения и анемия. Като цяло те настъпват през първите няколко месеца от лечението.</w:t>
      </w:r>
    </w:p>
    <w:p w14:paraId="3E54FD4C" w14:textId="77777777" w:rsidR="007D128F" w:rsidRPr="00FE6AC6" w:rsidRDefault="007D128F" w:rsidP="0063575E">
      <w:pPr>
        <w:widowControl w:val="0"/>
        <w:tabs>
          <w:tab w:val="clear" w:pos="567"/>
        </w:tabs>
        <w:spacing w:line="240" w:lineRule="auto"/>
        <w:rPr>
          <w:color w:val="000000"/>
          <w:lang w:val="bg-BG"/>
        </w:rPr>
      </w:pPr>
    </w:p>
    <w:p w14:paraId="3E54FD4D" w14:textId="77777777" w:rsidR="001636FA" w:rsidRPr="00FE6AC6" w:rsidRDefault="007D128F" w:rsidP="0063575E">
      <w:pPr>
        <w:widowControl w:val="0"/>
        <w:tabs>
          <w:tab w:val="clear" w:pos="567"/>
        </w:tabs>
        <w:spacing w:line="240" w:lineRule="auto"/>
        <w:rPr>
          <w:color w:val="000000"/>
          <w:lang w:val="bg-BG"/>
        </w:rPr>
      </w:pPr>
      <w:r w:rsidRPr="00FE6AC6">
        <w:rPr>
          <w:color w:val="000000"/>
          <w:lang w:val="bg-BG"/>
        </w:rPr>
        <w:t>В проучване при пациенти с неподлежащи на резекция и/или метастатични ГИСТ,</w:t>
      </w:r>
      <w:r w:rsidR="001636FA" w:rsidRPr="00FE6AC6">
        <w:rPr>
          <w:color w:val="000000"/>
          <w:lang w:val="bg-BG"/>
        </w:rPr>
        <w:t xml:space="preserve"> степен</w:t>
      </w:r>
      <w:r w:rsidR="001636FA" w:rsidRPr="00FE6AC6">
        <w:rPr>
          <w:color w:val="000000"/>
          <w:lang w:val="en-US"/>
        </w:rPr>
        <w:t> </w:t>
      </w:r>
      <w:r w:rsidR="001636FA" w:rsidRPr="00FE6AC6">
        <w:rPr>
          <w:color w:val="000000"/>
          <w:lang w:val="bg-BG"/>
        </w:rPr>
        <w:t>3</w:t>
      </w:r>
      <w:r w:rsidR="001636FA" w:rsidRPr="00FE6AC6">
        <w:rPr>
          <w:color w:val="000000"/>
          <w:lang w:val="en-US"/>
        </w:rPr>
        <w:t> </w:t>
      </w:r>
      <w:r w:rsidR="001636FA" w:rsidRPr="00FE6AC6">
        <w:rPr>
          <w:color w:val="000000"/>
          <w:lang w:val="bg-BG"/>
        </w:rPr>
        <w:t>и</w:t>
      </w:r>
      <w:r w:rsidR="001636FA" w:rsidRPr="00FE6AC6">
        <w:rPr>
          <w:color w:val="000000"/>
          <w:lang w:val="en-US"/>
        </w:rPr>
        <w:t> </w:t>
      </w:r>
      <w:r w:rsidR="001636FA" w:rsidRPr="00FE6AC6">
        <w:rPr>
          <w:color w:val="000000"/>
          <w:lang w:val="bg-BG"/>
        </w:rPr>
        <w:t>4, анемия се съобщава съответно при</w:t>
      </w:r>
      <w:r w:rsidR="001636FA" w:rsidRPr="00FE6AC6">
        <w:rPr>
          <w:color w:val="000000"/>
          <w:lang w:val="en-US"/>
        </w:rPr>
        <w:t> </w:t>
      </w:r>
      <w:r w:rsidR="001636FA" w:rsidRPr="00FE6AC6">
        <w:rPr>
          <w:color w:val="000000"/>
          <w:lang w:val="bg-BG"/>
        </w:rPr>
        <w:t>5,4% и</w:t>
      </w:r>
      <w:r w:rsidR="001636FA" w:rsidRPr="00FE6AC6">
        <w:rPr>
          <w:color w:val="000000"/>
          <w:lang w:val="en-US"/>
        </w:rPr>
        <w:t> </w:t>
      </w:r>
      <w:r w:rsidR="001636FA" w:rsidRPr="00FE6AC6">
        <w:rPr>
          <w:color w:val="000000"/>
          <w:lang w:val="bg-BG"/>
        </w:rPr>
        <w:t xml:space="preserve">0,7% от пациентите, и може би е свързана с гастроинтестиналното или вътре туморното кървене при някой от тези пациенти. Неутропения </w:t>
      </w:r>
      <w:r w:rsidR="001636FA" w:rsidRPr="00FE6AC6">
        <w:rPr>
          <w:color w:val="000000"/>
          <w:lang w:val="bg-BG"/>
        </w:rPr>
        <w:lastRenderedPageBreak/>
        <w:t>степен</w:t>
      </w:r>
      <w:r w:rsidR="001636FA" w:rsidRPr="00FE6AC6">
        <w:rPr>
          <w:color w:val="000000"/>
          <w:lang w:val="en-US"/>
        </w:rPr>
        <w:t> </w:t>
      </w:r>
      <w:r w:rsidR="001636FA" w:rsidRPr="00FE6AC6">
        <w:rPr>
          <w:color w:val="000000"/>
          <w:lang w:val="bg-BG"/>
        </w:rPr>
        <w:t>3</w:t>
      </w:r>
      <w:r w:rsidR="001636FA" w:rsidRPr="00FE6AC6">
        <w:rPr>
          <w:color w:val="000000"/>
          <w:lang w:val="en-US"/>
        </w:rPr>
        <w:t> </w:t>
      </w:r>
      <w:r w:rsidR="001636FA" w:rsidRPr="00FE6AC6">
        <w:rPr>
          <w:color w:val="000000"/>
          <w:lang w:val="bg-BG"/>
        </w:rPr>
        <w:t>и</w:t>
      </w:r>
      <w:r w:rsidR="001636FA" w:rsidRPr="00FE6AC6">
        <w:rPr>
          <w:color w:val="000000"/>
          <w:lang w:val="en-US"/>
        </w:rPr>
        <w:t> </w:t>
      </w:r>
      <w:r w:rsidR="001636FA" w:rsidRPr="00FE6AC6">
        <w:rPr>
          <w:color w:val="000000"/>
          <w:lang w:val="bg-BG"/>
        </w:rPr>
        <w:t>4</w:t>
      </w:r>
      <w:r w:rsidR="001636FA" w:rsidRPr="00FE6AC6">
        <w:rPr>
          <w:color w:val="000000"/>
          <w:lang w:val="en-US"/>
        </w:rPr>
        <w:t> </w:t>
      </w:r>
      <w:r w:rsidR="001636FA" w:rsidRPr="00FE6AC6">
        <w:rPr>
          <w:color w:val="000000"/>
          <w:lang w:val="bg-BG"/>
        </w:rPr>
        <w:t>се наблюдава съответно при</w:t>
      </w:r>
      <w:r w:rsidR="001636FA" w:rsidRPr="00FE6AC6">
        <w:rPr>
          <w:color w:val="000000"/>
          <w:lang w:val="en-US"/>
        </w:rPr>
        <w:t> </w:t>
      </w:r>
      <w:r w:rsidR="001636FA" w:rsidRPr="00FE6AC6">
        <w:rPr>
          <w:color w:val="000000"/>
          <w:lang w:val="bg-BG"/>
        </w:rPr>
        <w:t>7,5% и</w:t>
      </w:r>
      <w:r w:rsidR="001636FA" w:rsidRPr="00FE6AC6">
        <w:rPr>
          <w:color w:val="000000"/>
          <w:lang w:val="en-US"/>
        </w:rPr>
        <w:t> </w:t>
      </w:r>
      <w:r w:rsidR="001636FA" w:rsidRPr="00FE6AC6">
        <w:rPr>
          <w:color w:val="000000"/>
          <w:lang w:val="bg-BG"/>
        </w:rPr>
        <w:t>2,7% от пациентите, а степен</w:t>
      </w:r>
      <w:r w:rsidR="001636FA" w:rsidRPr="00FE6AC6">
        <w:rPr>
          <w:color w:val="000000"/>
          <w:lang w:val="en-US"/>
        </w:rPr>
        <w:t> </w:t>
      </w:r>
      <w:r w:rsidR="001636FA" w:rsidRPr="00FE6AC6">
        <w:rPr>
          <w:color w:val="000000"/>
          <w:lang w:val="bg-BG"/>
        </w:rPr>
        <w:t>3</w:t>
      </w:r>
      <w:r w:rsidR="001636FA" w:rsidRPr="00FE6AC6">
        <w:rPr>
          <w:color w:val="000000"/>
          <w:lang w:val="en-US"/>
        </w:rPr>
        <w:t> </w:t>
      </w:r>
      <w:r w:rsidR="001636FA" w:rsidRPr="00FE6AC6">
        <w:rPr>
          <w:color w:val="000000"/>
          <w:lang w:val="bg-BG"/>
        </w:rPr>
        <w:t>тромбоцитопения при</w:t>
      </w:r>
      <w:r w:rsidR="001636FA" w:rsidRPr="00FE6AC6">
        <w:rPr>
          <w:color w:val="000000"/>
          <w:lang w:val="en-US"/>
        </w:rPr>
        <w:t> </w:t>
      </w:r>
      <w:r w:rsidR="001636FA" w:rsidRPr="00FE6AC6">
        <w:rPr>
          <w:color w:val="000000"/>
          <w:lang w:val="bg-BG"/>
        </w:rPr>
        <w:t>0,7% от пациентите. Нито един от пациентите не развива степен</w:t>
      </w:r>
      <w:r w:rsidR="001636FA" w:rsidRPr="00FE6AC6">
        <w:rPr>
          <w:color w:val="000000"/>
          <w:lang w:val="en-US"/>
        </w:rPr>
        <w:t> </w:t>
      </w:r>
      <w:r w:rsidR="001636FA" w:rsidRPr="00FE6AC6">
        <w:rPr>
          <w:color w:val="000000"/>
          <w:lang w:val="bg-BG"/>
        </w:rPr>
        <w:t>4</w:t>
      </w:r>
      <w:r w:rsidR="001636FA" w:rsidRPr="00FE6AC6">
        <w:rPr>
          <w:color w:val="000000"/>
          <w:lang w:val="en-US"/>
        </w:rPr>
        <w:t> </w:t>
      </w:r>
      <w:r w:rsidR="001636FA" w:rsidRPr="00FE6AC6">
        <w:rPr>
          <w:color w:val="000000"/>
          <w:lang w:val="bg-BG"/>
        </w:rPr>
        <w:t>тромбоцитопения. Понижението на общия левкоцитен и неутрофилен брой се проявява главно през първите шест седмици на лечението, със стойности, задържащи се относително стабилни след това.</w:t>
      </w:r>
    </w:p>
    <w:p w14:paraId="3E54FD4E" w14:textId="77777777" w:rsidR="001636FA" w:rsidRPr="00FE6AC6" w:rsidRDefault="001636FA" w:rsidP="0063575E">
      <w:pPr>
        <w:widowControl w:val="0"/>
        <w:tabs>
          <w:tab w:val="clear" w:pos="567"/>
        </w:tabs>
        <w:spacing w:line="240" w:lineRule="auto"/>
        <w:rPr>
          <w:color w:val="000000"/>
          <w:lang w:val="bg-BG"/>
        </w:rPr>
      </w:pPr>
    </w:p>
    <w:p w14:paraId="3E54FD4F" w14:textId="77777777" w:rsidR="001636FA" w:rsidRPr="00FE6AC6" w:rsidRDefault="001636FA" w:rsidP="0063575E">
      <w:pPr>
        <w:keepNext/>
        <w:widowControl w:val="0"/>
        <w:tabs>
          <w:tab w:val="clear" w:pos="567"/>
        </w:tabs>
        <w:spacing w:line="240" w:lineRule="auto"/>
        <w:rPr>
          <w:i/>
          <w:color w:val="000000"/>
          <w:lang w:val="bg-BG"/>
        </w:rPr>
      </w:pPr>
      <w:r w:rsidRPr="00FE6AC6">
        <w:rPr>
          <w:i/>
          <w:color w:val="000000"/>
          <w:lang w:val="bg-BG"/>
        </w:rPr>
        <w:t>Биохимия</w:t>
      </w:r>
    </w:p>
    <w:p w14:paraId="3E54FD50"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Значителното повишение на трансаминазите</w:t>
      </w:r>
      <w:r w:rsidR="00CD74FB" w:rsidRPr="00FE6AC6">
        <w:rPr>
          <w:color w:val="000000"/>
          <w:lang w:val="bg-BG"/>
        </w:rPr>
        <w:t xml:space="preserve"> </w:t>
      </w:r>
      <w:r w:rsidR="00CD74FB" w:rsidRPr="00FE6AC6">
        <w:rPr>
          <w:color w:val="000000"/>
          <w:szCs w:val="22"/>
          <w:lang w:val="bg-BG"/>
        </w:rPr>
        <w:t xml:space="preserve">(&lt;5%) </w:t>
      </w:r>
      <w:r w:rsidRPr="00FE6AC6">
        <w:rPr>
          <w:color w:val="000000"/>
          <w:lang w:val="bg-BG"/>
        </w:rPr>
        <w:t xml:space="preserve">или билирубина </w:t>
      </w:r>
      <w:r w:rsidR="00CD74FB" w:rsidRPr="00FE6AC6">
        <w:rPr>
          <w:color w:val="000000"/>
          <w:szCs w:val="22"/>
          <w:lang w:val="bg-BG"/>
        </w:rPr>
        <w:t xml:space="preserve">(&lt;1%) </w:t>
      </w:r>
      <w:r w:rsidR="00CD74FB" w:rsidRPr="00FE6AC6">
        <w:rPr>
          <w:color w:val="000000"/>
          <w:lang w:val="bg-BG"/>
        </w:rPr>
        <w:t>се наблюдава</w:t>
      </w:r>
      <w:r w:rsidRPr="00FE6AC6">
        <w:rPr>
          <w:color w:val="000000"/>
          <w:lang w:val="bg-BG"/>
        </w:rPr>
        <w:t xml:space="preserve"> при пациенти с ХМЛ и обикновено се овладява с намаляване на дозата или с прекъсване на лечението (</w:t>
      </w:r>
      <w:r w:rsidR="00430600" w:rsidRPr="00FE6AC6">
        <w:rPr>
          <w:color w:val="000000"/>
          <w:lang w:val="bg-BG"/>
        </w:rPr>
        <w:t>медианата на</w:t>
      </w:r>
      <w:r w:rsidRPr="00FE6AC6">
        <w:rPr>
          <w:color w:val="000000"/>
          <w:lang w:val="bg-BG"/>
        </w:rPr>
        <w:t xml:space="preserve"> продължителност</w:t>
      </w:r>
      <w:r w:rsidR="00430600" w:rsidRPr="00FE6AC6">
        <w:rPr>
          <w:color w:val="000000"/>
          <w:lang w:val="bg-BG"/>
        </w:rPr>
        <w:t>та</w:t>
      </w:r>
      <w:r w:rsidRPr="00FE6AC6">
        <w:rPr>
          <w:color w:val="000000"/>
          <w:lang w:val="bg-BG"/>
        </w:rPr>
        <w:t xml:space="preserve"> на тези епизоди е приблизително една седмица). Лечението </w:t>
      </w:r>
      <w:r w:rsidR="001250C5" w:rsidRPr="00FE6AC6">
        <w:rPr>
          <w:color w:val="000000"/>
          <w:lang w:val="bg-BG"/>
        </w:rPr>
        <w:t>е прекратено</w:t>
      </w:r>
      <w:r w:rsidRPr="00FE6AC6">
        <w:rPr>
          <w:color w:val="000000"/>
          <w:lang w:val="bg-BG"/>
        </w:rPr>
        <w:t xml:space="preserve"> окончателно</w:t>
      </w:r>
      <w:r w:rsidR="001250C5" w:rsidRPr="00FE6AC6">
        <w:rPr>
          <w:color w:val="000000"/>
          <w:lang w:val="bg-BG"/>
        </w:rPr>
        <w:t>,</w:t>
      </w:r>
      <w:r w:rsidRPr="00FE6AC6">
        <w:rPr>
          <w:color w:val="000000"/>
          <w:lang w:val="bg-BG"/>
        </w:rPr>
        <w:t xml:space="preserve"> поради отклонение в чернодробните показатели</w:t>
      </w:r>
      <w:r w:rsidR="001250C5" w:rsidRPr="00FE6AC6">
        <w:rPr>
          <w:color w:val="000000"/>
          <w:lang w:val="bg-BG"/>
        </w:rPr>
        <w:t>,</w:t>
      </w:r>
      <w:r w:rsidRPr="00FE6AC6">
        <w:rPr>
          <w:color w:val="000000"/>
          <w:lang w:val="bg-BG"/>
        </w:rPr>
        <w:t xml:space="preserve"> при по-малко от</w:t>
      </w:r>
      <w:r w:rsidRPr="00FE6AC6">
        <w:rPr>
          <w:color w:val="000000"/>
          <w:lang w:val="en-US"/>
        </w:rPr>
        <w:t> </w:t>
      </w:r>
      <w:r w:rsidR="00CD74FB" w:rsidRPr="00FE6AC6">
        <w:rPr>
          <w:color w:val="000000"/>
          <w:lang w:val="bg-BG"/>
        </w:rPr>
        <w:t>1</w:t>
      </w:r>
      <w:r w:rsidRPr="00FE6AC6">
        <w:rPr>
          <w:color w:val="000000"/>
          <w:lang w:val="bg-BG"/>
        </w:rPr>
        <w:t>% от пациентите с ХМЛ. При пациентите с ГИСТ (проучване B2222) са наблюдавани повишаване на честотата на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или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повишение на ALT (аланин аминотрансфераза) при</w:t>
      </w:r>
      <w:r w:rsidRPr="00FE6AC6">
        <w:rPr>
          <w:color w:val="000000"/>
          <w:lang w:val="en-US"/>
        </w:rPr>
        <w:t> </w:t>
      </w:r>
      <w:r w:rsidRPr="00FE6AC6">
        <w:rPr>
          <w:color w:val="000000"/>
          <w:lang w:val="bg-BG"/>
        </w:rPr>
        <w:t>6,8%, а на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или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повишение на AST (аспартат аминотрансфераза) при</w:t>
      </w:r>
      <w:r w:rsidRPr="00FE6AC6">
        <w:rPr>
          <w:color w:val="000000"/>
          <w:lang w:val="en-US"/>
        </w:rPr>
        <w:t> </w:t>
      </w:r>
      <w:r w:rsidRPr="00FE6AC6">
        <w:rPr>
          <w:color w:val="000000"/>
          <w:lang w:val="bg-BG"/>
        </w:rPr>
        <w:t>4,8%. Повишаването на билирубина е при по-малко от</w:t>
      </w:r>
      <w:r w:rsidRPr="00FE6AC6">
        <w:rPr>
          <w:color w:val="000000"/>
          <w:lang w:val="en-US"/>
        </w:rPr>
        <w:t> </w:t>
      </w:r>
      <w:r w:rsidRPr="00FE6AC6">
        <w:rPr>
          <w:color w:val="000000"/>
          <w:lang w:val="bg-BG"/>
        </w:rPr>
        <w:t>3%.</w:t>
      </w:r>
    </w:p>
    <w:p w14:paraId="3E54FD51" w14:textId="77777777" w:rsidR="001636FA" w:rsidRPr="00FE6AC6" w:rsidRDefault="001636FA" w:rsidP="0063575E">
      <w:pPr>
        <w:widowControl w:val="0"/>
        <w:tabs>
          <w:tab w:val="clear" w:pos="567"/>
        </w:tabs>
        <w:spacing w:line="240" w:lineRule="auto"/>
        <w:rPr>
          <w:color w:val="000000"/>
          <w:lang w:val="bg-BG"/>
        </w:rPr>
      </w:pPr>
    </w:p>
    <w:p w14:paraId="3E54FD52"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Има случаи на цитолитичен и холестатичен хепатит и чернодробна недостатъчност, като при някои от тях изходът е бил фатален, включително и един пациент</w:t>
      </w:r>
      <w:r w:rsidR="001250C5" w:rsidRPr="00FE6AC6">
        <w:rPr>
          <w:color w:val="000000"/>
          <w:lang w:val="bg-BG"/>
        </w:rPr>
        <w:t>,</w:t>
      </w:r>
      <w:r w:rsidRPr="00FE6AC6">
        <w:rPr>
          <w:color w:val="000000"/>
          <w:lang w:val="bg-BG"/>
        </w:rPr>
        <w:t xml:space="preserve"> с прием на висока доза на парацетамол.</w:t>
      </w:r>
    </w:p>
    <w:p w14:paraId="3E54FD53" w14:textId="77777777" w:rsidR="00D87118" w:rsidRPr="00FE6AC6" w:rsidRDefault="00D87118" w:rsidP="0063575E">
      <w:pPr>
        <w:pStyle w:val="Text"/>
        <w:widowControl w:val="0"/>
        <w:spacing w:before="0"/>
        <w:jc w:val="left"/>
        <w:rPr>
          <w:color w:val="000000"/>
          <w:sz w:val="22"/>
          <w:szCs w:val="22"/>
          <w:lang w:val="bg-BG"/>
        </w:rPr>
      </w:pPr>
    </w:p>
    <w:p w14:paraId="3E54FD54" w14:textId="77777777" w:rsidR="00732E13" w:rsidRPr="00FE6AC6" w:rsidRDefault="00732E13" w:rsidP="0063575E">
      <w:pPr>
        <w:pStyle w:val="Text"/>
        <w:keepNext/>
        <w:widowControl w:val="0"/>
        <w:spacing w:before="0"/>
        <w:jc w:val="left"/>
        <w:rPr>
          <w:color w:val="000000"/>
          <w:sz w:val="22"/>
          <w:szCs w:val="22"/>
          <w:u w:val="single"/>
          <w:lang w:val="bg-BG"/>
        </w:rPr>
      </w:pPr>
      <w:r w:rsidRPr="00FE6AC6">
        <w:rPr>
          <w:color w:val="000000"/>
          <w:sz w:val="22"/>
          <w:szCs w:val="22"/>
          <w:u w:val="single"/>
          <w:lang w:val="bg-BG"/>
        </w:rPr>
        <w:t>Описание на избрани нежелани реакции</w:t>
      </w:r>
    </w:p>
    <w:p w14:paraId="3E54FD55" w14:textId="77777777" w:rsidR="00732E13" w:rsidRPr="00FE6AC6" w:rsidRDefault="00732E13" w:rsidP="0063575E">
      <w:pPr>
        <w:keepNext/>
        <w:widowControl w:val="0"/>
        <w:tabs>
          <w:tab w:val="clear" w:pos="567"/>
          <w:tab w:val="left" w:pos="720"/>
        </w:tabs>
        <w:spacing w:line="240" w:lineRule="auto"/>
        <w:rPr>
          <w:i/>
          <w:noProof/>
          <w:snapToGrid w:val="0"/>
          <w:szCs w:val="22"/>
          <w:u w:val="single"/>
          <w:lang w:val="bg-BG"/>
        </w:rPr>
      </w:pPr>
      <w:r w:rsidRPr="00FE6AC6">
        <w:rPr>
          <w:i/>
          <w:noProof/>
          <w:snapToGrid w:val="0"/>
          <w:szCs w:val="22"/>
          <w:u w:val="single"/>
          <w:lang w:val="bg-BG"/>
        </w:rPr>
        <w:t>Реактивация на хепатит В</w:t>
      </w:r>
    </w:p>
    <w:p w14:paraId="3E54FD56" w14:textId="77777777" w:rsidR="00732E13" w:rsidRPr="00FE6AC6" w:rsidRDefault="00732E13" w:rsidP="0063575E">
      <w:pPr>
        <w:widowControl w:val="0"/>
        <w:tabs>
          <w:tab w:val="clear" w:pos="567"/>
          <w:tab w:val="left" w:pos="720"/>
        </w:tabs>
        <w:spacing w:line="240" w:lineRule="auto"/>
        <w:rPr>
          <w:noProof/>
          <w:snapToGrid w:val="0"/>
          <w:szCs w:val="22"/>
          <w:lang w:val="bg-BG"/>
        </w:rPr>
      </w:pPr>
      <w:r w:rsidRPr="00FE6AC6">
        <w:rPr>
          <w:noProof/>
          <w:snapToGrid w:val="0"/>
          <w:szCs w:val="22"/>
          <w:lang w:val="bg-BG"/>
        </w:rPr>
        <w:t xml:space="preserve">Съобщена е реактивация на хепатит В във връзка с BCR-ABL тирозинкиназните инхибитори (ТКИ). В някои случаи настъпва остра чернодробна недостатъчност или фулминантен хепатит, водещ до чернодробна трансплантация или фатален изход (вж. </w:t>
      </w:r>
      <w:r w:rsidR="00950355" w:rsidRPr="00FE6AC6">
        <w:rPr>
          <w:noProof/>
          <w:snapToGrid w:val="0"/>
          <w:szCs w:val="22"/>
          <w:lang w:val="bg-BG"/>
        </w:rPr>
        <w:t>Т</w:t>
      </w:r>
      <w:r w:rsidRPr="00FE6AC6">
        <w:rPr>
          <w:noProof/>
          <w:snapToGrid w:val="0"/>
          <w:szCs w:val="22"/>
          <w:lang w:val="bg-BG"/>
        </w:rPr>
        <w:t>очка</w:t>
      </w:r>
      <w:r w:rsidR="00950355" w:rsidRPr="00FE6AC6">
        <w:rPr>
          <w:noProof/>
          <w:snapToGrid w:val="0"/>
          <w:szCs w:val="22"/>
          <w:lang w:val="de-CH"/>
        </w:rPr>
        <w:t> </w:t>
      </w:r>
      <w:r w:rsidRPr="00FE6AC6">
        <w:rPr>
          <w:noProof/>
          <w:snapToGrid w:val="0"/>
          <w:szCs w:val="22"/>
          <w:lang w:val="bg-BG"/>
        </w:rPr>
        <w:t>4.4).</w:t>
      </w:r>
    </w:p>
    <w:p w14:paraId="3E54FD57" w14:textId="77777777" w:rsidR="00732E13" w:rsidRPr="00FE6AC6" w:rsidRDefault="00732E13" w:rsidP="0063575E">
      <w:pPr>
        <w:widowControl w:val="0"/>
        <w:tabs>
          <w:tab w:val="clear" w:pos="567"/>
          <w:tab w:val="left" w:pos="720"/>
        </w:tabs>
        <w:spacing w:line="240" w:lineRule="auto"/>
        <w:rPr>
          <w:noProof/>
          <w:snapToGrid w:val="0"/>
          <w:szCs w:val="22"/>
          <w:u w:val="single"/>
          <w:lang w:val="bg-BG"/>
        </w:rPr>
      </w:pPr>
    </w:p>
    <w:p w14:paraId="3E54FD58" w14:textId="77777777" w:rsidR="00D87118" w:rsidRPr="00FE6AC6" w:rsidRDefault="00D87118" w:rsidP="0063575E">
      <w:pPr>
        <w:keepNext/>
        <w:widowControl w:val="0"/>
        <w:tabs>
          <w:tab w:val="clear" w:pos="567"/>
          <w:tab w:val="left" w:pos="720"/>
        </w:tabs>
        <w:spacing w:line="240" w:lineRule="auto"/>
        <w:rPr>
          <w:snapToGrid w:val="0"/>
          <w:szCs w:val="22"/>
          <w:u w:val="single"/>
          <w:lang w:val="bg-BG"/>
        </w:rPr>
      </w:pPr>
      <w:r w:rsidRPr="00FE6AC6">
        <w:rPr>
          <w:noProof/>
          <w:snapToGrid w:val="0"/>
          <w:szCs w:val="22"/>
          <w:u w:val="single"/>
          <w:lang w:val="bg-BG"/>
        </w:rPr>
        <w:t>Съобщаване на подозирани нежелани реакции</w:t>
      </w:r>
    </w:p>
    <w:p w14:paraId="3E54FD59" w14:textId="77777777" w:rsidR="00D87118" w:rsidRPr="00FE6AC6" w:rsidRDefault="00D87118" w:rsidP="0063575E">
      <w:pPr>
        <w:widowControl w:val="0"/>
        <w:tabs>
          <w:tab w:val="clear" w:pos="567"/>
          <w:tab w:val="left" w:pos="720"/>
        </w:tabs>
        <w:spacing w:line="240" w:lineRule="auto"/>
        <w:rPr>
          <w:snapToGrid w:val="0"/>
          <w:szCs w:val="22"/>
          <w:lang w:val="bg-BG"/>
        </w:rPr>
      </w:pPr>
      <w:r w:rsidRPr="00FE6AC6">
        <w:rPr>
          <w:noProof/>
          <w:snapToGrid w:val="0"/>
          <w:szCs w:val="22"/>
          <w:lang w:val="bg-BG"/>
        </w:rPr>
        <w:t>Съобщаването на подозирани нежелани реакции след разрешаване за употреба на лекарствения продукт е важно.</w:t>
      </w:r>
      <w:r w:rsidRPr="00FE6AC6">
        <w:rPr>
          <w:snapToGrid w:val="0"/>
          <w:szCs w:val="22"/>
          <w:lang w:val="bg-BG"/>
        </w:rPr>
        <w:t xml:space="preserve"> </w:t>
      </w:r>
      <w:r w:rsidRPr="00FE6AC6">
        <w:rPr>
          <w:noProof/>
          <w:snapToGrid w:val="0"/>
          <w:szCs w:val="22"/>
          <w:lang w:val="bg-BG"/>
        </w:rPr>
        <w:t>Това позволява да продължи наблюдението на съотношението полза/риск за лекарствения продукт.</w:t>
      </w:r>
      <w:r w:rsidRPr="00FE6AC6">
        <w:rPr>
          <w:snapToGrid w:val="0"/>
          <w:szCs w:val="22"/>
          <w:lang w:val="bg-BG"/>
        </w:rPr>
        <w:t xml:space="preserve"> </w:t>
      </w:r>
      <w:r w:rsidRPr="00FE6AC6">
        <w:rPr>
          <w:noProof/>
          <w:snapToGrid w:val="0"/>
          <w:szCs w:val="22"/>
          <w:lang w:val="bg-BG"/>
        </w:rPr>
        <w:t xml:space="preserve">От медицинските специалисти се изисква да съобщават всяка подозирана нежелана реакция </w:t>
      </w:r>
      <w:r w:rsidRPr="00FE6AC6">
        <w:rPr>
          <w:noProof/>
          <w:snapToGrid w:val="0"/>
          <w:szCs w:val="22"/>
          <w:shd w:val="clear" w:color="auto" w:fill="D9D9D9"/>
          <w:lang w:val="bg-BG"/>
        </w:rPr>
        <w:t xml:space="preserve">чрез национална система за съобщаване, посочена в </w:t>
      </w:r>
      <w:hyperlink r:id="rId11" w:history="1">
        <w:r w:rsidRPr="00FE6AC6">
          <w:rPr>
            <w:noProof/>
            <w:snapToGrid w:val="0"/>
            <w:color w:val="0000FF"/>
            <w:szCs w:val="22"/>
            <w:u w:val="single"/>
            <w:shd w:val="clear" w:color="auto" w:fill="D9D9D9"/>
            <w:lang w:val="bg-BG"/>
          </w:rPr>
          <w:t>Приложение</w:t>
        </w:r>
        <w:r w:rsidR="008D760F" w:rsidRPr="00FE6AC6">
          <w:rPr>
            <w:noProof/>
            <w:snapToGrid w:val="0"/>
            <w:color w:val="0000FF"/>
            <w:szCs w:val="22"/>
            <w:u w:val="single"/>
            <w:shd w:val="clear" w:color="auto" w:fill="D9D9D9"/>
            <w:lang w:val="bg-BG"/>
          </w:rPr>
          <w:t> </w:t>
        </w:r>
        <w:r w:rsidRPr="00FE6AC6">
          <w:rPr>
            <w:noProof/>
            <w:snapToGrid w:val="0"/>
            <w:color w:val="0000FF"/>
            <w:szCs w:val="22"/>
            <w:u w:val="single"/>
            <w:shd w:val="clear" w:color="auto" w:fill="D9D9D9"/>
            <w:lang w:val="bg-BG"/>
          </w:rPr>
          <w:t>V</w:t>
        </w:r>
      </w:hyperlink>
      <w:r w:rsidRPr="00FE6AC6">
        <w:rPr>
          <w:noProof/>
          <w:snapToGrid w:val="0"/>
          <w:szCs w:val="22"/>
          <w:lang w:val="bg-BG"/>
        </w:rPr>
        <w:t>.</w:t>
      </w:r>
    </w:p>
    <w:p w14:paraId="3E54FD5A" w14:textId="77777777" w:rsidR="001636FA" w:rsidRPr="00FE6AC6" w:rsidRDefault="001636FA" w:rsidP="0063575E">
      <w:pPr>
        <w:widowControl w:val="0"/>
        <w:tabs>
          <w:tab w:val="clear" w:pos="567"/>
        </w:tabs>
        <w:spacing w:line="240" w:lineRule="auto"/>
        <w:rPr>
          <w:color w:val="000000"/>
          <w:lang w:val="bg-BG"/>
        </w:rPr>
      </w:pPr>
    </w:p>
    <w:p w14:paraId="3E54FD5B" w14:textId="77777777" w:rsidR="001636FA" w:rsidRPr="00FE6AC6" w:rsidRDefault="001636FA" w:rsidP="0063575E">
      <w:pPr>
        <w:keepNext/>
        <w:widowControl w:val="0"/>
        <w:spacing w:line="240" w:lineRule="auto"/>
        <w:rPr>
          <w:color w:val="000000"/>
          <w:lang w:val="bg-BG"/>
        </w:rPr>
      </w:pPr>
      <w:r w:rsidRPr="00FE6AC6">
        <w:rPr>
          <w:b/>
          <w:color w:val="000000"/>
          <w:lang w:val="bg-BG"/>
        </w:rPr>
        <w:t>4.9</w:t>
      </w:r>
      <w:r w:rsidRPr="00FE6AC6">
        <w:rPr>
          <w:b/>
          <w:color w:val="000000"/>
          <w:lang w:val="bg-BG"/>
        </w:rPr>
        <w:tab/>
        <w:t>Предозиране</w:t>
      </w:r>
    </w:p>
    <w:p w14:paraId="3E54FD5C" w14:textId="77777777" w:rsidR="001636FA" w:rsidRPr="00FE6AC6" w:rsidRDefault="001636FA" w:rsidP="0063575E">
      <w:pPr>
        <w:keepNext/>
        <w:widowControl w:val="0"/>
        <w:tabs>
          <w:tab w:val="clear" w:pos="567"/>
        </w:tabs>
        <w:spacing w:line="240" w:lineRule="auto"/>
        <w:rPr>
          <w:color w:val="000000"/>
          <w:lang w:val="bg-BG"/>
        </w:rPr>
      </w:pPr>
    </w:p>
    <w:p w14:paraId="3E54FD5D" w14:textId="77777777" w:rsidR="00C55F6C" w:rsidRPr="00FE6AC6" w:rsidRDefault="00EC17C7" w:rsidP="0063575E">
      <w:pPr>
        <w:widowControl w:val="0"/>
        <w:tabs>
          <w:tab w:val="clear" w:pos="567"/>
        </w:tabs>
        <w:spacing w:line="240" w:lineRule="auto"/>
        <w:rPr>
          <w:color w:val="000000"/>
          <w:lang w:val="bg-BG"/>
        </w:rPr>
      </w:pPr>
      <w:r w:rsidRPr="00FE6AC6">
        <w:rPr>
          <w:color w:val="000000"/>
          <w:lang w:val="bg-BG"/>
        </w:rPr>
        <w:t>Опитът с дози</w:t>
      </w:r>
      <w:r w:rsidR="00A13FE8" w:rsidRPr="00FE6AC6">
        <w:rPr>
          <w:color w:val="000000"/>
          <w:lang w:val="bg-BG"/>
        </w:rPr>
        <w:t>,</w:t>
      </w:r>
      <w:r w:rsidRPr="00FE6AC6">
        <w:rPr>
          <w:color w:val="000000"/>
          <w:lang w:val="bg-BG"/>
        </w:rPr>
        <w:t xml:space="preserve"> по-високи от препоръчван</w:t>
      </w:r>
      <w:r w:rsidR="00A13FE8" w:rsidRPr="00FE6AC6">
        <w:rPr>
          <w:color w:val="000000"/>
          <w:lang w:val="bg-BG"/>
        </w:rPr>
        <w:t>ата</w:t>
      </w:r>
      <w:r w:rsidRPr="00FE6AC6">
        <w:rPr>
          <w:color w:val="000000"/>
          <w:lang w:val="bg-BG"/>
        </w:rPr>
        <w:t xml:space="preserve"> терапевтичн</w:t>
      </w:r>
      <w:r w:rsidR="00A13FE8" w:rsidRPr="00FE6AC6">
        <w:rPr>
          <w:color w:val="000000"/>
          <w:lang w:val="bg-BG"/>
        </w:rPr>
        <w:t>а</w:t>
      </w:r>
      <w:r w:rsidRPr="00FE6AC6">
        <w:rPr>
          <w:color w:val="000000"/>
          <w:lang w:val="bg-BG"/>
        </w:rPr>
        <w:t xml:space="preserve"> доз</w:t>
      </w:r>
      <w:r w:rsidR="00A13FE8" w:rsidRPr="00FE6AC6">
        <w:rPr>
          <w:color w:val="000000"/>
          <w:lang w:val="bg-BG"/>
        </w:rPr>
        <w:t>а,</w:t>
      </w:r>
      <w:r w:rsidRPr="00FE6AC6">
        <w:rPr>
          <w:color w:val="000000"/>
          <w:lang w:val="bg-BG"/>
        </w:rPr>
        <w:t xml:space="preserve"> е ограничен. Изолирани случаи на предозиране с </w:t>
      </w:r>
      <w:r w:rsidRPr="00FE6AC6">
        <w:rPr>
          <w:color w:val="000000"/>
          <w:lang w:val="en-US"/>
        </w:rPr>
        <w:t>Glivec</w:t>
      </w:r>
      <w:r w:rsidRPr="00FE6AC6">
        <w:rPr>
          <w:color w:val="000000"/>
          <w:lang w:val="bg-BG"/>
        </w:rPr>
        <w:t xml:space="preserve"> са </w:t>
      </w:r>
      <w:r w:rsidR="00C7779A" w:rsidRPr="00FE6AC6">
        <w:rPr>
          <w:color w:val="000000"/>
          <w:lang w:val="bg-BG"/>
        </w:rPr>
        <w:t xml:space="preserve">били </w:t>
      </w:r>
      <w:r w:rsidRPr="00FE6AC6">
        <w:rPr>
          <w:color w:val="000000"/>
          <w:lang w:val="bg-BG"/>
        </w:rPr>
        <w:t>докладвани спонтанно</w:t>
      </w:r>
      <w:r w:rsidR="005A31AC" w:rsidRPr="00FE6AC6">
        <w:rPr>
          <w:color w:val="000000"/>
          <w:lang w:val="bg-BG"/>
        </w:rPr>
        <w:t>, както</w:t>
      </w:r>
      <w:r w:rsidRPr="00FE6AC6">
        <w:rPr>
          <w:color w:val="000000"/>
          <w:lang w:val="bg-BG"/>
        </w:rPr>
        <w:t xml:space="preserve"> и в литературата. В случай на предозиране пациентът трябва да </w:t>
      </w:r>
      <w:r w:rsidR="00387CD2" w:rsidRPr="00FE6AC6">
        <w:rPr>
          <w:color w:val="000000"/>
          <w:lang w:val="bg-BG"/>
        </w:rPr>
        <w:t>бъде</w:t>
      </w:r>
      <w:r w:rsidRPr="00FE6AC6">
        <w:rPr>
          <w:color w:val="000000"/>
          <w:lang w:val="bg-BG"/>
        </w:rPr>
        <w:t xml:space="preserve"> </w:t>
      </w:r>
      <w:r w:rsidR="009F6E3E" w:rsidRPr="00FE6AC6">
        <w:rPr>
          <w:color w:val="000000"/>
          <w:lang w:val="bg-BG"/>
        </w:rPr>
        <w:t>наблюдава</w:t>
      </w:r>
      <w:r w:rsidR="00387CD2" w:rsidRPr="00FE6AC6">
        <w:rPr>
          <w:color w:val="000000"/>
          <w:lang w:val="bg-BG"/>
        </w:rPr>
        <w:t>н</w:t>
      </w:r>
      <w:r w:rsidR="009F6E3E" w:rsidRPr="00FE6AC6">
        <w:rPr>
          <w:color w:val="000000"/>
          <w:lang w:val="bg-BG"/>
        </w:rPr>
        <w:t xml:space="preserve"> и да </w:t>
      </w:r>
      <w:r w:rsidR="007655D1" w:rsidRPr="00FE6AC6">
        <w:rPr>
          <w:color w:val="000000"/>
          <w:lang w:val="bg-BG"/>
        </w:rPr>
        <w:t>му се прилага</w:t>
      </w:r>
      <w:r w:rsidR="009F6E3E" w:rsidRPr="00FE6AC6">
        <w:rPr>
          <w:color w:val="000000"/>
          <w:lang w:val="bg-BG"/>
        </w:rPr>
        <w:t xml:space="preserve"> съответното симптоматично лечение.</w:t>
      </w:r>
      <w:r w:rsidR="00C55F6C" w:rsidRPr="00FE6AC6">
        <w:rPr>
          <w:color w:val="000000"/>
          <w:lang w:val="ru-RU"/>
        </w:rPr>
        <w:t xml:space="preserve"> </w:t>
      </w:r>
      <w:r w:rsidR="003372E6" w:rsidRPr="00FE6AC6">
        <w:rPr>
          <w:color w:val="000000"/>
          <w:lang w:val="ru-RU"/>
        </w:rPr>
        <w:t>Обикновено</w:t>
      </w:r>
      <w:r w:rsidR="00C55F6C" w:rsidRPr="00FE6AC6">
        <w:rPr>
          <w:color w:val="000000"/>
          <w:lang w:val="ru-RU"/>
        </w:rPr>
        <w:t xml:space="preserve"> съобщените крайни резултати при тези случаи са “по</w:t>
      </w:r>
      <w:r w:rsidR="005A31AC" w:rsidRPr="00FE6AC6">
        <w:rPr>
          <w:color w:val="000000"/>
          <w:lang w:val="ru-RU"/>
        </w:rPr>
        <w:t>казал подобрение</w:t>
      </w:r>
      <w:r w:rsidR="00C55F6C" w:rsidRPr="00FE6AC6">
        <w:rPr>
          <w:color w:val="000000"/>
          <w:lang w:val="ru-RU"/>
        </w:rPr>
        <w:t>” или “възстановен”</w:t>
      </w:r>
      <w:r w:rsidR="007D6997" w:rsidRPr="00FE6AC6">
        <w:rPr>
          <w:color w:val="000000"/>
          <w:lang w:val="ru-RU"/>
        </w:rPr>
        <w:t>.</w:t>
      </w:r>
      <w:r w:rsidR="00C06103" w:rsidRPr="00FE6AC6">
        <w:rPr>
          <w:color w:val="000000"/>
          <w:lang w:val="ru-RU"/>
        </w:rPr>
        <w:t xml:space="preserve"> Събитията, които са били съобщавани при различните </w:t>
      </w:r>
      <w:r w:rsidR="00BD3CEE" w:rsidRPr="00FE6AC6">
        <w:rPr>
          <w:color w:val="000000"/>
          <w:lang w:val="bg-BG"/>
        </w:rPr>
        <w:t>дозови интервали</w:t>
      </w:r>
      <w:r w:rsidR="00E900A3" w:rsidRPr="00FE6AC6">
        <w:rPr>
          <w:color w:val="000000"/>
          <w:lang w:val="bg-BG"/>
        </w:rPr>
        <w:t>,</w:t>
      </w:r>
      <w:r w:rsidR="00BD3CEE" w:rsidRPr="00FE6AC6">
        <w:rPr>
          <w:color w:val="000000"/>
          <w:lang w:val="bg-BG"/>
        </w:rPr>
        <w:t xml:space="preserve"> са </w:t>
      </w:r>
      <w:r w:rsidR="0031699B" w:rsidRPr="00FE6AC6">
        <w:rPr>
          <w:color w:val="000000"/>
          <w:lang w:val="bg-BG"/>
        </w:rPr>
        <w:t>както следва:</w:t>
      </w:r>
    </w:p>
    <w:p w14:paraId="3E54FD5E" w14:textId="77777777" w:rsidR="00603951" w:rsidRPr="00FE6AC6" w:rsidRDefault="00603951" w:rsidP="0063575E">
      <w:pPr>
        <w:widowControl w:val="0"/>
        <w:tabs>
          <w:tab w:val="clear" w:pos="567"/>
        </w:tabs>
        <w:spacing w:line="240" w:lineRule="auto"/>
        <w:rPr>
          <w:color w:val="000000"/>
          <w:lang w:val="bg-BG"/>
        </w:rPr>
      </w:pPr>
    </w:p>
    <w:p w14:paraId="3E54FD5F" w14:textId="77777777" w:rsidR="00603951" w:rsidRPr="00FE6AC6" w:rsidRDefault="005D1166" w:rsidP="0063575E">
      <w:pPr>
        <w:keepNext/>
        <w:widowControl w:val="0"/>
        <w:tabs>
          <w:tab w:val="clear" w:pos="567"/>
        </w:tabs>
        <w:spacing w:line="240" w:lineRule="auto"/>
        <w:rPr>
          <w:color w:val="000000"/>
          <w:u w:val="single"/>
          <w:lang w:val="bg-BG"/>
        </w:rPr>
      </w:pPr>
      <w:r w:rsidRPr="00FE6AC6">
        <w:rPr>
          <w:i/>
          <w:color w:val="000000"/>
          <w:lang w:val="bg-BG"/>
        </w:rPr>
        <w:t>Възрастна популация</w:t>
      </w:r>
    </w:p>
    <w:p w14:paraId="3E54FD60" w14:textId="77777777" w:rsidR="00603951" w:rsidRPr="00FE6AC6" w:rsidRDefault="00755D9B" w:rsidP="0063575E">
      <w:pPr>
        <w:widowControl w:val="0"/>
        <w:tabs>
          <w:tab w:val="clear" w:pos="567"/>
        </w:tabs>
        <w:spacing w:line="240" w:lineRule="auto"/>
        <w:rPr>
          <w:color w:val="000000"/>
          <w:lang w:val="bg-BG"/>
        </w:rPr>
      </w:pPr>
      <w:r w:rsidRPr="00FE6AC6">
        <w:rPr>
          <w:color w:val="000000"/>
          <w:lang w:val="bg-BG"/>
        </w:rPr>
        <w:t>1</w:t>
      </w:r>
      <w:r w:rsidR="00D21DCB" w:rsidRPr="00FE6AC6">
        <w:rPr>
          <w:color w:val="000000"/>
          <w:lang w:val="en-US"/>
        </w:rPr>
        <w:t> </w:t>
      </w:r>
      <w:r w:rsidRPr="00FE6AC6">
        <w:rPr>
          <w:color w:val="000000"/>
          <w:lang w:val="bg-BG"/>
        </w:rPr>
        <w:t>200 до 1</w:t>
      </w:r>
      <w:r w:rsidR="00D21DCB" w:rsidRPr="00FE6AC6">
        <w:rPr>
          <w:color w:val="000000"/>
          <w:lang w:val="en-US"/>
        </w:rPr>
        <w:t> </w:t>
      </w:r>
      <w:r w:rsidRPr="00FE6AC6">
        <w:rPr>
          <w:color w:val="000000"/>
          <w:lang w:val="bg-BG"/>
        </w:rPr>
        <w:t>600</w:t>
      </w:r>
      <w:r w:rsidRPr="00FE6AC6">
        <w:rPr>
          <w:color w:val="000000"/>
          <w:lang w:val="en-US"/>
        </w:rPr>
        <w:t> mg</w:t>
      </w:r>
      <w:r w:rsidRPr="00FE6AC6">
        <w:rPr>
          <w:color w:val="000000"/>
          <w:lang w:val="bg-BG"/>
        </w:rPr>
        <w:t xml:space="preserve"> (продължителността варира между 1 до 10 дни): </w:t>
      </w:r>
      <w:r w:rsidR="005D5429" w:rsidRPr="00FE6AC6">
        <w:rPr>
          <w:color w:val="000000"/>
          <w:lang w:val="bg-BG"/>
        </w:rPr>
        <w:t>гадене, повръщане, диария, обрив, еритем, едем, подуване, умора, мускулни спазми, тромбоцитопения, панцитопения, коремна болка, главоболие, понижен апетит</w:t>
      </w:r>
      <w:r w:rsidR="00C01FB3" w:rsidRPr="00FE6AC6">
        <w:rPr>
          <w:color w:val="000000"/>
          <w:lang w:val="bg-BG"/>
        </w:rPr>
        <w:t>.</w:t>
      </w:r>
    </w:p>
    <w:p w14:paraId="3E54FD61" w14:textId="77777777" w:rsidR="00C01FB3" w:rsidRPr="00FE6AC6" w:rsidRDefault="00C01FB3" w:rsidP="0063575E">
      <w:pPr>
        <w:widowControl w:val="0"/>
        <w:tabs>
          <w:tab w:val="clear" w:pos="567"/>
        </w:tabs>
        <w:spacing w:line="240" w:lineRule="auto"/>
        <w:rPr>
          <w:color w:val="000000"/>
          <w:lang w:val="bg-BG"/>
        </w:rPr>
      </w:pPr>
      <w:r w:rsidRPr="00FE6AC6">
        <w:rPr>
          <w:color w:val="000000"/>
          <w:lang w:val="bg-BG"/>
        </w:rPr>
        <w:t>1</w:t>
      </w:r>
      <w:r w:rsidR="00600B48" w:rsidRPr="00FE6AC6">
        <w:rPr>
          <w:color w:val="000000"/>
          <w:lang w:val="en-US"/>
        </w:rPr>
        <w:t> </w:t>
      </w:r>
      <w:r w:rsidRPr="00FE6AC6">
        <w:rPr>
          <w:color w:val="000000"/>
          <w:lang w:val="bg-BG"/>
        </w:rPr>
        <w:t>800 до 3</w:t>
      </w:r>
      <w:r w:rsidR="00600B48" w:rsidRPr="00FE6AC6">
        <w:rPr>
          <w:color w:val="000000"/>
          <w:lang w:val="en-US"/>
        </w:rPr>
        <w:t> </w:t>
      </w:r>
      <w:r w:rsidRPr="00FE6AC6">
        <w:rPr>
          <w:color w:val="000000"/>
          <w:lang w:val="bg-BG"/>
        </w:rPr>
        <w:t>200 </w:t>
      </w:r>
      <w:r w:rsidRPr="00FE6AC6">
        <w:rPr>
          <w:color w:val="000000"/>
          <w:lang w:val="en-US"/>
        </w:rPr>
        <w:t>mg</w:t>
      </w:r>
      <w:r w:rsidRPr="00FE6AC6">
        <w:rPr>
          <w:color w:val="000000"/>
          <w:lang w:val="bg-BG"/>
        </w:rPr>
        <w:t xml:space="preserve"> (</w:t>
      </w:r>
      <w:r w:rsidR="00B36FCB" w:rsidRPr="00FE6AC6">
        <w:rPr>
          <w:color w:val="000000"/>
          <w:lang w:val="bg-BG"/>
        </w:rPr>
        <w:t>като 3</w:t>
      </w:r>
      <w:r w:rsidR="00600B48" w:rsidRPr="00FE6AC6">
        <w:rPr>
          <w:color w:val="000000"/>
          <w:lang w:val="en-US"/>
        </w:rPr>
        <w:t> </w:t>
      </w:r>
      <w:r w:rsidR="00B36FCB" w:rsidRPr="00FE6AC6">
        <w:rPr>
          <w:color w:val="000000"/>
          <w:lang w:val="bg-BG"/>
        </w:rPr>
        <w:t>200</w:t>
      </w:r>
      <w:r w:rsidR="00B36FCB" w:rsidRPr="00FE6AC6">
        <w:rPr>
          <w:color w:val="000000"/>
          <w:lang w:val="en-US"/>
        </w:rPr>
        <w:t> mg</w:t>
      </w:r>
      <w:r w:rsidR="00B36FCB" w:rsidRPr="00FE6AC6">
        <w:rPr>
          <w:color w:val="000000"/>
          <w:lang w:val="bg-BG"/>
        </w:rPr>
        <w:t xml:space="preserve"> на ден са прилагани в продължение на 6</w:t>
      </w:r>
      <w:r w:rsidR="00215EA2" w:rsidRPr="00FE6AC6">
        <w:rPr>
          <w:color w:val="000000"/>
          <w:lang w:val="de-CH"/>
        </w:rPr>
        <w:t> </w:t>
      </w:r>
      <w:r w:rsidR="00B36FCB" w:rsidRPr="00FE6AC6">
        <w:rPr>
          <w:color w:val="000000"/>
          <w:lang w:val="bg-BG"/>
        </w:rPr>
        <w:t>дни): слабост, миалгия, повишаване на креатин фосфокиназата, повишаване на билирубина, стомашно-чревна болка.</w:t>
      </w:r>
    </w:p>
    <w:p w14:paraId="3E54FD62" w14:textId="77777777" w:rsidR="000E370B" w:rsidRPr="00FE6AC6" w:rsidRDefault="000E370B" w:rsidP="0063575E">
      <w:pPr>
        <w:widowControl w:val="0"/>
        <w:tabs>
          <w:tab w:val="clear" w:pos="567"/>
        </w:tabs>
        <w:spacing w:line="240" w:lineRule="auto"/>
        <w:rPr>
          <w:color w:val="000000"/>
          <w:lang w:val="bg-BG"/>
        </w:rPr>
      </w:pPr>
      <w:r w:rsidRPr="00FE6AC6">
        <w:rPr>
          <w:color w:val="000000"/>
          <w:lang w:val="bg-BG"/>
        </w:rPr>
        <w:t>6</w:t>
      </w:r>
      <w:r w:rsidR="00600B48" w:rsidRPr="00FE6AC6">
        <w:rPr>
          <w:color w:val="000000"/>
          <w:lang w:val="en-US"/>
        </w:rPr>
        <w:t> </w:t>
      </w:r>
      <w:r w:rsidRPr="00FE6AC6">
        <w:rPr>
          <w:color w:val="000000"/>
          <w:lang w:val="bg-BG"/>
        </w:rPr>
        <w:t>400</w:t>
      </w:r>
      <w:r w:rsidRPr="00FE6AC6">
        <w:rPr>
          <w:color w:val="000000"/>
          <w:lang w:val="en-US"/>
        </w:rPr>
        <w:t> mg</w:t>
      </w:r>
      <w:r w:rsidRPr="00FE6AC6">
        <w:rPr>
          <w:color w:val="000000"/>
          <w:lang w:val="bg-BG"/>
        </w:rPr>
        <w:t xml:space="preserve"> (еднократна доза)</w:t>
      </w:r>
      <w:r w:rsidR="00BD41A1" w:rsidRPr="00FE6AC6">
        <w:rPr>
          <w:color w:val="000000"/>
          <w:lang w:val="bg-BG"/>
        </w:rPr>
        <w:t xml:space="preserve">: </w:t>
      </w:r>
      <w:r w:rsidR="00A03A0F" w:rsidRPr="00FE6AC6">
        <w:rPr>
          <w:color w:val="000000"/>
          <w:lang w:val="bg-BG"/>
        </w:rPr>
        <w:t xml:space="preserve">в литературата има </w:t>
      </w:r>
      <w:r w:rsidR="004C3090" w:rsidRPr="00FE6AC6">
        <w:rPr>
          <w:color w:val="000000"/>
          <w:lang w:val="bg-BG"/>
        </w:rPr>
        <w:t xml:space="preserve">съобщен </w:t>
      </w:r>
      <w:r w:rsidR="00A03A0F" w:rsidRPr="00FE6AC6">
        <w:rPr>
          <w:color w:val="000000"/>
          <w:lang w:val="bg-BG"/>
        </w:rPr>
        <w:t xml:space="preserve">един случай на пациент, който е бил с гадене, повръщане, коремна болка, пирексия, подуване на лицето, </w:t>
      </w:r>
      <w:r w:rsidR="00916CD7" w:rsidRPr="00FE6AC6">
        <w:rPr>
          <w:color w:val="000000"/>
          <w:lang w:val="bg-BG"/>
        </w:rPr>
        <w:t xml:space="preserve">намаляване </w:t>
      </w:r>
      <w:r w:rsidR="00A03A0F" w:rsidRPr="00FE6AC6">
        <w:rPr>
          <w:color w:val="000000"/>
          <w:lang w:val="bg-BG"/>
        </w:rPr>
        <w:t>на броя на неутрофилите, повишаване на трансаминазите.</w:t>
      </w:r>
    </w:p>
    <w:p w14:paraId="3E54FD63" w14:textId="77777777" w:rsidR="00321557" w:rsidRPr="00FE6AC6" w:rsidRDefault="00321557" w:rsidP="0063575E">
      <w:pPr>
        <w:widowControl w:val="0"/>
        <w:tabs>
          <w:tab w:val="clear" w:pos="567"/>
        </w:tabs>
        <w:spacing w:line="240" w:lineRule="auto"/>
        <w:rPr>
          <w:color w:val="000000"/>
          <w:lang w:val="bg-BG"/>
        </w:rPr>
      </w:pPr>
      <w:r w:rsidRPr="00FE6AC6">
        <w:rPr>
          <w:color w:val="000000"/>
          <w:lang w:val="bg-BG"/>
        </w:rPr>
        <w:t xml:space="preserve">8 до </w:t>
      </w:r>
      <w:smartTag w:uri="urn:schemas-microsoft-com:office:smarttags" w:element="metricconverter">
        <w:smartTagPr>
          <w:attr w:name="ProductID" w:val="10ﾠg"/>
        </w:smartTagPr>
        <w:r w:rsidRPr="00FE6AC6">
          <w:rPr>
            <w:color w:val="000000"/>
            <w:lang w:val="bg-BG"/>
          </w:rPr>
          <w:t>10</w:t>
        </w:r>
        <w:r w:rsidRPr="00FE6AC6">
          <w:rPr>
            <w:color w:val="000000"/>
            <w:lang w:val="en-US"/>
          </w:rPr>
          <w:t> g</w:t>
        </w:r>
      </w:smartTag>
      <w:r w:rsidRPr="00FE6AC6">
        <w:rPr>
          <w:color w:val="000000"/>
          <w:lang w:val="bg-BG"/>
        </w:rPr>
        <w:t xml:space="preserve"> (еднократна доза): съобщава се за повръщане и стомашно-чревна болка.</w:t>
      </w:r>
    </w:p>
    <w:p w14:paraId="3E54FD64" w14:textId="77777777" w:rsidR="000A4792" w:rsidRPr="00FE6AC6" w:rsidRDefault="000A4792" w:rsidP="0063575E">
      <w:pPr>
        <w:widowControl w:val="0"/>
        <w:tabs>
          <w:tab w:val="clear" w:pos="567"/>
        </w:tabs>
        <w:spacing w:line="240" w:lineRule="auto"/>
        <w:rPr>
          <w:color w:val="000000"/>
          <w:lang w:val="bg-BG"/>
        </w:rPr>
      </w:pPr>
    </w:p>
    <w:p w14:paraId="3E54FD65" w14:textId="77777777" w:rsidR="000A4792" w:rsidRPr="00FE6AC6" w:rsidRDefault="007B609D" w:rsidP="0063575E">
      <w:pPr>
        <w:keepNext/>
        <w:widowControl w:val="0"/>
        <w:tabs>
          <w:tab w:val="clear" w:pos="567"/>
        </w:tabs>
        <w:spacing w:line="240" w:lineRule="auto"/>
        <w:rPr>
          <w:color w:val="000000"/>
          <w:u w:val="single"/>
          <w:lang w:val="bg-BG"/>
        </w:rPr>
      </w:pPr>
      <w:r w:rsidRPr="00FE6AC6">
        <w:rPr>
          <w:i/>
          <w:color w:val="000000"/>
          <w:lang w:val="bg-BG"/>
        </w:rPr>
        <w:t>Педиатрична популация</w:t>
      </w:r>
    </w:p>
    <w:p w14:paraId="3E54FD66" w14:textId="77777777" w:rsidR="000A4792" w:rsidRPr="00FE6AC6" w:rsidRDefault="00466FBF" w:rsidP="0063575E">
      <w:pPr>
        <w:widowControl w:val="0"/>
        <w:tabs>
          <w:tab w:val="clear" w:pos="567"/>
        </w:tabs>
        <w:spacing w:line="240" w:lineRule="auto"/>
        <w:rPr>
          <w:color w:val="000000"/>
          <w:lang w:val="bg-BG"/>
        </w:rPr>
      </w:pPr>
      <w:r w:rsidRPr="00FE6AC6">
        <w:rPr>
          <w:color w:val="000000"/>
          <w:lang w:val="bg-BG"/>
        </w:rPr>
        <w:t>Едно 3-годишно момче</w:t>
      </w:r>
      <w:r w:rsidR="001C0149" w:rsidRPr="00FE6AC6">
        <w:rPr>
          <w:color w:val="000000"/>
          <w:lang w:val="bg-BG"/>
        </w:rPr>
        <w:t xml:space="preserve"> при излагане</w:t>
      </w:r>
      <w:r w:rsidR="006B0CCF" w:rsidRPr="00FE6AC6">
        <w:rPr>
          <w:color w:val="000000"/>
          <w:lang w:val="bg-BG"/>
        </w:rPr>
        <w:t xml:space="preserve"> на </w:t>
      </w:r>
      <w:r w:rsidR="001C0149" w:rsidRPr="00FE6AC6">
        <w:rPr>
          <w:color w:val="000000"/>
          <w:lang w:val="bg-BG"/>
        </w:rPr>
        <w:t>еднократна доза от 400</w:t>
      </w:r>
      <w:r w:rsidR="001C0149" w:rsidRPr="00FE6AC6">
        <w:rPr>
          <w:color w:val="000000"/>
          <w:lang w:val="en-US"/>
        </w:rPr>
        <w:t> mg</w:t>
      </w:r>
      <w:r w:rsidR="001C0149" w:rsidRPr="00FE6AC6">
        <w:rPr>
          <w:color w:val="000000"/>
          <w:lang w:val="bg-BG"/>
        </w:rPr>
        <w:t xml:space="preserve"> е било с повръщане, диария и анорексия, а друго 3-годишно момче при излагане на еднократна доза от 980</w:t>
      </w:r>
      <w:r w:rsidR="001C0149" w:rsidRPr="00FE6AC6">
        <w:rPr>
          <w:color w:val="000000"/>
          <w:lang w:val="en-US"/>
        </w:rPr>
        <w:t> mg</w:t>
      </w:r>
      <w:r w:rsidR="00CA4E03" w:rsidRPr="00FE6AC6">
        <w:rPr>
          <w:color w:val="000000"/>
          <w:lang w:val="bg-BG"/>
        </w:rPr>
        <w:t xml:space="preserve"> е било с </w:t>
      </w:r>
      <w:r w:rsidR="00CA4E03" w:rsidRPr="00FE6AC6">
        <w:rPr>
          <w:color w:val="000000"/>
          <w:lang w:val="bg-BG"/>
        </w:rPr>
        <w:lastRenderedPageBreak/>
        <w:t xml:space="preserve">намален брой </w:t>
      </w:r>
      <w:r w:rsidR="001C0149" w:rsidRPr="00FE6AC6">
        <w:rPr>
          <w:color w:val="000000"/>
          <w:lang w:val="bg-BG"/>
        </w:rPr>
        <w:t>бели кръвни клетки и диария.</w:t>
      </w:r>
    </w:p>
    <w:p w14:paraId="3E54FD67" w14:textId="77777777" w:rsidR="001636FA" w:rsidRPr="00FE6AC6" w:rsidRDefault="001636FA" w:rsidP="0063575E">
      <w:pPr>
        <w:widowControl w:val="0"/>
        <w:tabs>
          <w:tab w:val="clear" w:pos="567"/>
        </w:tabs>
        <w:spacing w:line="240" w:lineRule="auto"/>
        <w:rPr>
          <w:color w:val="000000"/>
          <w:lang w:val="bg-BG"/>
        </w:rPr>
      </w:pPr>
    </w:p>
    <w:p w14:paraId="3E54FD68"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В случай на предозиране, пациентът трябва да се наблюдава и да се проведе необходимото поддържащо лечение.</w:t>
      </w:r>
    </w:p>
    <w:p w14:paraId="3E54FD69" w14:textId="77777777" w:rsidR="001636FA" w:rsidRPr="00FE6AC6" w:rsidRDefault="001636FA" w:rsidP="0063575E">
      <w:pPr>
        <w:widowControl w:val="0"/>
        <w:tabs>
          <w:tab w:val="clear" w:pos="567"/>
        </w:tabs>
        <w:spacing w:line="240" w:lineRule="auto"/>
        <w:rPr>
          <w:color w:val="000000"/>
          <w:lang w:val="bg-BG"/>
        </w:rPr>
      </w:pPr>
    </w:p>
    <w:p w14:paraId="3E54FD6A" w14:textId="77777777" w:rsidR="001636FA" w:rsidRPr="00FE6AC6" w:rsidRDefault="001636FA" w:rsidP="0063575E">
      <w:pPr>
        <w:widowControl w:val="0"/>
        <w:tabs>
          <w:tab w:val="clear" w:pos="567"/>
        </w:tabs>
        <w:spacing w:line="240" w:lineRule="auto"/>
        <w:rPr>
          <w:color w:val="000000"/>
          <w:lang w:val="bg-BG"/>
        </w:rPr>
      </w:pPr>
    </w:p>
    <w:p w14:paraId="3E54FD6B" w14:textId="77777777" w:rsidR="001636FA" w:rsidRPr="00FE6AC6" w:rsidRDefault="001636FA" w:rsidP="0063575E">
      <w:pPr>
        <w:keepNext/>
        <w:widowControl w:val="0"/>
        <w:spacing w:line="240" w:lineRule="auto"/>
        <w:ind w:left="567" w:hanging="567"/>
        <w:rPr>
          <w:color w:val="000000"/>
          <w:lang w:val="bg-BG"/>
        </w:rPr>
      </w:pPr>
      <w:r w:rsidRPr="00FE6AC6">
        <w:rPr>
          <w:b/>
          <w:color w:val="000000"/>
          <w:lang w:val="bg-BG"/>
        </w:rPr>
        <w:t>5.</w:t>
      </w:r>
      <w:r w:rsidRPr="00FE6AC6">
        <w:rPr>
          <w:b/>
          <w:color w:val="000000"/>
          <w:lang w:val="bg-BG"/>
        </w:rPr>
        <w:tab/>
        <w:t>ФАРМАКОЛОГИЧНИ СВОЙСТВА</w:t>
      </w:r>
    </w:p>
    <w:p w14:paraId="3E54FD6C" w14:textId="77777777" w:rsidR="001636FA" w:rsidRPr="00FE6AC6" w:rsidRDefault="001636FA" w:rsidP="0063575E">
      <w:pPr>
        <w:keepNext/>
        <w:widowControl w:val="0"/>
        <w:spacing w:line="240" w:lineRule="auto"/>
        <w:rPr>
          <w:color w:val="000000"/>
          <w:lang w:val="bg-BG"/>
        </w:rPr>
      </w:pPr>
    </w:p>
    <w:p w14:paraId="3E54FD6D" w14:textId="77777777" w:rsidR="001636FA" w:rsidRPr="00FE6AC6" w:rsidRDefault="001636FA" w:rsidP="0063575E">
      <w:pPr>
        <w:keepNext/>
        <w:widowControl w:val="0"/>
        <w:spacing w:line="240" w:lineRule="auto"/>
        <w:ind w:left="567" w:hanging="567"/>
        <w:rPr>
          <w:b/>
          <w:color w:val="000000"/>
          <w:lang w:val="bg-BG"/>
        </w:rPr>
      </w:pPr>
      <w:r w:rsidRPr="00FE6AC6">
        <w:rPr>
          <w:b/>
          <w:color w:val="000000"/>
          <w:lang w:val="bg-BG"/>
        </w:rPr>
        <w:t>5.1</w:t>
      </w:r>
      <w:r w:rsidRPr="00FE6AC6">
        <w:rPr>
          <w:b/>
          <w:color w:val="000000"/>
          <w:lang w:val="bg-BG"/>
        </w:rPr>
        <w:tab/>
        <w:t>Фармакодинамични свойства</w:t>
      </w:r>
    </w:p>
    <w:p w14:paraId="3E54FD6E" w14:textId="77777777" w:rsidR="001636FA" w:rsidRPr="00FE6AC6" w:rsidRDefault="001636FA" w:rsidP="0063575E">
      <w:pPr>
        <w:keepNext/>
        <w:widowControl w:val="0"/>
        <w:tabs>
          <w:tab w:val="clear" w:pos="567"/>
        </w:tabs>
        <w:spacing w:line="240" w:lineRule="auto"/>
        <w:rPr>
          <w:color w:val="000000"/>
          <w:lang w:val="bg-BG"/>
        </w:rPr>
      </w:pPr>
    </w:p>
    <w:p w14:paraId="3E54FD6F" w14:textId="77777777" w:rsidR="001636FA" w:rsidRPr="00FE6AC6" w:rsidRDefault="001636FA" w:rsidP="0063575E">
      <w:pPr>
        <w:keepNext/>
        <w:widowControl w:val="0"/>
        <w:spacing w:line="240" w:lineRule="auto"/>
        <w:rPr>
          <w:color w:val="000000"/>
          <w:lang w:val="bg-BG"/>
        </w:rPr>
      </w:pPr>
      <w:r w:rsidRPr="00FE6AC6">
        <w:rPr>
          <w:color w:val="000000"/>
          <w:lang w:val="bg-BG"/>
        </w:rPr>
        <w:t>Фармакотерапевтична група: протеин-тирозин киназен инхибитор, ATC код: L01X</w:t>
      </w:r>
      <w:r w:rsidR="00A91E17" w:rsidRPr="00FE6AC6">
        <w:rPr>
          <w:color w:val="000000"/>
          <w:lang w:val="bg-BG"/>
        </w:rPr>
        <w:t>Е01</w:t>
      </w:r>
    </w:p>
    <w:p w14:paraId="3E54FD70" w14:textId="77777777" w:rsidR="001636FA" w:rsidRPr="00FE6AC6" w:rsidRDefault="001636FA" w:rsidP="0063575E">
      <w:pPr>
        <w:keepNext/>
        <w:widowControl w:val="0"/>
        <w:spacing w:line="240" w:lineRule="auto"/>
        <w:rPr>
          <w:color w:val="000000"/>
          <w:lang w:val="bg-BG"/>
        </w:rPr>
      </w:pPr>
    </w:p>
    <w:p w14:paraId="3E54FD71" w14:textId="77777777" w:rsidR="005A3FE8" w:rsidRPr="00FE6AC6" w:rsidRDefault="005A3FE8" w:rsidP="0063575E">
      <w:pPr>
        <w:keepNext/>
        <w:widowControl w:val="0"/>
        <w:numPr>
          <w:ilvl w:val="12"/>
          <w:numId w:val="0"/>
        </w:numPr>
        <w:spacing w:line="240" w:lineRule="auto"/>
        <w:ind w:right="-2"/>
        <w:rPr>
          <w:color w:val="000000"/>
          <w:lang w:val="bg-BG"/>
        </w:rPr>
      </w:pPr>
      <w:r w:rsidRPr="00FE6AC6">
        <w:rPr>
          <w:u w:val="single"/>
          <w:lang w:val="bg-BG"/>
        </w:rPr>
        <w:t>Механизъм на действие</w:t>
      </w:r>
    </w:p>
    <w:p w14:paraId="3E54FD72" w14:textId="77777777" w:rsidR="005A3FE8" w:rsidRPr="00FE6AC6" w:rsidRDefault="005A3FE8" w:rsidP="0063575E">
      <w:pPr>
        <w:pStyle w:val="EndnoteText"/>
        <w:widowControl w:val="0"/>
        <w:tabs>
          <w:tab w:val="clear" w:pos="567"/>
        </w:tabs>
        <w:rPr>
          <w:lang w:val="bg-BG"/>
        </w:rPr>
      </w:pPr>
      <w:r w:rsidRPr="00FE6AC6">
        <w:rPr>
          <w:lang w:val="bg-BG"/>
        </w:rPr>
        <w:t>Иматиниб е малка молекула, протеин</w:t>
      </w:r>
      <w:r w:rsidR="005A31AC" w:rsidRPr="00FE6AC6">
        <w:rPr>
          <w:lang w:val="bg-BG"/>
        </w:rPr>
        <w:t>-</w:t>
      </w:r>
      <w:r w:rsidRPr="00FE6AC6">
        <w:rPr>
          <w:lang w:val="bg-BG"/>
        </w:rPr>
        <w:t xml:space="preserve">тирозин киназен инхибитор, който мощно потиска активността на </w:t>
      </w:r>
      <w:r w:rsidRPr="00FE6AC6">
        <w:t>Bcr</w:t>
      </w:r>
      <w:r w:rsidRPr="00FE6AC6">
        <w:rPr>
          <w:lang w:val="bg-BG"/>
        </w:rPr>
        <w:t>-</w:t>
      </w:r>
      <w:r w:rsidRPr="00FE6AC6">
        <w:t>Abl</w:t>
      </w:r>
      <w:r w:rsidRPr="00FE6AC6">
        <w:rPr>
          <w:lang w:val="bg-BG"/>
        </w:rPr>
        <w:t xml:space="preserve"> тирозин киназата (ТК), както и </w:t>
      </w:r>
      <w:r w:rsidR="00DC7D8D" w:rsidRPr="00FE6AC6">
        <w:rPr>
          <w:lang w:val="bg-BG"/>
        </w:rPr>
        <w:t xml:space="preserve">на </w:t>
      </w:r>
      <w:r w:rsidRPr="00FE6AC6">
        <w:rPr>
          <w:lang w:val="bg-BG"/>
        </w:rPr>
        <w:t xml:space="preserve">няколко </w:t>
      </w:r>
      <w:r w:rsidR="00CB5660" w:rsidRPr="00FE6AC6">
        <w:rPr>
          <w:lang w:val="bg-BG"/>
        </w:rPr>
        <w:t xml:space="preserve">ТК </w:t>
      </w:r>
      <w:r w:rsidRPr="00FE6AC6">
        <w:rPr>
          <w:lang w:val="bg-BG"/>
        </w:rPr>
        <w:t xml:space="preserve">рецептора: </w:t>
      </w:r>
      <w:r w:rsidRPr="00FE6AC6">
        <w:t>Kit</w:t>
      </w:r>
      <w:r w:rsidR="001068A1" w:rsidRPr="00FE6AC6">
        <w:rPr>
          <w:lang w:val="bg-BG"/>
        </w:rPr>
        <w:t>,</w:t>
      </w:r>
      <w:r w:rsidRPr="00FE6AC6">
        <w:rPr>
          <w:lang w:val="bg-BG"/>
        </w:rPr>
        <w:t xml:space="preserve"> рецептор</w:t>
      </w:r>
      <w:r w:rsidR="00CB5660" w:rsidRPr="00FE6AC6">
        <w:rPr>
          <w:lang w:val="bg-BG"/>
        </w:rPr>
        <w:t>а</w:t>
      </w:r>
      <w:r w:rsidRPr="00FE6AC6">
        <w:rPr>
          <w:lang w:val="bg-BG"/>
        </w:rPr>
        <w:t xml:space="preserve"> </w:t>
      </w:r>
      <w:r w:rsidR="005A31AC" w:rsidRPr="00FE6AC6">
        <w:rPr>
          <w:lang w:val="bg-BG"/>
        </w:rPr>
        <w:t xml:space="preserve">за стволовоклетъчния фактор </w:t>
      </w:r>
      <w:r w:rsidRPr="00FE6AC6">
        <w:rPr>
          <w:lang w:val="bg-BG"/>
        </w:rPr>
        <w:t>(</w:t>
      </w:r>
      <w:r w:rsidRPr="00FE6AC6">
        <w:t>SCF</w:t>
      </w:r>
      <w:r w:rsidRPr="00FE6AC6">
        <w:rPr>
          <w:lang w:val="bg-BG"/>
        </w:rPr>
        <w:t xml:space="preserve">), кодиран от </w:t>
      </w:r>
      <w:r w:rsidRPr="00FE6AC6">
        <w:t>c</w:t>
      </w:r>
      <w:r w:rsidRPr="00FE6AC6">
        <w:rPr>
          <w:lang w:val="bg-BG"/>
        </w:rPr>
        <w:t>-</w:t>
      </w:r>
      <w:r w:rsidRPr="00FE6AC6">
        <w:t>Kit</w:t>
      </w:r>
      <w:r w:rsidRPr="00FE6AC6">
        <w:rPr>
          <w:lang w:val="bg-BG"/>
        </w:rPr>
        <w:t xml:space="preserve"> прото-онкогена, дискоидин домейн рецепторите (</w:t>
      </w:r>
      <w:r w:rsidRPr="00FE6AC6">
        <w:t>DDR</w:t>
      </w:r>
      <w:r w:rsidRPr="00FE6AC6">
        <w:rPr>
          <w:lang w:val="bg-BG"/>
        </w:rPr>
        <w:t xml:space="preserve">1 и </w:t>
      </w:r>
      <w:r w:rsidRPr="00FE6AC6">
        <w:t>DDR</w:t>
      </w:r>
      <w:r w:rsidRPr="00FE6AC6">
        <w:rPr>
          <w:lang w:val="bg-BG"/>
        </w:rPr>
        <w:t xml:space="preserve">2), </w:t>
      </w:r>
      <w:r w:rsidR="00CB5660" w:rsidRPr="00FE6AC6">
        <w:rPr>
          <w:lang w:val="bg-BG"/>
        </w:rPr>
        <w:t>рецептора за колони</w:t>
      </w:r>
      <w:r w:rsidR="001068A1" w:rsidRPr="00FE6AC6">
        <w:rPr>
          <w:lang w:val="en-US"/>
        </w:rPr>
        <w:t>o</w:t>
      </w:r>
      <w:r w:rsidRPr="00FE6AC6">
        <w:rPr>
          <w:lang w:val="bg-BG"/>
        </w:rPr>
        <w:t>стимулиращ</w:t>
      </w:r>
      <w:r w:rsidR="00CB5660" w:rsidRPr="00FE6AC6">
        <w:rPr>
          <w:lang w:val="bg-BG"/>
        </w:rPr>
        <w:t>ия</w:t>
      </w:r>
      <w:r w:rsidRPr="00FE6AC6">
        <w:rPr>
          <w:lang w:val="bg-BG"/>
        </w:rPr>
        <w:t xml:space="preserve"> фактор (</w:t>
      </w:r>
      <w:r w:rsidRPr="00FE6AC6">
        <w:t>CSF</w:t>
      </w:r>
      <w:r w:rsidRPr="00FE6AC6">
        <w:rPr>
          <w:lang w:val="bg-BG"/>
        </w:rPr>
        <w:t>-1</w:t>
      </w:r>
      <w:r w:rsidRPr="00FE6AC6">
        <w:t>R</w:t>
      </w:r>
      <w:r w:rsidRPr="00FE6AC6">
        <w:rPr>
          <w:lang w:val="bg-BG"/>
        </w:rPr>
        <w:t xml:space="preserve">) и </w:t>
      </w:r>
      <w:r w:rsidR="001068A1" w:rsidRPr="00FE6AC6">
        <w:rPr>
          <w:lang w:val="bg-BG"/>
        </w:rPr>
        <w:t xml:space="preserve">алфа и бета </w:t>
      </w:r>
      <w:r w:rsidRPr="00FE6AC6">
        <w:rPr>
          <w:lang w:val="bg-BG"/>
        </w:rPr>
        <w:t>рецепторите за произхождащите от тромбоцитите растежни фактори (</w:t>
      </w:r>
      <w:r w:rsidRPr="00FE6AC6">
        <w:t>PDGFR</w:t>
      </w:r>
      <w:r w:rsidRPr="00FE6AC6">
        <w:rPr>
          <w:lang w:val="bg-BG"/>
        </w:rPr>
        <w:t xml:space="preserve">-алфа и </w:t>
      </w:r>
      <w:r w:rsidRPr="00FE6AC6">
        <w:t>PDGFR</w:t>
      </w:r>
      <w:r w:rsidRPr="00FE6AC6">
        <w:rPr>
          <w:lang w:val="bg-BG"/>
        </w:rPr>
        <w:t xml:space="preserve">-бета). Иматиниб може също така </w:t>
      </w:r>
      <w:r w:rsidR="00CB5660" w:rsidRPr="00FE6AC6">
        <w:rPr>
          <w:lang w:val="bg-BG"/>
        </w:rPr>
        <w:t xml:space="preserve">да </w:t>
      </w:r>
      <w:r w:rsidRPr="00FE6AC6">
        <w:rPr>
          <w:lang w:val="bg-BG"/>
        </w:rPr>
        <w:t>инхибира клетъчни събития, медиирани от активирането на тези рецепторни кинази.</w:t>
      </w:r>
    </w:p>
    <w:p w14:paraId="3E54FD73" w14:textId="77777777" w:rsidR="005A3FE8" w:rsidRPr="00FE6AC6" w:rsidRDefault="005A3FE8" w:rsidP="0063575E">
      <w:pPr>
        <w:pStyle w:val="EndnoteText"/>
        <w:widowControl w:val="0"/>
        <w:tabs>
          <w:tab w:val="clear" w:pos="567"/>
        </w:tabs>
        <w:rPr>
          <w:color w:val="000000"/>
          <w:szCs w:val="22"/>
          <w:lang w:val="bg-BG"/>
        </w:rPr>
      </w:pPr>
    </w:p>
    <w:p w14:paraId="3E54FD74" w14:textId="77777777" w:rsidR="005A3FE8" w:rsidRPr="00FE6AC6" w:rsidRDefault="005A3FE8" w:rsidP="0063575E">
      <w:pPr>
        <w:keepNext/>
        <w:widowControl w:val="0"/>
        <w:numPr>
          <w:ilvl w:val="12"/>
          <w:numId w:val="0"/>
        </w:numPr>
        <w:spacing w:line="240" w:lineRule="auto"/>
        <w:ind w:right="-2"/>
        <w:rPr>
          <w:color w:val="000000"/>
          <w:lang w:val="bg-BG"/>
        </w:rPr>
      </w:pPr>
      <w:r w:rsidRPr="00FE6AC6">
        <w:rPr>
          <w:u w:val="single"/>
          <w:lang w:val="bg-BG"/>
        </w:rPr>
        <w:t>Фармакодинамични ефекти</w:t>
      </w:r>
    </w:p>
    <w:p w14:paraId="3E54FD75" w14:textId="77777777" w:rsidR="001636FA" w:rsidRPr="00FE6AC6" w:rsidRDefault="001636FA" w:rsidP="0063575E">
      <w:pPr>
        <w:widowControl w:val="0"/>
        <w:numPr>
          <w:ilvl w:val="12"/>
          <w:numId w:val="0"/>
        </w:numPr>
        <w:spacing w:line="240" w:lineRule="auto"/>
        <w:ind w:right="-2"/>
        <w:rPr>
          <w:color w:val="000000"/>
          <w:lang w:val="bg-BG"/>
        </w:rPr>
      </w:pPr>
      <w:r w:rsidRPr="00FE6AC6">
        <w:rPr>
          <w:color w:val="000000"/>
          <w:lang w:val="bg-BG"/>
        </w:rPr>
        <w:t>Иматиниб е протеин-тирозин</w:t>
      </w:r>
      <w:r w:rsidR="005A31AC" w:rsidRPr="00FE6AC6">
        <w:rPr>
          <w:color w:val="000000"/>
          <w:lang w:val="bg-BG"/>
        </w:rPr>
        <w:t xml:space="preserve"> </w:t>
      </w:r>
      <w:r w:rsidRPr="00FE6AC6">
        <w:rPr>
          <w:color w:val="000000"/>
          <w:lang w:val="bg-BG"/>
        </w:rPr>
        <w:t xml:space="preserve">киназен инхибитор, който мощно инхибира Bcr-Abl тирозин киназатa на </w:t>
      </w:r>
      <w:r w:rsidRPr="00FE6AC6">
        <w:rPr>
          <w:i/>
          <w:color w:val="000000"/>
          <w:lang w:val="bg-BG"/>
        </w:rPr>
        <w:t>in vitro</w:t>
      </w:r>
      <w:r w:rsidRPr="00FE6AC6">
        <w:rPr>
          <w:color w:val="000000"/>
          <w:lang w:val="bg-BG"/>
        </w:rPr>
        <w:t xml:space="preserve">, клетъчно и </w:t>
      </w:r>
      <w:r w:rsidRPr="00FE6AC6">
        <w:rPr>
          <w:i/>
          <w:color w:val="000000"/>
          <w:lang w:val="bg-BG"/>
        </w:rPr>
        <w:t>in vivo</w:t>
      </w:r>
      <w:r w:rsidRPr="00FE6AC6">
        <w:rPr>
          <w:color w:val="000000"/>
          <w:lang w:val="bg-BG"/>
        </w:rPr>
        <w:t xml:space="preserve"> ниво. Веществото избирателно инхибира пролиферацията и предизвиква апоптоза в Bcr-Abl положителни клетъчни линии</w:t>
      </w:r>
      <w:r w:rsidR="005A31AC" w:rsidRPr="00FE6AC6">
        <w:rPr>
          <w:color w:val="000000"/>
          <w:lang w:val="bg-BG"/>
        </w:rPr>
        <w:t>,</w:t>
      </w:r>
      <w:r w:rsidRPr="00FE6AC6">
        <w:rPr>
          <w:color w:val="000000"/>
          <w:lang w:val="bg-BG"/>
        </w:rPr>
        <w:t xml:space="preserve"> както и на свежи левкемични клетки от пациенти с положителна за Филаделфийска хромозома ХМЛ и от пациенти с остра лимфобластна левкемия (ОЛЛ).</w:t>
      </w:r>
    </w:p>
    <w:p w14:paraId="3E54FD76" w14:textId="77777777" w:rsidR="001636FA" w:rsidRPr="00FE6AC6" w:rsidRDefault="001636FA" w:rsidP="0063575E">
      <w:pPr>
        <w:widowControl w:val="0"/>
        <w:numPr>
          <w:ilvl w:val="12"/>
          <w:numId w:val="0"/>
        </w:numPr>
        <w:spacing w:line="240" w:lineRule="auto"/>
        <w:ind w:right="-2"/>
        <w:rPr>
          <w:color w:val="000000"/>
          <w:lang w:val="bg-BG"/>
        </w:rPr>
      </w:pPr>
    </w:p>
    <w:p w14:paraId="3E54FD77" w14:textId="77777777" w:rsidR="001636FA" w:rsidRPr="00FE6AC6" w:rsidRDefault="001636FA" w:rsidP="0063575E">
      <w:pPr>
        <w:widowControl w:val="0"/>
        <w:numPr>
          <w:ilvl w:val="12"/>
          <w:numId w:val="0"/>
        </w:numPr>
        <w:spacing w:line="240" w:lineRule="auto"/>
        <w:ind w:right="-2"/>
        <w:rPr>
          <w:color w:val="000000"/>
          <w:lang w:val="bg-BG"/>
        </w:rPr>
      </w:pPr>
      <w:r w:rsidRPr="00FE6AC6">
        <w:rPr>
          <w:i/>
          <w:color w:val="000000"/>
          <w:lang w:val="bg-BG"/>
        </w:rPr>
        <w:t>In vivo</w:t>
      </w:r>
      <w:r w:rsidRPr="00FE6AC6">
        <w:rPr>
          <w:color w:val="000000"/>
          <w:lang w:val="bg-BG"/>
        </w:rPr>
        <w:t xml:space="preserve"> веществото показва противотуморно действие като самостоятелно средство при животински модели с използване на Bcr-Abl позитивни туморни клетки.</w:t>
      </w:r>
    </w:p>
    <w:p w14:paraId="3E54FD78" w14:textId="77777777" w:rsidR="001636FA" w:rsidRPr="00FE6AC6" w:rsidRDefault="001636FA" w:rsidP="0063575E">
      <w:pPr>
        <w:widowControl w:val="0"/>
        <w:numPr>
          <w:ilvl w:val="12"/>
          <w:numId w:val="0"/>
        </w:numPr>
        <w:spacing w:line="240" w:lineRule="auto"/>
        <w:ind w:right="-2"/>
        <w:rPr>
          <w:color w:val="000000"/>
          <w:lang w:val="bg-BG"/>
        </w:rPr>
      </w:pPr>
    </w:p>
    <w:p w14:paraId="3E54FD79" w14:textId="77777777" w:rsidR="001636FA" w:rsidRPr="00FE6AC6" w:rsidRDefault="001636FA" w:rsidP="0063575E">
      <w:pPr>
        <w:widowControl w:val="0"/>
        <w:spacing w:line="240" w:lineRule="auto"/>
        <w:rPr>
          <w:color w:val="000000"/>
          <w:lang w:val="bg-BG"/>
        </w:rPr>
      </w:pPr>
      <w:r w:rsidRPr="00FE6AC6">
        <w:rPr>
          <w:color w:val="000000"/>
          <w:lang w:val="bg-BG"/>
        </w:rPr>
        <w:t xml:space="preserve">Иматиниб е също така инхибитор за рецепторните тирозин кинази за тромбоцитния растежен фактор (PDGF), PDGF-R и стволоклетъчния фактор (SCF), c-Kit, </w:t>
      </w:r>
      <w:r w:rsidR="005A31AC" w:rsidRPr="00FE6AC6">
        <w:rPr>
          <w:color w:val="000000"/>
          <w:lang w:val="bg-BG"/>
        </w:rPr>
        <w:t>като</w:t>
      </w:r>
      <w:r w:rsidRPr="00FE6AC6">
        <w:rPr>
          <w:color w:val="000000"/>
          <w:lang w:val="bg-BG"/>
        </w:rPr>
        <w:t xml:space="preserve"> така инхибира медиираните от PDGF и SCF клетъчни реакции. </w:t>
      </w:r>
      <w:r w:rsidRPr="00FE6AC6">
        <w:rPr>
          <w:i/>
          <w:color w:val="000000"/>
          <w:lang w:val="bg-BG"/>
        </w:rPr>
        <w:t>In vitro</w:t>
      </w:r>
      <w:r w:rsidRPr="00FE6AC6">
        <w:rPr>
          <w:color w:val="000000"/>
          <w:lang w:val="bg-BG"/>
        </w:rPr>
        <w:t xml:space="preserve"> иматиниб инхибира пролиферацията и предизвиква апоптоза в клетките на гастро-интестиналните стромални тумори (GIST), които експресират активираща </w:t>
      </w:r>
      <w:r w:rsidRPr="00FE6AC6">
        <w:rPr>
          <w:i/>
          <w:color w:val="000000"/>
          <w:lang w:val="bg-BG"/>
        </w:rPr>
        <w:t>kit</w:t>
      </w:r>
      <w:r w:rsidRPr="00FE6AC6">
        <w:rPr>
          <w:color w:val="000000"/>
          <w:lang w:val="bg-BG"/>
        </w:rPr>
        <w:t xml:space="preserve"> мутация. </w:t>
      </w:r>
      <w:r w:rsidR="005A31AC" w:rsidRPr="00FE6AC6">
        <w:rPr>
          <w:color w:val="000000"/>
          <w:lang w:val="bg-BG"/>
        </w:rPr>
        <w:t xml:space="preserve">Постоянното </w:t>
      </w:r>
      <w:r w:rsidRPr="00FE6AC6">
        <w:rPr>
          <w:color w:val="000000"/>
          <w:lang w:val="bg-BG"/>
        </w:rPr>
        <w:t xml:space="preserve">активиране на </w:t>
      </w:r>
      <w:r w:rsidRPr="00FE6AC6">
        <w:rPr>
          <w:color w:val="000000"/>
          <w:lang w:val="en-US"/>
        </w:rPr>
        <w:t>PDGF</w:t>
      </w:r>
      <w:r w:rsidRPr="00FE6AC6">
        <w:rPr>
          <w:color w:val="000000"/>
          <w:lang w:val="ru-RU"/>
        </w:rPr>
        <w:t xml:space="preserve"> </w:t>
      </w:r>
      <w:r w:rsidRPr="00FE6AC6">
        <w:rPr>
          <w:color w:val="000000"/>
          <w:lang w:val="bg-BG"/>
        </w:rPr>
        <w:t xml:space="preserve">рецептора или </w:t>
      </w:r>
      <w:r w:rsidRPr="00FE6AC6">
        <w:rPr>
          <w:color w:val="000000"/>
          <w:lang w:val="en-US"/>
        </w:rPr>
        <w:t>Abl</w:t>
      </w:r>
      <w:r w:rsidRPr="00FE6AC6">
        <w:rPr>
          <w:color w:val="000000"/>
          <w:lang w:val="bg-BG"/>
        </w:rPr>
        <w:t xml:space="preserve"> протеин</w:t>
      </w:r>
      <w:r w:rsidR="005A31AC" w:rsidRPr="00FE6AC6">
        <w:rPr>
          <w:color w:val="000000"/>
          <w:lang w:val="bg-BG"/>
        </w:rPr>
        <w:t>-</w:t>
      </w:r>
      <w:r w:rsidRPr="00FE6AC6">
        <w:rPr>
          <w:color w:val="000000"/>
          <w:lang w:val="bg-BG"/>
        </w:rPr>
        <w:t>тирозин киназите</w:t>
      </w:r>
      <w:r w:rsidR="005A31AC" w:rsidRPr="00FE6AC6">
        <w:rPr>
          <w:color w:val="000000"/>
          <w:lang w:val="bg-BG"/>
        </w:rPr>
        <w:t>, образувани</w:t>
      </w:r>
      <w:r w:rsidRPr="00FE6AC6">
        <w:rPr>
          <w:color w:val="000000"/>
          <w:lang w:val="bg-BG"/>
        </w:rPr>
        <w:t xml:space="preserve"> в резултат на </w:t>
      </w:r>
      <w:r w:rsidR="005A31AC" w:rsidRPr="00FE6AC6">
        <w:rPr>
          <w:color w:val="000000"/>
          <w:lang w:val="bg-BG"/>
        </w:rPr>
        <w:t>сливането на различини протеини</w:t>
      </w:r>
      <w:r w:rsidR="005A31AC" w:rsidRPr="00FE6AC6">
        <w:rPr>
          <w:color w:val="000000"/>
          <w:lang w:val="ru-RU"/>
        </w:rPr>
        <w:t xml:space="preserve"> и непрекъсната</w:t>
      </w:r>
      <w:r w:rsidR="005A31AC" w:rsidRPr="00FE6AC6">
        <w:rPr>
          <w:color w:val="000000"/>
          <w:lang w:val="bg-BG"/>
        </w:rPr>
        <w:t xml:space="preserve"> </w:t>
      </w:r>
      <w:r w:rsidRPr="00FE6AC6">
        <w:rPr>
          <w:color w:val="000000"/>
          <w:lang w:val="ru-RU"/>
        </w:rPr>
        <w:t xml:space="preserve">продукция на </w:t>
      </w:r>
      <w:r w:rsidRPr="00FE6AC6">
        <w:rPr>
          <w:color w:val="000000"/>
          <w:lang w:val="en-US"/>
        </w:rPr>
        <w:t>PDGF</w:t>
      </w:r>
      <w:r w:rsidR="005A31AC" w:rsidRPr="00FE6AC6">
        <w:rPr>
          <w:lang w:val="bg-BG"/>
        </w:rPr>
        <w:t>, са включени в</w:t>
      </w:r>
      <w:r w:rsidR="005A31AC" w:rsidRPr="00FE6AC6">
        <w:rPr>
          <w:color w:val="000000"/>
          <w:lang w:val="bg-BG"/>
        </w:rPr>
        <w:t xml:space="preserve"> патогенезата на МДС/МПЗ, ХЕС/ХЕЛ и ДФСП</w:t>
      </w:r>
      <w:r w:rsidRPr="00FE6AC6">
        <w:rPr>
          <w:color w:val="000000"/>
          <w:lang w:val="ru-RU"/>
        </w:rPr>
        <w:t>. Иматиниб инхибира клетъчната пролиферация и сигнализиране</w:t>
      </w:r>
      <w:r w:rsidR="005A31AC" w:rsidRPr="00FE6AC6">
        <w:rPr>
          <w:color w:val="000000"/>
          <w:lang w:val="ru-RU"/>
        </w:rPr>
        <w:t>,</w:t>
      </w:r>
      <w:r w:rsidRPr="00FE6AC6">
        <w:rPr>
          <w:color w:val="000000"/>
          <w:lang w:val="ru-RU"/>
        </w:rPr>
        <w:t xml:space="preserve"> водени от нарушената регулация на </w:t>
      </w:r>
      <w:r w:rsidRPr="00FE6AC6">
        <w:rPr>
          <w:color w:val="000000"/>
          <w:lang w:val="en-US"/>
        </w:rPr>
        <w:t>PDGFR</w:t>
      </w:r>
      <w:r w:rsidRPr="00FE6AC6">
        <w:rPr>
          <w:color w:val="000000"/>
          <w:lang w:val="ru-RU"/>
        </w:rPr>
        <w:t xml:space="preserve"> и А</w:t>
      </w:r>
      <w:r w:rsidRPr="00FE6AC6">
        <w:rPr>
          <w:color w:val="000000"/>
          <w:lang w:val="en-US"/>
        </w:rPr>
        <w:t>bl</w:t>
      </w:r>
      <w:r w:rsidRPr="00FE6AC6">
        <w:rPr>
          <w:color w:val="000000"/>
          <w:lang w:val="bg-BG"/>
        </w:rPr>
        <w:t xml:space="preserve"> киназна активност.</w:t>
      </w:r>
    </w:p>
    <w:p w14:paraId="3E54FD7A" w14:textId="77777777" w:rsidR="001636FA" w:rsidRPr="00FE6AC6" w:rsidRDefault="001636FA" w:rsidP="0063575E">
      <w:pPr>
        <w:widowControl w:val="0"/>
        <w:spacing w:line="240" w:lineRule="auto"/>
        <w:rPr>
          <w:color w:val="000000"/>
          <w:lang w:val="bg-BG"/>
        </w:rPr>
      </w:pPr>
    </w:p>
    <w:p w14:paraId="3E54FD7B"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Клинични проучвания при хронична миелоидна левкемия</w:t>
      </w:r>
    </w:p>
    <w:p w14:paraId="3E54FD7C" w14:textId="77777777" w:rsidR="001636FA" w:rsidRPr="00FE6AC6" w:rsidRDefault="001636FA" w:rsidP="0063575E">
      <w:pPr>
        <w:widowControl w:val="0"/>
        <w:spacing w:line="240" w:lineRule="auto"/>
        <w:rPr>
          <w:color w:val="000000"/>
          <w:lang w:val="bg-BG"/>
        </w:rPr>
      </w:pPr>
      <w:r w:rsidRPr="00FE6AC6">
        <w:rPr>
          <w:color w:val="000000"/>
          <w:lang w:val="bg-BG"/>
        </w:rPr>
        <w:t xml:space="preserve">Ефективността на Glivec се основава на </w:t>
      </w:r>
      <w:r w:rsidR="00D62051" w:rsidRPr="00FE6AC6">
        <w:rPr>
          <w:color w:val="000000"/>
          <w:lang w:val="bg-BG"/>
        </w:rPr>
        <w:t xml:space="preserve">общите нива на </w:t>
      </w:r>
      <w:r w:rsidRPr="00FE6AC6">
        <w:rPr>
          <w:color w:val="000000"/>
          <w:lang w:val="bg-BG"/>
        </w:rPr>
        <w:t>хематологичен и цитогенетичен отговор</w:t>
      </w:r>
      <w:r w:rsidR="0067477F" w:rsidRPr="00FE6AC6">
        <w:rPr>
          <w:color w:val="000000"/>
          <w:lang w:val="bg-BG"/>
        </w:rPr>
        <w:t xml:space="preserve"> </w:t>
      </w:r>
      <w:r w:rsidR="006D5353" w:rsidRPr="00FE6AC6">
        <w:rPr>
          <w:color w:val="000000"/>
          <w:szCs w:val="22"/>
          <w:lang w:val="bg-BG"/>
        </w:rPr>
        <w:t>и</w:t>
      </w:r>
      <w:r w:rsidR="0067477F" w:rsidRPr="00FE6AC6">
        <w:rPr>
          <w:color w:val="000000"/>
          <w:szCs w:val="22"/>
          <w:lang w:val="bg-BG"/>
        </w:rPr>
        <w:t xml:space="preserve"> </w:t>
      </w:r>
      <w:r w:rsidR="006D5353" w:rsidRPr="00FE6AC6">
        <w:rPr>
          <w:color w:val="000000"/>
          <w:szCs w:val="22"/>
          <w:lang w:val="bg-BG"/>
        </w:rPr>
        <w:t>преживяемост</w:t>
      </w:r>
      <w:r w:rsidR="00633829" w:rsidRPr="00FE6AC6">
        <w:rPr>
          <w:color w:val="000000"/>
          <w:szCs w:val="22"/>
          <w:lang w:val="bg-BG"/>
        </w:rPr>
        <w:t>та без</w:t>
      </w:r>
      <w:r w:rsidR="006D5353" w:rsidRPr="00FE6AC6">
        <w:rPr>
          <w:color w:val="000000"/>
          <w:szCs w:val="22"/>
          <w:lang w:val="bg-BG"/>
        </w:rPr>
        <w:t xml:space="preserve"> прогресия</w:t>
      </w:r>
      <w:r w:rsidR="0067477F" w:rsidRPr="00FE6AC6">
        <w:rPr>
          <w:color w:val="000000"/>
          <w:szCs w:val="22"/>
          <w:lang w:val="bg-BG"/>
        </w:rPr>
        <w:t xml:space="preserve">. </w:t>
      </w:r>
      <w:r w:rsidR="006D5353" w:rsidRPr="00FE6AC6">
        <w:rPr>
          <w:color w:val="000000"/>
          <w:szCs w:val="22"/>
          <w:lang w:val="bg-BG"/>
        </w:rPr>
        <w:t>Освен при ново диагностицирана ХМЛ в хронична фаза</w:t>
      </w:r>
      <w:r w:rsidR="0067477F" w:rsidRPr="00FE6AC6">
        <w:rPr>
          <w:color w:val="000000"/>
          <w:szCs w:val="22"/>
          <w:lang w:val="bg-BG"/>
        </w:rPr>
        <w:t>, н</w:t>
      </w:r>
      <w:r w:rsidRPr="00FE6AC6">
        <w:rPr>
          <w:color w:val="000000"/>
          <w:lang w:val="bg-BG"/>
        </w:rPr>
        <w:t>яма контролирани проучвания, които да показват клинична полза, изразена като подобрение в свързаните с болестта симптоми или удължена преживяемост.</w:t>
      </w:r>
    </w:p>
    <w:p w14:paraId="3E54FD7D" w14:textId="77777777" w:rsidR="001636FA" w:rsidRPr="00FE6AC6" w:rsidRDefault="001636FA" w:rsidP="0063575E">
      <w:pPr>
        <w:widowControl w:val="0"/>
        <w:spacing w:line="240" w:lineRule="auto"/>
        <w:rPr>
          <w:color w:val="000000"/>
          <w:lang w:val="bg-BG"/>
        </w:rPr>
      </w:pPr>
    </w:p>
    <w:p w14:paraId="3E54FD7E" w14:textId="77777777" w:rsidR="001636FA" w:rsidRPr="00FE6AC6" w:rsidRDefault="001636FA" w:rsidP="0063575E">
      <w:pPr>
        <w:widowControl w:val="0"/>
        <w:spacing w:line="240" w:lineRule="auto"/>
        <w:rPr>
          <w:color w:val="000000"/>
          <w:lang w:val="bg-BG"/>
        </w:rPr>
      </w:pPr>
      <w:r w:rsidRPr="00FE6AC6">
        <w:rPr>
          <w:color w:val="000000"/>
          <w:lang w:val="bg-BG"/>
        </w:rPr>
        <w:t>Проведени са три големи</w:t>
      </w:r>
      <w:r w:rsidR="00D62051" w:rsidRPr="00FE6AC6">
        <w:rPr>
          <w:color w:val="000000"/>
          <w:lang w:val="bg-BG"/>
        </w:rPr>
        <w:t>,</w:t>
      </w:r>
      <w:r w:rsidRPr="00FE6AC6">
        <w:rPr>
          <w:color w:val="000000"/>
          <w:lang w:val="bg-BG"/>
        </w:rPr>
        <w:t xml:space="preserve"> международни, отворени, неконтролирани проучвания във фаза </w:t>
      </w:r>
      <w:r w:rsidRPr="00FE6AC6">
        <w:rPr>
          <w:color w:val="000000"/>
          <w:lang w:val="de-CH"/>
        </w:rPr>
        <w:t>II</w:t>
      </w:r>
      <w:r w:rsidRPr="00FE6AC6">
        <w:rPr>
          <w:color w:val="000000"/>
          <w:lang w:val="en-US"/>
        </w:rPr>
        <w:t> </w:t>
      </w:r>
      <w:r w:rsidRPr="00FE6AC6">
        <w:rPr>
          <w:color w:val="000000"/>
          <w:lang w:val="bg-BG"/>
        </w:rPr>
        <w:t>при пациенти с напреднала, положителна за Филаделфийска хромозома (Ph+) ХМЛ - бластна криза или фаза на акцелерация, при други Ph+ левкемии или ХМЛ в хронична фаза, но с предхождаща неуспешна терапия с интерферон-алфа (IFN). Проведено е едно голямо, отворено, многоцентрово, международно рандомизирано проучване във фаза </w:t>
      </w:r>
      <w:r w:rsidRPr="00FE6AC6">
        <w:rPr>
          <w:color w:val="000000"/>
          <w:lang w:val="de-CH"/>
        </w:rPr>
        <w:t>III</w:t>
      </w:r>
      <w:r w:rsidRPr="00FE6AC6">
        <w:rPr>
          <w:color w:val="000000"/>
          <w:lang w:val="en-US"/>
        </w:rPr>
        <w:t> </w:t>
      </w:r>
      <w:r w:rsidRPr="00FE6AC6">
        <w:rPr>
          <w:color w:val="000000"/>
          <w:lang w:val="bg-BG"/>
        </w:rPr>
        <w:t>при новодиагностицирани пациенти с Ph+ ХМЛ. Освен това</w:t>
      </w:r>
      <w:r w:rsidR="0063372F" w:rsidRPr="00FE6AC6">
        <w:rPr>
          <w:color w:val="000000"/>
          <w:lang w:val="bg-BG"/>
        </w:rPr>
        <w:t>,</w:t>
      </w:r>
      <w:r w:rsidRPr="00FE6AC6">
        <w:rPr>
          <w:color w:val="000000"/>
          <w:lang w:val="bg-BG"/>
        </w:rPr>
        <w:t xml:space="preserve"> при деца са проведени две проучвания във фаза </w:t>
      </w:r>
      <w:r w:rsidRPr="00FE6AC6">
        <w:rPr>
          <w:color w:val="000000"/>
          <w:lang w:val="de-CH"/>
        </w:rPr>
        <w:t>I</w:t>
      </w:r>
      <w:r w:rsidRPr="00FE6AC6">
        <w:rPr>
          <w:color w:val="000000"/>
          <w:lang w:val="bg-BG"/>
        </w:rPr>
        <w:t> и едно във фаза </w:t>
      </w:r>
      <w:r w:rsidRPr="00FE6AC6">
        <w:rPr>
          <w:color w:val="000000"/>
          <w:lang w:val="de-CH"/>
        </w:rPr>
        <w:t>II</w:t>
      </w:r>
      <w:r w:rsidRPr="00FE6AC6">
        <w:rPr>
          <w:color w:val="000000"/>
          <w:lang w:val="bg-BG"/>
        </w:rPr>
        <w:t>.</w:t>
      </w:r>
    </w:p>
    <w:p w14:paraId="3E54FD7F" w14:textId="77777777" w:rsidR="001636FA" w:rsidRPr="00FE6AC6" w:rsidRDefault="001636FA" w:rsidP="0063575E">
      <w:pPr>
        <w:widowControl w:val="0"/>
        <w:spacing w:line="240" w:lineRule="auto"/>
        <w:rPr>
          <w:color w:val="000000"/>
          <w:lang w:val="bg-BG"/>
        </w:rPr>
      </w:pPr>
    </w:p>
    <w:p w14:paraId="3E54FD80" w14:textId="77777777" w:rsidR="001636FA" w:rsidRPr="00FE6AC6" w:rsidRDefault="001636FA" w:rsidP="0063575E">
      <w:pPr>
        <w:widowControl w:val="0"/>
        <w:spacing w:line="240" w:lineRule="auto"/>
        <w:rPr>
          <w:color w:val="000000"/>
          <w:lang w:val="bg-BG"/>
        </w:rPr>
      </w:pPr>
      <w:r w:rsidRPr="00FE6AC6">
        <w:rPr>
          <w:color w:val="000000"/>
          <w:lang w:val="bg-BG"/>
        </w:rPr>
        <w:t>При всички клинични проучвания</w:t>
      </w:r>
      <w:r w:rsidRPr="00FE6AC6">
        <w:rPr>
          <w:color w:val="000000"/>
          <w:lang w:val="en-US"/>
        </w:rPr>
        <w:t> </w:t>
      </w:r>
      <w:r w:rsidRPr="00FE6AC6">
        <w:rPr>
          <w:color w:val="000000"/>
          <w:lang w:val="bg-BG"/>
        </w:rPr>
        <w:t>38</w:t>
      </w:r>
      <w:r w:rsidRPr="00FE6AC6">
        <w:rPr>
          <w:color w:val="000000"/>
          <w:lang w:val="bg-BG"/>
        </w:rPr>
        <w:noBreakHyphen/>
        <w:t>40% от пациентите са били ≥60</w:t>
      </w:r>
      <w:r w:rsidRPr="00FE6AC6">
        <w:rPr>
          <w:color w:val="000000"/>
          <w:lang w:val="en-US"/>
        </w:rPr>
        <w:t> </w:t>
      </w:r>
      <w:r w:rsidRPr="00FE6AC6">
        <w:rPr>
          <w:color w:val="000000"/>
          <w:lang w:val="bg-BG"/>
        </w:rPr>
        <w:t>години и</w:t>
      </w:r>
      <w:r w:rsidRPr="00FE6AC6">
        <w:rPr>
          <w:color w:val="000000"/>
          <w:lang w:val="en-US"/>
        </w:rPr>
        <w:t> </w:t>
      </w:r>
      <w:r w:rsidRPr="00FE6AC6">
        <w:rPr>
          <w:color w:val="000000"/>
          <w:lang w:val="bg-BG"/>
        </w:rPr>
        <w:t>10</w:t>
      </w:r>
      <w:r w:rsidRPr="00FE6AC6">
        <w:rPr>
          <w:color w:val="000000"/>
          <w:lang w:val="bg-BG"/>
        </w:rPr>
        <w:noBreakHyphen/>
        <w:t>12% от тях са били ≥70</w:t>
      </w:r>
      <w:r w:rsidRPr="00FE6AC6">
        <w:rPr>
          <w:color w:val="000000"/>
          <w:lang w:val="en-US"/>
        </w:rPr>
        <w:t> </w:t>
      </w:r>
      <w:r w:rsidRPr="00FE6AC6">
        <w:rPr>
          <w:color w:val="000000"/>
          <w:lang w:val="bg-BG"/>
        </w:rPr>
        <w:t>години.</w:t>
      </w:r>
    </w:p>
    <w:p w14:paraId="3E54FD81" w14:textId="77777777" w:rsidR="001636FA" w:rsidRPr="00FE6AC6" w:rsidRDefault="001636FA" w:rsidP="0063575E">
      <w:pPr>
        <w:widowControl w:val="0"/>
        <w:spacing w:line="240" w:lineRule="auto"/>
        <w:rPr>
          <w:color w:val="000000"/>
          <w:lang w:val="bg-BG"/>
        </w:rPr>
      </w:pPr>
    </w:p>
    <w:p w14:paraId="3E54FD82" w14:textId="77777777" w:rsidR="001636FA" w:rsidRPr="00FE6AC6" w:rsidRDefault="001636FA" w:rsidP="0063575E">
      <w:pPr>
        <w:widowControl w:val="0"/>
        <w:spacing w:line="240" w:lineRule="auto"/>
        <w:rPr>
          <w:color w:val="000000"/>
          <w:lang w:val="bg-BG"/>
        </w:rPr>
      </w:pPr>
      <w:r w:rsidRPr="00FE6AC6">
        <w:rPr>
          <w:i/>
          <w:color w:val="000000"/>
          <w:lang w:val="bg-BG"/>
        </w:rPr>
        <w:t xml:space="preserve">Хронична фаза, новодиагностицирани </w:t>
      </w:r>
      <w:r w:rsidR="00314224" w:rsidRPr="00FE6AC6">
        <w:rPr>
          <w:i/>
          <w:color w:val="000000"/>
          <w:lang w:val="bg-BG"/>
        </w:rPr>
        <w:t>пациенти</w:t>
      </w:r>
      <w:r w:rsidRPr="00FE6AC6">
        <w:rPr>
          <w:i/>
          <w:color w:val="000000"/>
          <w:lang w:val="bg-BG"/>
        </w:rPr>
        <w:t xml:space="preserve">: </w:t>
      </w:r>
      <w:r w:rsidR="00314224" w:rsidRPr="00FE6AC6">
        <w:rPr>
          <w:color w:val="000000"/>
          <w:lang w:val="bg-BG"/>
        </w:rPr>
        <w:t>Ф</w:t>
      </w:r>
      <w:r w:rsidRPr="00FE6AC6">
        <w:rPr>
          <w:color w:val="000000"/>
          <w:lang w:val="bg-BG"/>
        </w:rPr>
        <w:t>аза </w:t>
      </w:r>
      <w:r w:rsidRPr="00FE6AC6">
        <w:rPr>
          <w:color w:val="000000"/>
          <w:lang w:val="de-CH"/>
        </w:rPr>
        <w:t>III</w:t>
      </w:r>
      <w:r w:rsidRPr="00FE6AC6">
        <w:rPr>
          <w:color w:val="000000"/>
          <w:lang w:val="en-US"/>
        </w:rPr>
        <w:t> </w:t>
      </w:r>
      <w:r w:rsidRPr="00FE6AC6">
        <w:rPr>
          <w:color w:val="000000"/>
          <w:lang w:val="bg-BG"/>
        </w:rPr>
        <w:t xml:space="preserve">проучване при възрастни пациенти сравнява лечението с Glivec самостоятелно </w:t>
      </w:r>
      <w:r w:rsidR="00314224" w:rsidRPr="00FE6AC6">
        <w:rPr>
          <w:color w:val="000000"/>
          <w:lang w:val="bg-BG"/>
        </w:rPr>
        <w:t>с</w:t>
      </w:r>
      <w:r w:rsidRPr="00FE6AC6">
        <w:rPr>
          <w:color w:val="000000"/>
          <w:lang w:val="bg-BG"/>
        </w:rPr>
        <w:t xml:space="preserve"> комбинация от интерферон-алфа (IFN) плюс цитарабин (Ara-C). </w:t>
      </w:r>
      <w:r w:rsidR="00314224" w:rsidRPr="00FE6AC6">
        <w:rPr>
          <w:color w:val="000000"/>
          <w:lang w:val="bg-BG"/>
        </w:rPr>
        <w:t>На</w:t>
      </w:r>
      <w:r w:rsidRPr="00FE6AC6">
        <w:rPr>
          <w:color w:val="000000"/>
          <w:lang w:val="bg-BG"/>
        </w:rPr>
        <w:t xml:space="preserve"> пациентите, които показват липса на отговор (липса на пълен хематологичен отговор </w:t>
      </w:r>
      <w:r w:rsidR="007C09DE" w:rsidRPr="00FE6AC6">
        <w:rPr>
          <w:color w:val="000000"/>
          <w:lang w:val="bg-BG"/>
        </w:rPr>
        <w:t xml:space="preserve">- ПХО или </w:t>
      </w:r>
      <w:r w:rsidR="007C09DE" w:rsidRPr="00FE6AC6">
        <w:rPr>
          <w:color w:val="000000"/>
          <w:lang w:val="en-US"/>
        </w:rPr>
        <w:t>CHR</w:t>
      </w:r>
      <w:r w:rsidRPr="00FE6AC6">
        <w:rPr>
          <w:color w:val="000000"/>
          <w:lang w:val="bg-BG"/>
        </w:rPr>
        <w:t xml:space="preserve">) </w:t>
      </w:r>
      <w:r w:rsidR="007C09DE" w:rsidRPr="00FE6AC6">
        <w:rPr>
          <w:color w:val="000000"/>
          <w:lang w:val="bg-BG"/>
        </w:rPr>
        <w:t>на</w:t>
      </w:r>
      <w:r w:rsidRPr="00FE6AC6">
        <w:rPr>
          <w:color w:val="000000"/>
          <w:lang w:val="en-US"/>
        </w:rPr>
        <w:t> </w:t>
      </w:r>
      <w:r w:rsidRPr="00FE6AC6">
        <w:rPr>
          <w:color w:val="000000"/>
          <w:lang w:val="bg-BG"/>
        </w:rPr>
        <w:t>6</w:t>
      </w:r>
      <w:r w:rsidR="007C09DE" w:rsidRPr="00FE6AC6">
        <w:rPr>
          <w:color w:val="000000"/>
          <w:lang w:val="bg-BG"/>
        </w:rPr>
        <w:t>-ия</w:t>
      </w:r>
      <w:r w:rsidRPr="00FE6AC6">
        <w:rPr>
          <w:color w:val="000000"/>
          <w:lang w:val="bg-BG"/>
        </w:rPr>
        <w:t xml:space="preserve"> месец, повишаване на левкоцитите, липса на голям цитогенетичен отговор </w:t>
      </w:r>
      <w:r w:rsidR="007C09DE" w:rsidRPr="00FE6AC6">
        <w:rPr>
          <w:color w:val="000000"/>
          <w:lang w:val="bg-BG"/>
        </w:rPr>
        <w:t>- ГЦО (</w:t>
      </w:r>
      <w:r w:rsidR="007C09DE" w:rsidRPr="00FE6AC6">
        <w:rPr>
          <w:color w:val="000000"/>
          <w:lang w:val="en-US"/>
        </w:rPr>
        <w:t>MCgR</w:t>
      </w:r>
      <w:r w:rsidR="007C09DE" w:rsidRPr="00FE6AC6">
        <w:rPr>
          <w:color w:val="000000"/>
          <w:lang w:val="bg-BG"/>
        </w:rPr>
        <w:t>) на</w:t>
      </w:r>
      <w:r w:rsidR="007C09DE" w:rsidRPr="00FE6AC6">
        <w:rPr>
          <w:color w:val="000000"/>
          <w:lang w:val="en-US"/>
        </w:rPr>
        <w:t> </w:t>
      </w:r>
      <w:r w:rsidR="007C09DE" w:rsidRPr="00FE6AC6">
        <w:rPr>
          <w:color w:val="000000"/>
          <w:lang w:val="bg-BG"/>
        </w:rPr>
        <w:t>24-ия месец</w:t>
      </w:r>
      <w:r w:rsidRPr="00FE6AC6">
        <w:rPr>
          <w:color w:val="000000"/>
          <w:lang w:val="bg-BG"/>
        </w:rPr>
        <w:t xml:space="preserve">), загуба на отговор (загуба на </w:t>
      </w:r>
      <w:r w:rsidR="007C09DE" w:rsidRPr="00FE6AC6">
        <w:rPr>
          <w:color w:val="000000"/>
          <w:lang w:val="en-US"/>
        </w:rPr>
        <w:t>CHR</w:t>
      </w:r>
      <w:r w:rsidR="007C09DE" w:rsidRPr="00FE6AC6">
        <w:rPr>
          <w:color w:val="000000"/>
          <w:lang w:val="bg-BG"/>
        </w:rPr>
        <w:t xml:space="preserve"> </w:t>
      </w:r>
      <w:r w:rsidRPr="00FE6AC6">
        <w:rPr>
          <w:color w:val="000000"/>
          <w:lang w:val="bg-BG"/>
        </w:rPr>
        <w:t xml:space="preserve">или </w:t>
      </w:r>
      <w:r w:rsidR="007C09DE" w:rsidRPr="00FE6AC6">
        <w:rPr>
          <w:color w:val="000000"/>
          <w:lang w:val="en-US"/>
        </w:rPr>
        <w:t>MCgR</w:t>
      </w:r>
      <w:r w:rsidRPr="00FE6AC6">
        <w:rPr>
          <w:color w:val="000000"/>
          <w:lang w:val="bg-BG"/>
        </w:rPr>
        <w:t>) или тежка непоносимост към лечението е разрешено да преминат в алтернативно</w:t>
      </w:r>
      <w:r w:rsidR="007C09DE" w:rsidRPr="00FE6AC6">
        <w:rPr>
          <w:color w:val="000000"/>
          <w:lang w:val="bg-BG"/>
        </w:rPr>
        <w:t>то</w:t>
      </w:r>
      <w:r w:rsidRPr="00FE6AC6">
        <w:rPr>
          <w:color w:val="000000"/>
          <w:lang w:val="bg-BG"/>
        </w:rPr>
        <w:t xml:space="preserve"> терапевтично рамо. </w:t>
      </w:r>
      <w:r w:rsidR="007C09DE" w:rsidRPr="00FE6AC6">
        <w:rPr>
          <w:color w:val="000000"/>
          <w:lang w:val="bg-BG"/>
        </w:rPr>
        <w:t>В рамото на</w:t>
      </w:r>
      <w:r w:rsidRPr="00FE6AC6">
        <w:rPr>
          <w:color w:val="000000"/>
          <w:lang w:val="bg-BG"/>
        </w:rPr>
        <w:t xml:space="preserve"> Glivec, пациентите са лекувани с</w:t>
      </w:r>
      <w:r w:rsidRPr="00FE6AC6">
        <w:rPr>
          <w:color w:val="000000"/>
          <w:lang w:val="en-US"/>
        </w:rPr>
        <w:t> </w:t>
      </w:r>
      <w:r w:rsidR="007C09DE" w:rsidRPr="00FE6AC6">
        <w:rPr>
          <w:color w:val="000000"/>
          <w:lang w:val="bg-BG"/>
        </w:rPr>
        <w:t xml:space="preserve">доза </w:t>
      </w:r>
      <w:r w:rsidRPr="00FE6AC6">
        <w:rPr>
          <w:color w:val="000000"/>
          <w:lang w:val="bg-BG"/>
        </w:rPr>
        <w:t>400</w:t>
      </w:r>
      <w:r w:rsidRPr="00FE6AC6">
        <w:rPr>
          <w:color w:val="000000"/>
          <w:lang w:val="en-US"/>
        </w:rPr>
        <w:t> </w:t>
      </w:r>
      <w:r w:rsidRPr="00FE6AC6">
        <w:rPr>
          <w:color w:val="000000"/>
          <w:lang w:val="bg-BG"/>
        </w:rPr>
        <w:t>mg дневно. При лечението с IFN, пациентите са лекувани с прицелна доза на IFN от</w:t>
      </w:r>
      <w:r w:rsidRPr="00FE6AC6">
        <w:rPr>
          <w:color w:val="000000"/>
          <w:lang w:val="en-US"/>
        </w:rPr>
        <w:t> </w:t>
      </w:r>
      <w:r w:rsidRPr="00FE6AC6">
        <w:rPr>
          <w:color w:val="000000"/>
          <w:lang w:val="bg-BG"/>
        </w:rPr>
        <w:t>5</w:t>
      </w:r>
      <w:r w:rsidRPr="00FE6AC6">
        <w:rPr>
          <w:color w:val="000000"/>
          <w:lang w:val="en-US"/>
        </w:rPr>
        <w:t> </w:t>
      </w:r>
      <w:r w:rsidRPr="00FE6AC6">
        <w:rPr>
          <w:color w:val="000000"/>
          <w:lang w:val="bg-BG"/>
        </w:rPr>
        <w:t>MIU/m²/дневно подкожно</w:t>
      </w:r>
      <w:r w:rsidR="007C09DE" w:rsidRPr="00FE6AC6">
        <w:rPr>
          <w:color w:val="000000"/>
          <w:lang w:val="bg-BG"/>
        </w:rPr>
        <w:t>,</w:t>
      </w:r>
      <w:r w:rsidRPr="00FE6AC6">
        <w:rPr>
          <w:color w:val="000000"/>
          <w:lang w:val="bg-BG"/>
        </w:rPr>
        <w:t xml:space="preserve"> в комбинация </w:t>
      </w:r>
      <w:r w:rsidR="007C09DE" w:rsidRPr="00FE6AC6">
        <w:rPr>
          <w:color w:val="000000"/>
          <w:lang w:val="bg-BG"/>
        </w:rPr>
        <w:t xml:space="preserve">с </w:t>
      </w:r>
      <w:r w:rsidRPr="00FE6AC6">
        <w:rPr>
          <w:color w:val="000000"/>
          <w:lang w:val="bg-BG"/>
        </w:rPr>
        <w:t>Ara-C</w:t>
      </w:r>
      <w:r w:rsidRPr="00FE6AC6">
        <w:rPr>
          <w:color w:val="000000"/>
          <w:lang w:val="en-US"/>
        </w:rPr>
        <w:t> </w:t>
      </w:r>
      <w:r w:rsidRPr="00FE6AC6">
        <w:rPr>
          <w:color w:val="000000"/>
          <w:lang w:val="bg-BG"/>
        </w:rPr>
        <w:t>20mg/m²/дневно подкожно за</w:t>
      </w:r>
      <w:r w:rsidRPr="00FE6AC6">
        <w:rPr>
          <w:color w:val="000000"/>
          <w:lang w:val="en-US"/>
        </w:rPr>
        <w:t> </w:t>
      </w:r>
      <w:r w:rsidRPr="00FE6AC6">
        <w:rPr>
          <w:color w:val="000000"/>
          <w:lang w:val="bg-BG"/>
        </w:rPr>
        <w:t>10</w:t>
      </w:r>
      <w:r w:rsidRPr="00FE6AC6">
        <w:rPr>
          <w:color w:val="000000"/>
          <w:lang w:val="en-US"/>
        </w:rPr>
        <w:t> </w:t>
      </w:r>
      <w:r w:rsidRPr="00FE6AC6">
        <w:rPr>
          <w:color w:val="000000"/>
          <w:lang w:val="bg-BG"/>
        </w:rPr>
        <w:t>дни/месечно.</w:t>
      </w:r>
    </w:p>
    <w:p w14:paraId="3E54FD83" w14:textId="77777777" w:rsidR="001636FA" w:rsidRPr="00FE6AC6" w:rsidRDefault="001636FA" w:rsidP="0063575E">
      <w:pPr>
        <w:widowControl w:val="0"/>
        <w:spacing w:line="240" w:lineRule="auto"/>
        <w:rPr>
          <w:color w:val="000000"/>
          <w:lang w:val="bg-BG"/>
        </w:rPr>
      </w:pPr>
    </w:p>
    <w:p w14:paraId="3E54FD84" w14:textId="77777777" w:rsidR="001636FA" w:rsidRPr="00FE6AC6" w:rsidRDefault="001636FA" w:rsidP="0063575E">
      <w:pPr>
        <w:widowControl w:val="0"/>
        <w:spacing w:line="240" w:lineRule="auto"/>
        <w:rPr>
          <w:color w:val="000000"/>
          <w:lang w:val="bg-BG"/>
        </w:rPr>
      </w:pPr>
      <w:r w:rsidRPr="00FE6AC6">
        <w:rPr>
          <w:color w:val="000000"/>
          <w:lang w:val="bg-BG"/>
        </w:rPr>
        <w:t>Рандомизирани са общо</w:t>
      </w:r>
      <w:r w:rsidRPr="00FE6AC6">
        <w:rPr>
          <w:color w:val="000000"/>
          <w:lang w:val="en-US"/>
        </w:rPr>
        <w:t> </w:t>
      </w:r>
      <w:r w:rsidRPr="00FE6AC6">
        <w:rPr>
          <w:color w:val="000000"/>
          <w:lang w:val="bg-BG"/>
        </w:rPr>
        <w:t>1 106</w:t>
      </w:r>
      <w:r w:rsidRPr="00FE6AC6">
        <w:rPr>
          <w:color w:val="000000"/>
          <w:lang w:val="en-US"/>
        </w:rPr>
        <w:t> </w:t>
      </w:r>
      <w:r w:rsidRPr="00FE6AC6">
        <w:rPr>
          <w:color w:val="000000"/>
          <w:lang w:val="bg-BG"/>
        </w:rPr>
        <w:t>пациента – по</w:t>
      </w:r>
      <w:r w:rsidRPr="00FE6AC6">
        <w:rPr>
          <w:color w:val="000000"/>
          <w:lang w:val="en-US"/>
        </w:rPr>
        <w:t> </w:t>
      </w:r>
      <w:r w:rsidRPr="00FE6AC6">
        <w:rPr>
          <w:color w:val="000000"/>
          <w:lang w:val="bg-BG"/>
        </w:rPr>
        <w:t>553</w:t>
      </w:r>
      <w:r w:rsidRPr="00FE6AC6">
        <w:rPr>
          <w:color w:val="000000"/>
          <w:lang w:val="en-US"/>
        </w:rPr>
        <w:t> </w:t>
      </w:r>
      <w:r w:rsidRPr="00FE6AC6">
        <w:rPr>
          <w:color w:val="000000"/>
          <w:lang w:val="bg-BG"/>
        </w:rPr>
        <w:t xml:space="preserve">във всяко рамо. Изходните характеристики са </w:t>
      </w:r>
      <w:r w:rsidR="000777B4" w:rsidRPr="00FE6AC6">
        <w:rPr>
          <w:color w:val="000000"/>
          <w:lang w:val="bg-BG"/>
        </w:rPr>
        <w:t xml:space="preserve">били </w:t>
      </w:r>
      <w:r w:rsidRPr="00FE6AC6">
        <w:rPr>
          <w:color w:val="000000"/>
          <w:lang w:val="bg-BG"/>
        </w:rPr>
        <w:t xml:space="preserve">добре балансирани между двете рамена. </w:t>
      </w:r>
      <w:r w:rsidR="000777B4" w:rsidRPr="00FE6AC6">
        <w:rPr>
          <w:color w:val="000000"/>
          <w:lang w:val="bg-BG"/>
        </w:rPr>
        <w:t xml:space="preserve">Медианата на </w:t>
      </w:r>
      <w:r w:rsidRPr="00FE6AC6">
        <w:rPr>
          <w:color w:val="000000"/>
          <w:lang w:val="bg-BG"/>
        </w:rPr>
        <w:t>възраст</w:t>
      </w:r>
      <w:r w:rsidR="000777B4" w:rsidRPr="00FE6AC6">
        <w:rPr>
          <w:color w:val="000000"/>
          <w:lang w:val="bg-BG"/>
        </w:rPr>
        <w:t>та</w:t>
      </w:r>
      <w:r w:rsidRPr="00FE6AC6">
        <w:rPr>
          <w:color w:val="000000"/>
          <w:lang w:val="bg-BG"/>
        </w:rPr>
        <w:t xml:space="preserve"> е</w:t>
      </w:r>
      <w:r w:rsidR="000777B4" w:rsidRPr="00FE6AC6">
        <w:rPr>
          <w:color w:val="000000"/>
          <w:lang w:val="bg-BG"/>
        </w:rPr>
        <w:t xml:space="preserve"> била</w:t>
      </w:r>
      <w:r w:rsidRPr="00FE6AC6">
        <w:rPr>
          <w:color w:val="000000"/>
          <w:lang w:val="en-US"/>
        </w:rPr>
        <w:t> </w:t>
      </w:r>
      <w:r w:rsidRPr="00FE6AC6">
        <w:rPr>
          <w:color w:val="000000"/>
          <w:lang w:val="bg-BG"/>
        </w:rPr>
        <w:t>51</w:t>
      </w:r>
      <w:r w:rsidRPr="00FE6AC6">
        <w:rPr>
          <w:color w:val="000000"/>
          <w:lang w:val="en-US"/>
        </w:rPr>
        <w:t> </w:t>
      </w:r>
      <w:r w:rsidRPr="00FE6AC6">
        <w:rPr>
          <w:color w:val="000000"/>
          <w:lang w:val="bg-BG"/>
        </w:rPr>
        <w:t>години (от</w:t>
      </w:r>
      <w:r w:rsidRPr="00FE6AC6">
        <w:rPr>
          <w:color w:val="000000"/>
          <w:lang w:val="en-US"/>
        </w:rPr>
        <w:t> </w:t>
      </w:r>
      <w:r w:rsidRPr="00FE6AC6">
        <w:rPr>
          <w:color w:val="000000"/>
          <w:lang w:val="bg-BG"/>
        </w:rPr>
        <w:t>18 до</w:t>
      </w:r>
      <w:r w:rsidRPr="00FE6AC6">
        <w:rPr>
          <w:color w:val="000000"/>
          <w:lang w:val="en-US"/>
        </w:rPr>
        <w:t> </w:t>
      </w:r>
      <w:r w:rsidRPr="00FE6AC6">
        <w:rPr>
          <w:color w:val="000000"/>
          <w:lang w:val="bg-BG"/>
        </w:rPr>
        <w:t>7</w:t>
      </w:r>
      <w:r w:rsidR="000777B4" w:rsidRPr="00FE6AC6">
        <w:rPr>
          <w:color w:val="000000"/>
          <w:lang w:val="bg-BG"/>
        </w:rPr>
        <w:t>0</w:t>
      </w:r>
      <w:r w:rsidRPr="00FE6AC6">
        <w:rPr>
          <w:color w:val="000000"/>
          <w:lang w:val="bg-BG"/>
        </w:rPr>
        <w:t> години), като</w:t>
      </w:r>
      <w:r w:rsidRPr="00FE6AC6">
        <w:rPr>
          <w:color w:val="000000"/>
          <w:lang w:val="en-US"/>
        </w:rPr>
        <w:t> </w:t>
      </w:r>
      <w:r w:rsidRPr="00FE6AC6">
        <w:rPr>
          <w:color w:val="000000"/>
          <w:lang w:val="bg-BG"/>
        </w:rPr>
        <w:t xml:space="preserve">21,9% от пациентите са </w:t>
      </w:r>
      <w:r w:rsidR="000777B4" w:rsidRPr="00FE6AC6">
        <w:rPr>
          <w:color w:val="000000"/>
          <w:lang w:val="bg-BG"/>
        </w:rPr>
        <w:t xml:space="preserve">били </w:t>
      </w:r>
      <w:r w:rsidRPr="00FE6AC6">
        <w:rPr>
          <w:color w:val="000000"/>
          <w:lang w:val="bg-BG"/>
        </w:rPr>
        <w:t>на възраст ≥60 години. Мъжете са</w:t>
      </w:r>
      <w:r w:rsidRPr="00FE6AC6">
        <w:rPr>
          <w:color w:val="000000"/>
          <w:lang w:val="en-US"/>
        </w:rPr>
        <w:t> </w:t>
      </w:r>
      <w:r w:rsidR="000777B4" w:rsidRPr="00FE6AC6">
        <w:rPr>
          <w:color w:val="000000"/>
          <w:lang w:val="bg-BG"/>
        </w:rPr>
        <w:t xml:space="preserve">били </w:t>
      </w:r>
      <w:r w:rsidRPr="00FE6AC6">
        <w:rPr>
          <w:color w:val="000000"/>
          <w:lang w:val="bg-BG"/>
        </w:rPr>
        <w:t>59%, а жените –</w:t>
      </w:r>
      <w:r w:rsidRPr="00FE6AC6">
        <w:rPr>
          <w:color w:val="000000"/>
          <w:lang w:val="en-US"/>
        </w:rPr>
        <w:t> </w:t>
      </w:r>
      <w:r w:rsidRPr="00FE6AC6">
        <w:rPr>
          <w:color w:val="000000"/>
          <w:lang w:val="bg-BG"/>
        </w:rPr>
        <w:t>4</w:t>
      </w:r>
      <w:r w:rsidR="000777B4" w:rsidRPr="00FE6AC6">
        <w:rPr>
          <w:color w:val="000000"/>
          <w:lang w:val="bg-BG"/>
        </w:rPr>
        <w:t>1</w:t>
      </w:r>
      <w:r w:rsidRPr="00FE6AC6">
        <w:rPr>
          <w:color w:val="000000"/>
          <w:lang w:val="bg-BG"/>
        </w:rPr>
        <w:t>%;</w:t>
      </w:r>
      <w:r w:rsidRPr="00FE6AC6">
        <w:rPr>
          <w:color w:val="000000"/>
          <w:lang w:val="en-US"/>
        </w:rPr>
        <w:t> </w:t>
      </w:r>
      <w:r w:rsidRPr="00FE6AC6">
        <w:rPr>
          <w:color w:val="000000"/>
          <w:lang w:val="bg-BG"/>
        </w:rPr>
        <w:t xml:space="preserve">89,9% са </w:t>
      </w:r>
      <w:r w:rsidR="000777B4" w:rsidRPr="00FE6AC6">
        <w:rPr>
          <w:color w:val="000000"/>
          <w:lang w:val="bg-BG"/>
        </w:rPr>
        <w:t>били от</w:t>
      </w:r>
      <w:r w:rsidRPr="00FE6AC6">
        <w:rPr>
          <w:color w:val="000000"/>
          <w:lang w:val="bg-BG"/>
        </w:rPr>
        <w:t xml:space="preserve"> бялата раса и</w:t>
      </w:r>
      <w:r w:rsidRPr="00FE6AC6">
        <w:rPr>
          <w:color w:val="000000"/>
          <w:lang w:val="en-US"/>
        </w:rPr>
        <w:t> </w:t>
      </w:r>
      <w:r w:rsidRPr="00FE6AC6">
        <w:rPr>
          <w:color w:val="000000"/>
          <w:lang w:val="bg-BG"/>
        </w:rPr>
        <w:t xml:space="preserve">4,7% </w:t>
      </w:r>
      <w:r w:rsidR="000777B4" w:rsidRPr="00FE6AC6">
        <w:rPr>
          <w:color w:val="000000"/>
          <w:lang w:val="bg-BG"/>
        </w:rPr>
        <w:t xml:space="preserve">- </w:t>
      </w:r>
      <w:r w:rsidRPr="00FE6AC6">
        <w:rPr>
          <w:color w:val="000000"/>
          <w:lang w:val="bg-BG"/>
        </w:rPr>
        <w:t xml:space="preserve">от негроидната раса. </w:t>
      </w:r>
      <w:r w:rsidR="00216C98" w:rsidRPr="00FE6AC6">
        <w:rPr>
          <w:color w:val="000000"/>
          <w:szCs w:val="22"/>
          <w:lang w:val="bg-BG"/>
        </w:rPr>
        <w:t>Седем</w:t>
      </w:r>
      <w:r w:rsidR="006D5353" w:rsidRPr="00FE6AC6">
        <w:rPr>
          <w:color w:val="000000"/>
          <w:szCs w:val="22"/>
          <w:lang w:val="bg-BG"/>
        </w:rPr>
        <w:t xml:space="preserve"> години след вклю</w:t>
      </w:r>
      <w:r w:rsidR="00101306" w:rsidRPr="00FE6AC6">
        <w:rPr>
          <w:color w:val="000000"/>
          <w:szCs w:val="22"/>
          <w:lang w:val="bg-BG"/>
        </w:rPr>
        <w:t>ч</w:t>
      </w:r>
      <w:r w:rsidR="006D5353" w:rsidRPr="00FE6AC6">
        <w:rPr>
          <w:color w:val="000000"/>
          <w:szCs w:val="22"/>
          <w:lang w:val="bg-BG"/>
        </w:rPr>
        <w:t>ване на последния пациент</w:t>
      </w:r>
      <w:r w:rsidR="00C065B5" w:rsidRPr="00FE6AC6">
        <w:rPr>
          <w:color w:val="000000"/>
          <w:szCs w:val="22"/>
          <w:lang w:val="bg-BG"/>
        </w:rPr>
        <w:t xml:space="preserve">, </w:t>
      </w:r>
      <w:r w:rsidR="000777B4" w:rsidRPr="00FE6AC6">
        <w:rPr>
          <w:color w:val="000000"/>
          <w:szCs w:val="22"/>
          <w:lang w:val="bg-BG"/>
        </w:rPr>
        <w:t>медианата на</w:t>
      </w:r>
      <w:r w:rsidR="006D5353" w:rsidRPr="00FE6AC6">
        <w:rPr>
          <w:color w:val="000000"/>
          <w:szCs w:val="22"/>
          <w:lang w:val="bg-BG"/>
        </w:rPr>
        <w:t xml:space="preserve"> продължителност на </w:t>
      </w:r>
      <w:r w:rsidR="00BF2E37" w:rsidRPr="00FE6AC6">
        <w:rPr>
          <w:color w:val="000000"/>
          <w:szCs w:val="22"/>
          <w:lang w:val="bg-BG"/>
        </w:rPr>
        <w:t>терапията на първа линия е била</w:t>
      </w:r>
      <w:r w:rsidR="00C44C53" w:rsidRPr="00FE6AC6">
        <w:rPr>
          <w:color w:val="000000"/>
          <w:szCs w:val="22"/>
          <w:lang w:val="bg-BG"/>
        </w:rPr>
        <w:t> </w:t>
      </w:r>
      <w:r w:rsidR="00216C98" w:rsidRPr="00FE6AC6">
        <w:rPr>
          <w:color w:val="000000"/>
          <w:szCs w:val="22"/>
          <w:lang w:val="bg-BG"/>
        </w:rPr>
        <w:t>82</w:t>
      </w:r>
      <w:r w:rsidR="00C44C53" w:rsidRPr="00FE6AC6">
        <w:rPr>
          <w:color w:val="000000"/>
          <w:szCs w:val="22"/>
          <w:lang w:val="bg-BG"/>
        </w:rPr>
        <w:t> </w:t>
      </w:r>
      <w:r w:rsidR="006D5353" w:rsidRPr="00FE6AC6">
        <w:rPr>
          <w:color w:val="000000"/>
          <w:szCs w:val="22"/>
          <w:lang w:val="bg-BG"/>
        </w:rPr>
        <w:t>и</w:t>
      </w:r>
      <w:r w:rsidR="00C44C53" w:rsidRPr="00FE6AC6">
        <w:rPr>
          <w:color w:val="000000"/>
          <w:szCs w:val="22"/>
          <w:lang w:val="bg-BG"/>
        </w:rPr>
        <w:t> </w:t>
      </w:r>
      <w:r w:rsidR="00C065B5" w:rsidRPr="00FE6AC6">
        <w:rPr>
          <w:color w:val="000000"/>
          <w:szCs w:val="22"/>
          <w:lang w:val="bg-BG"/>
        </w:rPr>
        <w:t>8</w:t>
      </w:r>
      <w:r w:rsidR="00C065B5" w:rsidRPr="00FE6AC6">
        <w:rPr>
          <w:color w:val="000000"/>
          <w:szCs w:val="22"/>
        </w:rPr>
        <w:t> </w:t>
      </w:r>
      <w:r w:rsidR="00BF2E37" w:rsidRPr="00FE6AC6">
        <w:rPr>
          <w:color w:val="000000"/>
          <w:szCs w:val="22"/>
          <w:lang w:val="bg-BG"/>
        </w:rPr>
        <w:t>месеца</w:t>
      </w:r>
      <w:r w:rsidR="000777B4" w:rsidRPr="00FE6AC6">
        <w:rPr>
          <w:color w:val="000000"/>
          <w:szCs w:val="22"/>
          <w:lang w:val="bg-BG"/>
        </w:rPr>
        <w:t>,</w:t>
      </w:r>
      <w:r w:rsidR="00C065B5" w:rsidRPr="00FE6AC6">
        <w:rPr>
          <w:color w:val="000000"/>
          <w:szCs w:val="22"/>
          <w:lang w:val="bg-BG"/>
        </w:rPr>
        <w:t xml:space="preserve"> </w:t>
      </w:r>
      <w:r w:rsidR="00BF2E37" w:rsidRPr="00FE6AC6">
        <w:rPr>
          <w:color w:val="000000"/>
          <w:szCs w:val="22"/>
          <w:lang w:val="bg-BG"/>
        </w:rPr>
        <w:t xml:space="preserve">съответно в групата на </w:t>
      </w:r>
      <w:r w:rsidR="00BF2E37" w:rsidRPr="00FE6AC6">
        <w:rPr>
          <w:color w:val="000000"/>
          <w:szCs w:val="22"/>
          <w:lang w:val="en-US"/>
        </w:rPr>
        <w:t>G</w:t>
      </w:r>
      <w:r w:rsidR="00C065B5" w:rsidRPr="00FE6AC6">
        <w:rPr>
          <w:color w:val="000000"/>
          <w:szCs w:val="22"/>
        </w:rPr>
        <w:t>livec</w:t>
      </w:r>
      <w:r w:rsidR="00C065B5" w:rsidRPr="00FE6AC6">
        <w:rPr>
          <w:color w:val="000000"/>
          <w:szCs w:val="22"/>
          <w:lang w:val="bg-BG"/>
        </w:rPr>
        <w:t xml:space="preserve"> </w:t>
      </w:r>
      <w:r w:rsidR="006D5353" w:rsidRPr="00FE6AC6">
        <w:rPr>
          <w:color w:val="000000"/>
          <w:szCs w:val="22"/>
          <w:lang w:val="bg-BG"/>
        </w:rPr>
        <w:t>и</w:t>
      </w:r>
      <w:r w:rsidR="00C065B5" w:rsidRPr="00FE6AC6">
        <w:rPr>
          <w:color w:val="000000"/>
          <w:szCs w:val="22"/>
          <w:lang w:val="bg-BG"/>
        </w:rPr>
        <w:t xml:space="preserve"> </w:t>
      </w:r>
      <w:r w:rsidR="00C065B5" w:rsidRPr="00FE6AC6">
        <w:rPr>
          <w:color w:val="000000"/>
          <w:szCs w:val="22"/>
        </w:rPr>
        <w:t>IFN</w:t>
      </w:r>
      <w:r w:rsidR="00C065B5" w:rsidRPr="00FE6AC6">
        <w:rPr>
          <w:color w:val="000000"/>
          <w:szCs w:val="22"/>
          <w:lang w:val="bg-BG"/>
        </w:rPr>
        <w:t xml:space="preserve">. </w:t>
      </w:r>
      <w:r w:rsidR="000777B4" w:rsidRPr="00FE6AC6">
        <w:rPr>
          <w:color w:val="000000"/>
          <w:szCs w:val="22"/>
          <w:lang w:val="bg-BG"/>
        </w:rPr>
        <w:t>Медианата на</w:t>
      </w:r>
      <w:r w:rsidR="00BF2E37" w:rsidRPr="00FE6AC6">
        <w:rPr>
          <w:color w:val="000000"/>
          <w:lang w:val="bg-BG"/>
        </w:rPr>
        <w:t xml:space="preserve"> продължителност на лечението на втора линия с</w:t>
      </w:r>
      <w:r w:rsidR="00C065B5" w:rsidRPr="00FE6AC6">
        <w:rPr>
          <w:color w:val="000000"/>
          <w:lang w:val="bg-BG"/>
        </w:rPr>
        <w:t xml:space="preserve"> </w:t>
      </w:r>
      <w:r w:rsidR="00C065B5" w:rsidRPr="00FE6AC6">
        <w:rPr>
          <w:color w:val="000000"/>
        </w:rPr>
        <w:t>Glivec</w:t>
      </w:r>
      <w:r w:rsidR="00C065B5" w:rsidRPr="00FE6AC6">
        <w:rPr>
          <w:color w:val="000000"/>
          <w:lang w:val="bg-BG"/>
        </w:rPr>
        <w:t xml:space="preserve"> </w:t>
      </w:r>
      <w:r w:rsidR="00BF2E37" w:rsidRPr="00FE6AC6">
        <w:rPr>
          <w:color w:val="000000"/>
          <w:lang w:val="bg-BG"/>
        </w:rPr>
        <w:t>е била</w:t>
      </w:r>
      <w:r w:rsidR="00C065B5" w:rsidRPr="00FE6AC6">
        <w:rPr>
          <w:color w:val="000000"/>
          <w:lang w:val="bg-BG"/>
        </w:rPr>
        <w:t xml:space="preserve"> </w:t>
      </w:r>
      <w:r w:rsidR="007754EA" w:rsidRPr="00FE6AC6">
        <w:rPr>
          <w:color w:val="000000"/>
          <w:lang w:val="bg-BG"/>
        </w:rPr>
        <w:t>64</w:t>
      </w:r>
      <w:r w:rsidR="00C065B5" w:rsidRPr="00FE6AC6">
        <w:rPr>
          <w:color w:val="000000"/>
        </w:rPr>
        <w:t> </w:t>
      </w:r>
      <w:r w:rsidR="00BF2E37" w:rsidRPr="00FE6AC6">
        <w:rPr>
          <w:color w:val="000000"/>
          <w:lang w:val="bg-BG"/>
        </w:rPr>
        <w:t>месеца</w:t>
      </w:r>
      <w:r w:rsidR="00C065B5" w:rsidRPr="00FE6AC6">
        <w:rPr>
          <w:color w:val="000000"/>
          <w:lang w:val="bg-BG"/>
        </w:rPr>
        <w:t xml:space="preserve">. </w:t>
      </w:r>
      <w:r w:rsidR="00BF2E37" w:rsidRPr="00FE6AC6">
        <w:rPr>
          <w:color w:val="000000"/>
          <w:lang w:val="bg-BG"/>
        </w:rPr>
        <w:t xml:space="preserve">Като цяло, </w:t>
      </w:r>
      <w:r w:rsidR="008F5719" w:rsidRPr="00FE6AC6">
        <w:rPr>
          <w:color w:val="000000"/>
          <w:lang w:val="bg-BG"/>
        </w:rPr>
        <w:t>при пациенти п</w:t>
      </w:r>
      <w:r w:rsidR="00101306" w:rsidRPr="00FE6AC6">
        <w:rPr>
          <w:color w:val="000000"/>
          <w:lang w:val="bg-BG"/>
        </w:rPr>
        <w:t>о</w:t>
      </w:r>
      <w:r w:rsidR="008F5719" w:rsidRPr="00FE6AC6">
        <w:rPr>
          <w:color w:val="000000"/>
          <w:lang w:val="bg-BG"/>
        </w:rPr>
        <w:t>лучаващи</w:t>
      </w:r>
      <w:r w:rsidR="00C065B5" w:rsidRPr="00FE6AC6">
        <w:rPr>
          <w:color w:val="000000"/>
          <w:lang w:val="bg-BG"/>
        </w:rPr>
        <w:t xml:space="preserve"> </w:t>
      </w:r>
      <w:r w:rsidR="00C065B5" w:rsidRPr="00FE6AC6">
        <w:rPr>
          <w:color w:val="000000"/>
        </w:rPr>
        <w:t>Glivec</w:t>
      </w:r>
      <w:r w:rsidR="008F5719" w:rsidRPr="00FE6AC6">
        <w:rPr>
          <w:color w:val="000000"/>
          <w:lang w:val="bg-BG"/>
        </w:rPr>
        <w:t xml:space="preserve"> като терапия на първа линия</w:t>
      </w:r>
      <w:r w:rsidR="00C065B5" w:rsidRPr="00FE6AC6">
        <w:rPr>
          <w:color w:val="000000"/>
          <w:lang w:val="bg-BG"/>
        </w:rPr>
        <w:t xml:space="preserve">, </w:t>
      </w:r>
      <w:r w:rsidR="008F5719" w:rsidRPr="00FE6AC6">
        <w:rPr>
          <w:color w:val="000000"/>
          <w:lang w:val="bg-BG"/>
        </w:rPr>
        <w:t>средната получена дневна доза е била</w:t>
      </w:r>
      <w:r w:rsidR="00C065B5" w:rsidRPr="00FE6AC6">
        <w:rPr>
          <w:color w:val="000000"/>
          <w:lang w:val="bg-BG"/>
        </w:rPr>
        <w:t xml:space="preserve"> </w:t>
      </w:r>
      <w:r w:rsidR="00435221" w:rsidRPr="00FE6AC6">
        <w:rPr>
          <w:color w:val="000000"/>
          <w:lang w:val="bg-BG"/>
        </w:rPr>
        <w:t>406</w:t>
      </w:r>
      <w:r w:rsidR="00C065B5" w:rsidRPr="00FE6AC6">
        <w:rPr>
          <w:color w:val="000000"/>
        </w:rPr>
        <w:t> </w:t>
      </w:r>
      <w:r w:rsidR="00C065B5" w:rsidRPr="00FE6AC6">
        <w:rPr>
          <w:color w:val="000000"/>
          <w:lang w:val="bg-BG"/>
        </w:rPr>
        <w:t>±</w:t>
      </w:r>
      <w:r w:rsidR="00C065B5" w:rsidRPr="00FE6AC6">
        <w:rPr>
          <w:color w:val="000000"/>
        </w:rPr>
        <w:t> </w:t>
      </w:r>
      <w:r w:rsidR="00435221" w:rsidRPr="00FE6AC6">
        <w:rPr>
          <w:color w:val="000000"/>
          <w:lang w:val="bg-BG"/>
        </w:rPr>
        <w:t>76</w:t>
      </w:r>
      <w:r w:rsidR="00C065B5" w:rsidRPr="00FE6AC6">
        <w:rPr>
          <w:color w:val="000000"/>
        </w:rPr>
        <w:t> mg</w:t>
      </w:r>
      <w:r w:rsidR="00C065B5" w:rsidRPr="00FE6AC6">
        <w:rPr>
          <w:color w:val="000000"/>
          <w:lang w:val="bg-BG"/>
        </w:rPr>
        <w:t xml:space="preserve">. </w:t>
      </w:r>
      <w:r w:rsidRPr="00FE6AC6">
        <w:rPr>
          <w:color w:val="000000"/>
          <w:lang w:val="bg-BG"/>
        </w:rPr>
        <w:t xml:space="preserve">Първичната крайна цел за ефективност </w:t>
      </w:r>
      <w:r w:rsidR="000777B4" w:rsidRPr="00FE6AC6">
        <w:rPr>
          <w:color w:val="000000"/>
          <w:lang w:val="bg-BG"/>
        </w:rPr>
        <w:t>на</w:t>
      </w:r>
      <w:r w:rsidRPr="00FE6AC6">
        <w:rPr>
          <w:color w:val="000000"/>
          <w:lang w:val="bg-BG"/>
        </w:rPr>
        <w:t xml:space="preserve"> проучването е </w:t>
      </w:r>
      <w:r w:rsidR="000777B4" w:rsidRPr="00FE6AC6">
        <w:rPr>
          <w:color w:val="000000"/>
          <w:lang w:val="bg-BG"/>
        </w:rPr>
        <w:t xml:space="preserve">била </w:t>
      </w:r>
      <w:r w:rsidRPr="00FE6AC6">
        <w:rPr>
          <w:color w:val="000000"/>
          <w:lang w:val="bg-BG"/>
        </w:rPr>
        <w:t xml:space="preserve">свободната от прогресия преживяемост. </w:t>
      </w:r>
      <w:r w:rsidR="000777B4" w:rsidRPr="00FE6AC6">
        <w:rPr>
          <w:color w:val="000000"/>
          <w:lang w:val="bg-BG"/>
        </w:rPr>
        <w:t xml:space="preserve">Прогресията се дефинира като едно от </w:t>
      </w:r>
      <w:r w:rsidRPr="00FE6AC6">
        <w:rPr>
          <w:color w:val="000000"/>
          <w:lang w:val="bg-BG"/>
        </w:rPr>
        <w:t xml:space="preserve">следните събития: прогресия към фаза на акцелерация или бластна криза, смърт, загуба на ПХО </w:t>
      </w:r>
      <w:r w:rsidR="000777B4" w:rsidRPr="00FE6AC6">
        <w:rPr>
          <w:color w:val="000000"/>
          <w:lang w:val="bg-BG"/>
        </w:rPr>
        <w:t>(</w:t>
      </w:r>
      <w:r w:rsidR="000777B4" w:rsidRPr="00FE6AC6">
        <w:rPr>
          <w:color w:val="000000"/>
          <w:lang w:val="en-US"/>
        </w:rPr>
        <w:t>CHR</w:t>
      </w:r>
      <w:r w:rsidR="000777B4" w:rsidRPr="00FE6AC6">
        <w:rPr>
          <w:color w:val="000000"/>
          <w:lang w:val="bg-BG"/>
        </w:rPr>
        <w:t xml:space="preserve">) </w:t>
      </w:r>
      <w:r w:rsidRPr="00FE6AC6">
        <w:rPr>
          <w:color w:val="000000"/>
          <w:lang w:val="bg-BG"/>
        </w:rPr>
        <w:t>или ГЦО</w:t>
      </w:r>
      <w:r w:rsidR="000777B4" w:rsidRPr="00FE6AC6">
        <w:rPr>
          <w:color w:val="000000"/>
          <w:lang w:val="bg-BG"/>
        </w:rPr>
        <w:t xml:space="preserve"> (</w:t>
      </w:r>
      <w:r w:rsidR="000777B4" w:rsidRPr="00FE6AC6">
        <w:rPr>
          <w:color w:val="000000"/>
          <w:lang w:val="en-US"/>
        </w:rPr>
        <w:t>MCgR</w:t>
      </w:r>
      <w:r w:rsidR="000777B4" w:rsidRPr="00FE6AC6">
        <w:rPr>
          <w:color w:val="000000"/>
          <w:lang w:val="bg-BG"/>
        </w:rPr>
        <w:t>)</w:t>
      </w:r>
      <w:r w:rsidRPr="00FE6AC6">
        <w:rPr>
          <w:color w:val="000000"/>
          <w:lang w:val="bg-BG"/>
        </w:rPr>
        <w:t xml:space="preserve"> или </w:t>
      </w:r>
      <w:r w:rsidR="000777B4" w:rsidRPr="00FE6AC6">
        <w:rPr>
          <w:color w:val="000000"/>
          <w:lang w:val="bg-BG"/>
        </w:rPr>
        <w:t xml:space="preserve">при </w:t>
      </w:r>
      <w:r w:rsidRPr="00FE6AC6">
        <w:rPr>
          <w:color w:val="000000"/>
          <w:lang w:val="bg-BG"/>
        </w:rPr>
        <w:t>пациенти, непостиг</w:t>
      </w:r>
      <w:r w:rsidR="000777B4" w:rsidRPr="00FE6AC6">
        <w:rPr>
          <w:color w:val="000000"/>
          <w:lang w:val="bg-BG"/>
        </w:rPr>
        <w:t>нали</w:t>
      </w:r>
      <w:r w:rsidRPr="00FE6AC6">
        <w:rPr>
          <w:color w:val="000000"/>
          <w:lang w:val="bg-BG"/>
        </w:rPr>
        <w:t xml:space="preserve"> ПХО</w:t>
      </w:r>
      <w:r w:rsidR="000777B4" w:rsidRPr="00FE6AC6">
        <w:rPr>
          <w:color w:val="000000"/>
          <w:lang w:val="bg-BG"/>
        </w:rPr>
        <w:t xml:space="preserve"> (</w:t>
      </w:r>
      <w:r w:rsidR="000777B4" w:rsidRPr="00FE6AC6">
        <w:rPr>
          <w:color w:val="000000"/>
          <w:lang w:val="en-US"/>
        </w:rPr>
        <w:t>CHR</w:t>
      </w:r>
      <w:r w:rsidR="000777B4" w:rsidRPr="00FE6AC6">
        <w:rPr>
          <w:color w:val="000000"/>
          <w:lang w:val="bg-BG"/>
        </w:rPr>
        <w:t>)-</w:t>
      </w:r>
      <w:r w:rsidRPr="00FE6AC6">
        <w:rPr>
          <w:color w:val="000000"/>
          <w:lang w:val="bg-BG"/>
        </w:rPr>
        <w:t xml:space="preserve"> повишаване на левкоцитите независимо от подходящ</w:t>
      </w:r>
      <w:r w:rsidR="000777B4" w:rsidRPr="00FE6AC6">
        <w:rPr>
          <w:color w:val="000000"/>
          <w:lang w:val="bg-BG"/>
        </w:rPr>
        <w:t>о приложената</w:t>
      </w:r>
      <w:r w:rsidRPr="00FE6AC6">
        <w:rPr>
          <w:color w:val="000000"/>
          <w:lang w:val="bg-BG"/>
        </w:rPr>
        <w:t xml:space="preserve"> терапия. Вторичните крайни цели са голям цитогенетичен отговор, хематологичен отговор, молекулярен отговор (</w:t>
      </w:r>
      <w:r w:rsidR="000777B4" w:rsidRPr="00FE6AC6">
        <w:rPr>
          <w:color w:val="000000"/>
          <w:lang w:val="bg-BG"/>
        </w:rPr>
        <w:t xml:space="preserve">оценка </w:t>
      </w:r>
      <w:r w:rsidRPr="00FE6AC6">
        <w:rPr>
          <w:color w:val="000000"/>
          <w:lang w:val="bg-BG"/>
        </w:rPr>
        <w:t xml:space="preserve">на минималната резидуална болест), времето </w:t>
      </w:r>
      <w:r w:rsidR="000777B4" w:rsidRPr="00FE6AC6">
        <w:rPr>
          <w:color w:val="000000"/>
          <w:lang w:val="bg-BG"/>
        </w:rPr>
        <w:t>до</w:t>
      </w:r>
      <w:r w:rsidRPr="00FE6AC6">
        <w:rPr>
          <w:color w:val="000000"/>
          <w:lang w:val="bg-BG"/>
        </w:rPr>
        <w:t xml:space="preserve"> достигане на фаза на акцелерация или бластна криза и пр</w:t>
      </w:r>
      <w:r w:rsidR="00F65B32" w:rsidRPr="00FE6AC6">
        <w:rPr>
          <w:color w:val="000000"/>
          <w:lang w:val="bg-BG"/>
        </w:rPr>
        <w:t>е</w:t>
      </w:r>
      <w:r w:rsidRPr="00FE6AC6">
        <w:rPr>
          <w:color w:val="000000"/>
          <w:lang w:val="bg-BG"/>
        </w:rPr>
        <w:t>живяемостта. Данните за отговора от лечението са представени в Таблица</w:t>
      </w:r>
      <w:r w:rsidRPr="00FE6AC6">
        <w:rPr>
          <w:color w:val="000000"/>
          <w:lang w:val="en-US"/>
        </w:rPr>
        <w:t> </w:t>
      </w:r>
      <w:r w:rsidR="008C64DA" w:rsidRPr="00FE6AC6">
        <w:rPr>
          <w:color w:val="000000"/>
          <w:lang w:val="bg-BG"/>
        </w:rPr>
        <w:t>2</w:t>
      </w:r>
      <w:r w:rsidRPr="00FE6AC6">
        <w:rPr>
          <w:color w:val="000000"/>
          <w:lang w:val="bg-BG"/>
        </w:rPr>
        <w:t>.</w:t>
      </w:r>
    </w:p>
    <w:p w14:paraId="3E54FD85" w14:textId="77777777" w:rsidR="001636FA" w:rsidRPr="00FE6AC6" w:rsidRDefault="001636FA" w:rsidP="0063575E">
      <w:pPr>
        <w:widowControl w:val="0"/>
        <w:spacing w:line="240" w:lineRule="auto"/>
        <w:rPr>
          <w:color w:val="000000"/>
          <w:lang w:val="bg-BG"/>
        </w:rPr>
      </w:pPr>
    </w:p>
    <w:p w14:paraId="3E54FD86" w14:textId="77777777" w:rsidR="00C065B5" w:rsidRPr="00FE6AC6" w:rsidRDefault="00BB73E8" w:rsidP="0063575E">
      <w:pPr>
        <w:pStyle w:val="EndnoteText"/>
        <w:keepNext/>
        <w:keepLines/>
        <w:widowControl w:val="0"/>
        <w:tabs>
          <w:tab w:val="clear" w:pos="567"/>
        </w:tabs>
        <w:ind w:left="1134" w:hanging="1134"/>
        <w:rPr>
          <w:b/>
          <w:color w:val="000000"/>
          <w:szCs w:val="22"/>
          <w:lang w:val="bg-BG"/>
        </w:rPr>
      </w:pPr>
      <w:r w:rsidRPr="00FE6AC6">
        <w:rPr>
          <w:b/>
          <w:color w:val="000000"/>
          <w:szCs w:val="22"/>
          <w:lang w:val="bg-BG"/>
        </w:rPr>
        <w:lastRenderedPageBreak/>
        <w:t>Таблица</w:t>
      </w:r>
      <w:r w:rsidR="00C065B5" w:rsidRPr="00FE6AC6">
        <w:rPr>
          <w:b/>
          <w:color w:val="000000"/>
          <w:szCs w:val="22"/>
        </w:rPr>
        <w:t> </w:t>
      </w:r>
      <w:r w:rsidR="008C64DA" w:rsidRPr="00FE6AC6">
        <w:rPr>
          <w:b/>
          <w:color w:val="000000"/>
          <w:szCs w:val="22"/>
          <w:lang w:val="bg-BG"/>
        </w:rPr>
        <w:t>2</w:t>
      </w:r>
      <w:r w:rsidR="00C065B5" w:rsidRPr="00FE6AC6">
        <w:rPr>
          <w:b/>
          <w:color w:val="000000"/>
          <w:szCs w:val="22"/>
          <w:lang w:val="bg-BG"/>
        </w:rPr>
        <w:tab/>
      </w:r>
      <w:r w:rsidR="000777B4" w:rsidRPr="00FE6AC6">
        <w:rPr>
          <w:b/>
          <w:color w:val="000000"/>
          <w:szCs w:val="22"/>
          <w:lang w:val="bg-BG"/>
        </w:rPr>
        <w:t xml:space="preserve">Отговори в проучване при новодиагностицирани пациенти с ХМЛ </w:t>
      </w:r>
      <w:r w:rsidR="00C065B5" w:rsidRPr="00FE6AC6">
        <w:rPr>
          <w:b/>
          <w:color w:val="000000"/>
          <w:szCs w:val="22"/>
          <w:lang w:val="bg-BG"/>
        </w:rPr>
        <w:t>(</w:t>
      </w:r>
      <w:r w:rsidR="006B3DF5" w:rsidRPr="00FE6AC6">
        <w:rPr>
          <w:b/>
          <w:color w:val="000000"/>
          <w:szCs w:val="22"/>
          <w:lang w:val="bg-BG"/>
        </w:rPr>
        <w:t>84</w:t>
      </w:r>
      <w:r w:rsidR="00C065B5" w:rsidRPr="00FE6AC6">
        <w:rPr>
          <w:b/>
          <w:color w:val="000000"/>
          <w:szCs w:val="22"/>
          <w:lang w:val="bg-BG"/>
        </w:rPr>
        <w:t>-</w:t>
      </w:r>
      <w:r w:rsidR="008F5719" w:rsidRPr="00FE6AC6">
        <w:rPr>
          <w:b/>
          <w:color w:val="000000"/>
          <w:szCs w:val="22"/>
          <w:lang w:val="bg-BG"/>
        </w:rPr>
        <w:t>месечни данни</w:t>
      </w:r>
      <w:r w:rsidR="00C065B5" w:rsidRPr="00FE6AC6">
        <w:rPr>
          <w:b/>
          <w:color w:val="000000"/>
          <w:szCs w:val="22"/>
          <w:lang w:val="bg-BG"/>
        </w:rPr>
        <w:t>)</w:t>
      </w:r>
    </w:p>
    <w:p w14:paraId="3E54FD87" w14:textId="77777777" w:rsidR="00215EA2" w:rsidRPr="00FE6AC6" w:rsidRDefault="00215EA2" w:rsidP="0063575E">
      <w:pPr>
        <w:pStyle w:val="EndnoteText"/>
        <w:keepNext/>
        <w:keepLines/>
        <w:widowControl w:val="0"/>
        <w:rPr>
          <w:color w:val="000000"/>
          <w:szCs w:val="22"/>
          <w:lang w:val="bg-BG"/>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215EA2" w:rsidRPr="00FE6AC6" w14:paraId="3E54FD8B" w14:textId="77777777" w:rsidTr="008143B1">
        <w:trPr>
          <w:cantSplit/>
        </w:trPr>
        <w:tc>
          <w:tcPr>
            <w:tcW w:w="3794" w:type="dxa"/>
            <w:tcBorders>
              <w:top w:val="single" w:sz="4" w:space="0" w:color="auto"/>
              <w:left w:val="single" w:sz="4" w:space="0" w:color="auto"/>
              <w:bottom w:val="nil"/>
            </w:tcBorders>
          </w:tcPr>
          <w:p w14:paraId="3E54FD88" w14:textId="77777777" w:rsidR="00215EA2" w:rsidRPr="00FE6AC6" w:rsidRDefault="00215EA2" w:rsidP="008143B1">
            <w:pPr>
              <w:pStyle w:val="Table"/>
              <w:keepLines w:val="0"/>
              <w:widowControl w:val="0"/>
              <w:spacing w:before="0" w:after="0"/>
              <w:rPr>
                <w:rFonts w:ascii="Times New Roman" w:hAnsi="Times New Roman"/>
                <w:color w:val="000000"/>
                <w:sz w:val="22"/>
                <w:szCs w:val="22"/>
                <w:lang w:val="bg-BG"/>
              </w:rPr>
            </w:pPr>
          </w:p>
        </w:tc>
        <w:tc>
          <w:tcPr>
            <w:tcW w:w="2693" w:type="dxa"/>
            <w:tcBorders>
              <w:top w:val="single" w:sz="4" w:space="0" w:color="auto"/>
              <w:bottom w:val="nil"/>
            </w:tcBorders>
          </w:tcPr>
          <w:p w14:paraId="3E54FD89" w14:textId="77777777" w:rsidR="00215EA2" w:rsidRPr="00FE6AC6" w:rsidRDefault="00215EA2" w:rsidP="008143B1">
            <w:pPr>
              <w:pStyle w:val="Table"/>
              <w:keepLines w:val="0"/>
              <w:widowControl w:val="0"/>
              <w:spacing w:before="0" w:after="0"/>
              <w:jc w:val="center"/>
              <w:rPr>
                <w:rFonts w:ascii="Times New Roman" w:hAnsi="Times New Roman"/>
                <w:b/>
                <w:color w:val="000000"/>
                <w:sz w:val="22"/>
                <w:szCs w:val="22"/>
              </w:rPr>
            </w:pPr>
            <w:r w:rsidRPr="00FE6AC6">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3E54FD8A" w14:textId="77777777" w:rsidR="00215EA2" w:rsidRPr="00FE6AC6" w:rsidRDefault="00215EA2" w:rsidP="008143B1">
            <w:pPr>
              <w:pStyle w:val="Table"/>
              <w:keepLines w:val="0"/>
              <w:widowControl w:val="0"/>
              <w:spacing w:before="0" w:after="0"/>
              <w:jc w:val="center"/>
              <w:rPr>
                <w:rFonts w:ascii="Times New Roman" w:hAnsi="Times New Roman"/>
                <w:b/>
                <w:color w:val="000000"/>
                <w:sz w:val="22"/>
                <w:szCs w:val="22"/>
              </w:rPr>
            </w:pPr>
            <w:r w:rsidRPr="00FE6AC6">
              <w:rPr>
                <w:rFonts w:ascii="Times New Roman" w:hAnsi="Times New Roman"/>
                <w:b/>
                <w:color w:val="000000"/>
                <w:sz w:val="22"/>
                <w:szCs w:val="22"/>
              </w:rPr>
              <w:t>IFN+Ara-C</w:t>
            </w:r>
          </w:p>
        </w:tc>
      </w:tr>
      <w:tr w:rsidR="00215EA2" w:rsidRPr="00FE6AC6" w14:paraId="3E54FD8F" w14:textId="77777777" w:rsidTr="008143B1">
        <w:trPr>
          <w:cantSplit/>
        </w:trPr>
        <w:tc>
          <w:tcPr>
            <w:tcW w:w="3794" w:type="dxa"/>
            <w:tcBorders>
              <w:top w:val="nil"/>
              <w:left w:val="single" w:sz="4" w:space="0" w:color="auto"/>
              <w:bottom w:val="single" w:sz="4" w:space="0" w:color="auto"/>
            </w:tcBorders>
          </w:tcPr>
          <w:p w14:paraId="3E54FD8C" w14:textId="77777777" w:rsidR="00215EA2" w:rsidRPr="00FE6AC6" w:rsidRDefault="00215EA2" w:rsidP="008143B1">
            <w:pPr>
              <w:pStyle w:val="Table"/>
              <w:keepLines w:val="0"/>
              <w:widowControl w:val="0"/>
              <w:spacing w:before="0" w:after="0"/>
              <w:rPr>
                <w:rFonts w:ascii="Times New Roman" w:hAnsi="Times New Roman"/>
                <w:b/>
                <w:color w:val="000000"/>
                <w:sz w:val="22"/>
                <w:szCs w:val="22"/>
                <w:lang w:val="ru-RU"/>
              </w:rPr>
            </w:pPr>
            <w:r w:rsidRPr="00FE6AC6">
              <w:rPr>
                <w:rFonts w:ascii="Times New Roman" w:hAnsi="Times New Roman"/>
                <w:b/>
                <w:color w:val="000000"/>
                <w:sz w:val="22"/>
                <w:szCs w:val="22"/>
                <w:lang w:val="ru-RU"/>
              </w:rPr>
              <w:t>(</w:t>
            </w:r>
            <w:r w:rsidRPr="00FE6AC6">
              <w:rPr>
                <w:rFonts w:ascii="Times New Roman" w:hAnsi="Times New Roman"/>
                <w:b/>
                <w:bCs/>
                <w:color w:val="000000"/>
                <w:sz w:val="22"/>
                <w:szCs w:val="22"/>
                <w:lang w:val="bg-BG"/>
              </w:rPr>
              <w:t>Честота на най-добър отговор</w:t>
            </w:r>
            <w:r w:rsidRPr="00FE6AC6">
              <w:rPr>
                <w:rFonts w:ascii="Times New Roman" w:hAnsi="Times New Roman"/>
                <w:b/>
                <w:color w:val="000000"/>
                <w:sz w:val="22"/>
                <w:szCs w:val="22"/>
                <w:lang w:val="ru-RU"/>
              </w:rPr>
              <w:t>)</w:t>
            </w:r>
          </w:p>
        </w:tc>
        <w:tc>
          <w:tcPr>
            <w:tcW w:w="2693" w:type="dxa"/>
            <w:tcBorders>
              <w:top w:val="nil"/>
              <w:bottom w:val="single" w:sz="4" w:space="0" w:color="auto"/>
            </w:tcBorders>
          </w:tcPr>
          <w:p w14:paraId="3E54FD8D"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3E54FD8E"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rPr>
              <w:t>n=553</w:t>
            </w:r>
          </w:p>
        </w:tc>
      </w:tr>
      <w:tr w:rsidR="00215EA2" w:rsidRPr="00FE6AC6" w14:paraId="3E54FD93" w14:textId="77777777" w:rsidTr="008143B1">
        <w:trPr>
          <w:cantSplit/>
        </w:trPr>
        <w:tc>
          <w:tcPr>
            <w:tcW w:w="3794" w:type="dxa"/>
            <w:tcBorders>
              <w:top w:val="nil"/>
              <w:left w:val="single" w:sz="4" w:space="0" w:color="auto"/>
            </w:tcBorders>
          </w:tcPr>
          <w:p w14:paraId="3E54FD90" w14:textId="77777777" w:rsidR="00215EA2" w:rsidRPr="00FE6AC6" w:rsidRDefault="00215EA2" w:rsidP="008143B1">
            <w:pPr>
              <w:pStyle w:val="Table"/>
              <w:keepLines w:val="0"/>
              <w:widowControl w:val="0"/>
              <w:spacing w:before="0" w:after="0"/>
              <w:rPr>
                <w:rFonts w:ascii="Times New Roman" w:hAnsi="Times New Roman"/>
                <w:b/>
                <w:color w:val="000000"/>
                <w:sz w:val="22"/>
                <w:szCs w:val="22"/>
                <w:lang w:val="bg-BG"/>
              </w:rPr>
            </w:pPr>
            <w:r w:rsidRPr="00FE6AC6">
              <w:rPr>
                <w:rFonts w:ascii="Times New Roman" w:hAnsi="Times New Roman"/>
                <w:b/>
                <w:color w:val="000000"/>
                <w:sz w:val="22"/>
                <w:szCs w:val="22"/>
                <w:lang w:val="bg-BG"/>
              </w:rPr>
              <w:t>Хематологичен отговор</w:t>
            </w:r>
          </w:p>
        </w:tc>
        <w:tc>
          <w:tcPr>
            <w:tcW w:w="2693" w:type="dxa"/>
            <w:tcBorders>
              <w:top w:val="nil"/>
            </w:tcBorders>
          </w:tcPr>
          <w:p w14:paraId="3E54FD91" w14:textId="77777777" w:rsidR="00215EA2" w:rsidRPr="00FE6AC6" w:rsidRDefault="00215EA2" w:rsidP="008143B1">
            <w:pPr>
              <w:pStyle w:val="Table"/>
              <w:keepLines w:val="0"/>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3E54FD92" w14:textId="77777777" w:rsidR="00215EA2" w:rsidRPr="00FE6AC6" w:rsidRDefault="00215EA2" w:rsidP="008143B1">
            <w:pPr>
              <w:pStyle w:val="Table"/>
              <w:keepLines w:val="0"/>
              <w:widowControl w:val="0"/>
              <w:spacing w:before="0" w:after="0"/>
              <w:jc w:val="center"/>
              <w:rPr>
                <w:rFonts w:ascii="Times New Roman" w:hAnsi="Times New Roman"/>
                <w:b/>
                <w:color w:val="000000"/>
                <w:sz w:val="22"/>
                <w:szCs w:val="22"/>
              </w:rPr>
            </w:pPr>
          </w:p>
        </w:tc>
      </w:tr>
      <w:tr w:rsidR="00215EA2" w:rsidRPr="00FE6AC6" w14:paraId="3E54FD97" w14:textId="77777777" w:rsidTr="008143B1">
        <w:trPr>
          <w:cantSplit/>
        </w:trPr>
        <w:tc>
          <w:tcPr>
            <w:tcW w:w="3794" w:type="dxa"/>
            <w:tcBorders>
              <w:top w:val="nil"/>
              <w:left w:val="single" w:sz="4" w:space="0" w:color="auto"/>
            </w:tcBorders>
          </w:tcPr>
          <w:p w14:paraId="3E54FD94"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lang w:val="bg-BG"/>
              </w:rPr>
              <w:t xml:space="preserve">Честота на ПХО </w:t>
            </w:r>
            <w:r w:rsidR="000777B4" w:rsidRPr="00FE6AC6">
              <w:rPr>
                <w:rFonts w:ascii="Times New Roman" w:hAnsi="Times New Roman"/>
                <w:color w:val="000000"/>
                <w:sz w:val="22"/>
                <w:szCs w:val="22"/>
                <w:lang w:val="bg-BG"/>
              </w:rPr>
              <w:t>(</w:t>
            </w:r>
            <w:r w:rsidR="000777B4" w:rsidRPr="00FE6AC6">
              <w:rPr>
                <w:rFonts w:ascii="Times New Roman" w:hAnsi="Times New Roman"/>
                <w:color w:val="000000"/>
                <w:sz w:val="22"/>
                <w:szCs w:val="22"/>
              </w:rPr>
              <w:t>CHR</w:t>
            </w:r>
            <w:r w:rsidR="000777B4" w:rsidRPr="00FE6AC6">
              <w:rPr>
                <w:rFonts w:ascii="Times New Roman" w:hAnsi="Times New Roman"/>
                <w:color w:val="000000"/>
                <w:sz w:val="22"/>
                <w:szCs w:val="22"/>
                <w:lang w:val="bg-BG"/>
              </w:rPr>
              <w:t xml:space="preserve">) </w:t>
            </w:r>
            <w:r w:rsidRPr="00FE6AC6">
              <w:rPr>
                <w:rFonts w:ascii="Times New Roman" w:hAnsi="Times New Roman"/>
                <w:color w:val="000000"/>
                <w:sz w:val="22"/>
                <w:szCs w:val="22"/>
              </w:rPr>
              <w:t>n (%)</w:t>
            </w:r>
          </w:p>
        </w:tc>
        <w:tc>
          <w:tcPr>
            <w:tcW w:w="2693" w:type="dxa"/>
            <w:tcBorders>
              <w:top w:val="nil"/>
            </w:tcBorders>
          </w:tcPr>
          <w:p w14:paraId="3E54FD95"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534</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(96</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6%)*</w:t>
            </w:r>
          </w:p>
        </w:tc>
        <w:tc>
          <w:tcPr>
            <w:tcW w:w="2718" w:type="dxa"/>
            <w:tcBorders>
              <w:top w:val="nil"/>
              <w:right w:val="single" w:sz="4" w:space="0" w:color="auto"/>
            </w:tcBorders>
          </w:tcPr>
          <w:p w14:paraId="3E54FD96"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313</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(56</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6%)*</w:t>
            </w:r>
          </w:p>
        </w:tc>
      </w:tr>
      <w:tr w:rsidR="00215EA2" w:rsidRPr="00FE6AC6" w14:paraId="3E54FD9B" w14:textId="77777777" w:rsidTr="008143B1">
        <w:trPr>
          <w:cantSplit/>
        </w:trPr>
        <w:tc>
          <w:tcPr>
            <w:tcW w:w="3794" w:type="dxa"/>
            <w:tcBorders>
              <w:left w:val="single" w:sz="4" w:space="0" w:color="auto"/>
            </w:tcBorders>
          </w:tcPr>
          <w:p w14:paraId="3E54FD98"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rPr>
              <w:tab/>
              <w:t xml:space="preserve">[95% </w:t>
            </w:r>
            <w:r w:rsidR="000777B4" w:rsidRPr="00FE6AC6">
              <w:rPr>
                <w:rFonts w:ascii="Times New Roman" w:hAnsi="Times New Roman"/>
                <w:color w:val="000000"/>
                <w:sz w:val="22"/>
                <w:szCs w:val="22"/>
              </w:rPr>
              <w:t>CI]</w:t>
            </w:r>
            <w:r w:rsidRPr="00FE6AC6">
              <w:rPr>
                <w:rFonts w:ascii="Times New Roman" w:hAnsi="Times New Roman"/>
                <w:color w:val="000000"/>
                <w:sz w:val="22"/>
                <w:szCs w:val="22"/>
              </w:rPr>
              <w:t>]</w:t>
            </w:r>
          </w:p>
        </w:tc>
        <w:tc>
          <w:tcPr>
            <w:tcW w:w="2693" w:type="dxa"/>
          </w:tcPr>
          <w:p w14:paraId="3E54FD99"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[94</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7%, 97</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9%]</w:t>
            </w:r>
          </w:p>
        </w:tc>
        <w:tc>
          <w:tcPr>
            <w:tcW w:w="2718" w:type="dxa"/>
            <w:tcBorders>
              <w:right w:val="single" w:sz="4" w:space="0" w:color="auto"/>
            </w:tcBorders>
          </w:tcPr>
          <w:p w14:paraId="3E54FD9A"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[52</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4%, 60</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8%]</w:t>
            </w:r>
          </w:p>
        </w:tc>
      </w:tr>
      <w:tr w:rsidR="00215EA2" w:rsidRPr="00FE6AC6" w14:paraId="3E54FD9F" w14:textId="77777777" w:rsidTr="008143B1">
        <w:trPr>
          <w:cantSplit/>
        </w:trPr>
        <w:tc>
          <w:tcPr>
            <w:tcW w:w="3794" w:type="dxa"/>
            <w:tcBorders>
              <w:left w:val="single" w:sz="4" w:space="0" w:color="auto"/>
            </w:tcBorders>
          </w:tcPr>
          <w:p w14:paraId="3E54FD9C"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p>
        </w:tc>
        <w:tc>
          <w:tcPr>
            <w:tcW w:w="2693" w:type="dxa"/>
          </w:tcPr>
          <w:p w14:paraId="3E54FD9D"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3E54FD9E"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p>
        </w:tc>
      </w:tr>
      <w:tr w:rsidR="00215EA2" w:rsidRPr="00FE6AC6" w14:paraId="3E54FDA3" w14:textId="77777777" w:rsidTr="008143B1">
        <w:trPr>
          <w:cantSplit/>
        </w:trPr>
        <w:tc>
          <w:tcPr>
            <w:tcW w:w="3794" w:type="dxa"/>
            <w:tcBorders>
              <w:left w:val="single" w:sz="4" w:space="0" w:color="auto"/>
            </w:tcBorders>
          </w:tcPr>
          <w:p w14:paraId="3E54FDA0" w14:textId="77777777" w:rsidR="00215EA2" w:rsidRPr="00FE6AC6" w:rsidRDefault="00215EA2" w:rsidP="008143B1">
            <w:pPr>
              <w:pStyle w:val="Table"/>
              <w:keepLines w:val="0"/>
              <w:widowControl w:val="0"/>
              <w:spacing w:before="0" w:after="0"/>
              <w:rPr>
                <w:rFonts w:ascii="Times New Roman" w:hAnsi="Times New Roman"/>
                <w:b/>
                <w:color w:val="000000"/>
                <w:sz w:val="22"/>
                <w:szCs w:val="22"/>
              </w:rPr>
            </w:pPr>
            <w:r w:rsidRPr="00FE6AC6">
              <w:rPr>
                <w:rFonts w:ascii="Times New Roman" w:hAnsi="Times New Roman"/>
                <w:b/>
                <w:color w:val="000000"/>
                <w:sz w:val="22"/>
                <w:szCs w:val="22"/>
                <w:lang w:val="bg-BG"/>
              </w:rPr>
              <w:t>Цитогенетичен отговор</w:t>
            </w:r>
          </w:p>
        </w:tc>
        <w:tc>
          <w:tcPr>
            <w:tcW w:w="2693" w:type="dxa"/>
          </w:tcPr>
          <w:p w14:paraId="3E54FDA1" w14:textId="77777777" w:rsidR="00215EA2" w:rsidRPr="00FE6AC6" w:rsidRDefault="00215EA2" w:rsidP="008143B1">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3E54FDA2" w14:textId="77777777" w:rsidR="00215EA2" w:rsidRPr="00FE6AC6" w:rsidRDefault="00215EA2" w:rsidP="008143B1">
            <w:pPr>
              <w:pStyle w:val="Table"/>
              <w:keepLines w:val="0"/>
              <w:widowControl w:val="0"/>
              <w:spacing w:before="0" w:after="0"/>
              <w:rPr>
                <w:rFonts w:ascii="Times New Roman" w:hAnsi="Times New Roman"/>
                <w:b/>
                <w:color w:val="000000"/>
                <w:sz w:val="22"/>
                <w:szCs w:val="22"/>
              </w:rPr>
            </w:pPr>
          </w:p>
        </w:tc>
      </w:tr>
      <w:tr w:rsidR="00215EA2" w:rsidRPr="00FE6AC6" w14:paraId="3E54FDA7" w14:textId="77777777" w:rsidTr="008143B1">
        <w:trPr>
          <w:cantSplit/>
        </w:trPr>
        <w:tc>
          <w:tcPr>
            <w:tcW w:w="3794" w:type="dxa"/>
            <w:tcBorders>
              <w:left w:val="single" w:sz="4" w:space="0" w:color="auto"/>
            </w:tcBorders>
          </w:tcPr>
          <w:p w14:paraId="3E54FDA4"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lang w:val="bg-BG"/>
              </w:rPr>
              <w:t xml:space="preserve">Голям отговор </w:t>
            </w:r>
            <w:r w:rsidRPr="00FE6AC6">
              <w:rPr>
                <w:rFonts w:ascii="Times New Roman" w:hAnsi="Times New Roman"/>
                <w:color w:val="000000"/>
                <w:sz w:val="22"/>
                <w:szCs w:val="22"/>
              </w:rPr>
              <w:t>n (%)</w:t>
            </w:r>
          </w:p>
        </w:tc>
        <w:tc>
          <w:tcPr>
            <w:tcW w:w="2693" w:type="dxa"/>
          </w:tcPr>
          <w:p w14:paraId="3E54FDA5"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490</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(88</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6%)*</w:t>
            </w:r>
          </w:p>
        </w:tc>
        <w:tc>
          <w:tcPr>
            <w:tcW w:w="2718" w:type="dxa"/>
            <w:tcBorders>
              <w:right w:val="single" w:sz="4" w:space="0" w:color="auto"/>
            </w:tcBorders>
          </w:tcPr>
          <w:p w14:paraId="3E54FDA6"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129</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(23</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3%)*</w:t>
            </w:r>
          </w:p>
        </w:tc>
      </w:tr>
      <w:tr w:rsidR="00215EA2" w:rsidRPr="00FE6AC6" w14:paraId="3E54FDAB" w14:textId="77777777" w:rsidTr="008143B1">
        <w:trPr>
          <w:cantSplit/>
        </w:trPr>
        <w:tc>
          <w:tcPr>
            <w:tcW w:w="3794" w:type="dxa"/>
            <w:tcBorders>
              <w:left w:val="single" w:sz="4" w:space="0" w:color="auto"/>
            </w:tcBorders>
          </w:tcPr>
          <w:p w14:paraId="3E54FDA8"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rPr>
              <w:tab/>
              <w:t xml:space="preserve">[95% </w:t>
            </w:r>
            <w:r w:rsidR="000777B4" w:rsidRPr="00FE6AC6">
              <w:rPr>
                <w:rFonts w:ascii="Times New Roman" w:hAnsi="Times New Roman"/>
                <w:color w:val="000000"/>
                <w:sz w:val="22"/>
                <w:szCs w:val="22"/>
              </w:rPr>
              <w:t>CI]</w:t>
            </w:r>
            <w:r w:rsidRPr="00FE6AC6">
              <w:rPr>
                <w:rFonts w:ascii="Times New Roman" w:hAnsi="Times New Roman"/>
                <w:color w:val="000000"/>
                <w:sz w:val="22"/>
                <w:szCs w:val="22"/>
              </w:rPr>
              <w:t>]</w:t>
            </w:r>
          </w:p>
        </w:tc>
        <w:tc>
          <w:tcPr>
            <w:tcW w:w="2693" w:type="dxa"/>
          </w:tcPr>
          <w:p w14:paraId="3E54FDA9"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[85</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7%, 91</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1%]</w:t>
            </w:r>
          </w:p>
        </w:tc>
        <w:tc>
          <w:tcPr>
            <w:tcW w:w="2718" w:type="dxa"/>
            <w:tcBorders>
              <w:right w:val="single" w:sz="4" w:space="0" w:color="auto"/>
            </w:tcBorders>
          </w:tcPr>
          <w:p w14:paraId="3E54FDAA"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[19,9%, 27</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1%]</w:t>
            </w:r>
          </w:p>
        </w:tc>
      </w:tr>
      <w:tr w:rsidR="00215EA2" w:rsidRPr="00FE6AC6" w14:paraId="3E54FDAF" w14:textId="77777777" w:rsidTr="008143B1">
        <w:trPr>
          <w:cantSplit/>
        </w:trPr>
        <w:tc>
          <w:tcPr>
            <w:tcW w:w="3794" w:type="dxa"/>
            <w:tcBorders>
              <w:left w:val="single" w:sz="4" w:space="0" w:color="auto"/>
            </w:tcBorders>
          </w:tcPr>
          <w:p w14:paraId="3E54FDAC"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rPr>
              <w:tab/>
            </w:r>
            <w:r w:rsidRPr="00FE6AC6">
              <w:rPr>
                <w:rFonts w:ascii="Times New Roman" w:hAnsi="Times New Roman"/>
                <w:color w:val="000000"/>
                <w:sz w:val="22"/>
                <w:szCs w:val="22"/>
                <w:lang w:val="bg-BG"/>
              </w:rPr>
              <w:t>Пълен ЦО</w:t>
            </w:r>
            <w:r w:rsidR="000777B4" w:rsidRPr="00FE6AC6">
              <w:rPr>
                <w:rFonts w:ascii="Times New Roman" w:hAnsi="Times New Roman"/>
                <w:color w:val="000000"/>
                <w:sz w:val="22"/>
                <w:szCs w:val="22"/>
                <w:lang w:val="bg-BG"/>
              </w:rPr>
              <w:t xml:space="preserve"> (</w:t>
            </w:r>
            <w:r w:rsidR="000777B4" w:rsidRPr="00FE6AC6">
              <w:rPr>
                <w:rFonts w:ascii="Times New Roman" w:hAnsi="Times New Roman"/>
                <w:color w:val="000000"/>
                <w:sz w:val="22"/>
                <w:szCs w:val="22"/>
              </w:rPr>
              <w:t>CgR</w:t>
            </w:r>
            <w:r w:rsidR="000777B4" w:rsidRPr="00FE6AC6">
              <w:rPr>
                <w:rFonts w:ascii="Times New Roman" w:hAnsi="Times New Roman"/>
                <w:color w:val="000000"/>
                <w:sz w:val="22"/>
                <w:szCs w:val="22"/>
                <w:lang w:val="bg-BG"/>
              </w:rPr>
              <w:t>)</w:t>
            </w:r>
            <w:r w:rsidRPr="00FE6AC6">
              <w:rPr>
                <w:rFonts w:ascii="Times New Roman" w:hAnsi="Times New Roman"/>
                <w:color w:val="000000"/>
                <w:sz w:val="22"/>
                <w:szCs w:val="22"/>
              </w:rPr>
              <w:t xml:space="preserve"> n (%)</w:t>
            </w:r>
          </w:p>
        </w:tc>
        <w:tc>
          <w:tcPr>
            <w:tcW w:w="2693" w:type="dxa"/>
          </w:tcPr>
          <w:p w14:paraId="3E54FDAD"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bg-BG"/>
              </w:rPr>
              <w:t>456(82,5%)</w:t>
            </w:r>
            <w:r w:rsidRPr="00FE6AC6">
              <w:rPr>
                <w:rFonts w:ascii="Times New Roman" w:hAnsi="Times New Roman"/>
                <w:color w:val="000000"/>
                <w:sz w:val="22"/>
                <w:szCs w:val="22"/>
                <w:lang w:val="en-GB"/>
              </w:rPr>
              <w:t>*</w:t>
            </w:r>
          </w:p>
        </w:tc>
        <w:tc>
          <w:tcPr>
            <w:tcW w:w="2718" w:type="dxa"/>
            <w:tcBorders>
              <w:right w:val="single" w:sz="4" w:space="0" w:color="auto"/>
            </w:tcBorders>
          </w:tcPr>
          <w:p w14:paraId="3E54FDAE"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64</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(11</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6%)*</w:t>
            </w:r>
          </w:p>
        </w:tc>
      </w:tr>
      <w:tr w:rsidR="00215EA2" w:rsidRPr="00FE6AC6" w14:paraId="3E54FDB3" w14:textId="77777777" w:rsidTr="008143B1">
        <w:trPr>
          <w:cantSplit/>
        </w:trPr>
        <w:tc>
          <w:tcPr>
            <w:tcW w:w="3794" w:type="dxa"/>
            <w:tcBorders>
              <w:left w:val="single" w:sz="4" w:space="0" w:color="auto"/>
            </w:tcBorders>
          </w:tcPr>
          <w:p w14:paraId="3E54FDB0"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rPr>
              <w:tab/>
            </w:r>
            <w:r w:rsidRPr="00FE6AC6">
              <w:rPr>
                <w:rFonts w:ascii="Times New Roman" w:hAnsi="Times New Roman"/>
                <w:color w:val="000000"/>
                <w:sz w:val="22"/>
                <w:szCs w:val="22"/>
                <w:lang w:val="bg-BG"/>
              </w:rPr>
              <w:t>Частичен ЦО</w:t>
            </w:r>
            <w:r w:rsidRPr="00FE6AC6">
              <w:rPr>
                <w:rFonts w:ascii="Times New Roman" w:hAnsi="Times New Roman"/>
                <w:color w:val="000000"/>
                <w:sz w:val="22"/>
                <w:szCs w:val="22"/>
              </w:rPr>
              <w:t xml:space="preserve"> </w:t>
            </w:r>
            <w:r w:rsidR="000777B4" w:rsidRPr="00FE6AC6">
              <w:rPr>
                <w:rFonts w:ascii="Times New Roman" w:hAnsi="Times New Roman"/>
                <w:color w:val="000000"/>
                <w:sz w:val="22"/>
                <w:szCs w:val="22"/>
                <w:lang w:val="bg-BG"/>
              </w:rPr>
              <w:t>(</w:t>
            </w:r>
            <w:r w:rsidR="000777B4" w:rsidRPr="00FE6AC6">
              <w:rPr>
                <w:rFonts w:ascii="Times New Roman" w:hAnsi="Times New Roman"/>
                <w:color w:val="000000"/>
                <w:sz w:val="22"/>
                <w:szCs w:val="22"/>
              </w:rPr>
              <w:t>CgR</w:t>
            </w:r>
            <w:r w:rsidR="000777B4" w:rsidRPr="00FE6AC6">
              <w:rPr>
                <w:rFonts w:ascii="Times New Roman" w:hAnsi="Times New Roman"/>
                <w:color w:val="000000"/>
                <w:sz w:val="22"/>
                <w:szCs w:val="22"/>
                <w:lang w:val="bg-BG"/>
              </w:rPr>
              <w:t>)</w:t>
            </w:r>
            <w:r w:rsidR="000777B4" w:rsidRPr="00FE6AC6">
              <w:rPr>
                <w:rFonts w:ascii="Times New Roman" w:hAnsi="Times New Roman"/>
                <w:color w:val="000000"/>
                <w:sz w:val="22"/>
                <w:szCs w:val="22"/>
              </w:rPr>
              <w:t xml:space="preserve"> </w:t>
            </w:r>
            <w:r w:rsidRPr="00FE6AC6">
              <w:rPr>
                <w:rFonts w:ascii="Times New Roman" w:hAnsi="Times New Roman"/>
                <w:color w:val="000000"/>
                <w:sz w:val="22"/>
                <w:szCs w:val="22"/>
              </w:rPr>
              <w:t>n (%)</w:t>
            </w:r>
          </w:p>
        </w:tc>
        <w:tc>
          <w:tcPr>
            <w:tcW w:w="2693" w:type="dxa"/>
          </w:tcPr>
          <w:p w14:paraId="3E54FDB1"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34 (6,1%)</w:t>
            </w:r>
          </w:p>
        </w:tc>
        <w:tc>
          <w:tcPr>
            <w:tcW w:w="2718" w:type="dxa"/>
            <w:tcBorders>
              <w:right w:val="single" w:sz="4" w:space="0" w:color="auto"/>
            </w:tcBorders>
          </w:tcPr>
          <w:p w14:paraId="3E54FDB2"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65</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(11</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8%)</w:t>
            </w:r>
          </w:p>
        </w:tc>
      </w:tr>
      <w:tr w:rsidR="00215EA2" w:rsidRPr="00FE6AC6" w14:paraId="3E54FDB7" w14:textId="77777777" w:rsidTr="008143B1">
        <w:trPr>
          <w:cantSplit/>
        </w:trPr>
        <w:tc>
          <w:tcPr>
            <w:tcW w:w="3794" w:type="dxa"/>
            <w:tcBorders>
              <w:left w:val="single" w:sz="4" w:space="0" w:color="auto"/>
              <w:bottom w:val="nil"/>
            </w:tcBorders>
          </w:tcPr>
          <w:p w14:paraId="3E54FDB4"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3E54FDB5"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3E54FDB6"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p>
        </w:tc>
      </w:tr>
      <w:tr w:rsidR="00215EA2" w:rsidRPr="00FE6AC6" w14:paraId="3E54FDBB" w14:textId="77777777" w:rsidTr="008143B1">
        <w:trPr>
          <w:cantSplit/>
        </w:trPr>
        <w:tc>
          <w:tcPr>
            <w:tcW w:w="3794" w:type="dxa"/>
            <w:tcBorders>
              <w:left w:val="single" w:sz="4" w:space="0" w:color="auto"/>
              <w:bottom w:val="nil"/>
            </w:tcBorders>
          </w:tcPr>
          <w:p w14:paraId="3E54FDB8"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b/>
                <w:color w:val="000000"/>
                <w:sz w:val="22"/>
                <w:szCs w:val="22"/>
                <w:lang w:val="bg-BG"/>
              </w:rPr>
              <w:t>Молекулярен отговор</w:t>
            </w:r>
            <w:r w:rsidR="00790C35" w:rsidRPr="00FE6AC6">
              <w:rPr>
                <w:rFonts w:ascii="Times New Roman" w:hAnsi="Times New Roman"/>
                <w:color w:val="000000"/>
                <w:sz w:val="22"/>
                <w:szCs w:val="22"/>
              </w:rPr>
              <w:t>**</w:t>
            </w:r>
          </w:p>
        </w:tc>
        <w:tc>
          <w:tcPr>
            <w:tcW w:w="2693" w:type="dxa"/>
            <w:tcBorders>
              <w:bottom w:val="nil"/>
            </w:tcBorders>
          </w:tcPr>
          <w:p w14:paraId="3E54FDB9"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3E54FDBA" w14:textId="77777777" w:rsidR="00215EA2" w:rsidRPr="00FE6AC6" w:rsidRDefault="00215EA2" w:rsidP="008143B1">
            <w:pPr>
              <w:pStyle w:val="Table"/>
              <w:keepLines w:val="0"/>
              <w:widowControl w:val="0"/>
              <w:spacing w:before="0" w:after="0"/>
              <w:rPr>
                <w:rFonts w:ascii="Times New Roman" w:hAnsi="Times New Roman"/>
                <w:color w:val="000000"/>
                <w:sz w:val="22"/>
                <w:szCs w:val="22"/>
              </w:rPr>
            </w:pPr>
          </w:p>
        </w:tc>
      </w:tr>
      <w:tr w:rsidR="00215EA2" w:rsidRPr="00FE6AC6" w14:paraId="3E54FDBF" w14:textId="77777777" w:rsidTr="008143B1">
        <w:trPr>
          <w:cantSplit/>
        </w:trPr>
        <w:tc>
          <w:tcPr>
            <w:tcW w:w="3794" w:type="dxa"/>
            <w:tcBorders>
              <w:left w:val="single" w:sz="4" w:space="0" w:color="auto"/>
              <w:bottom w:val="nil"/>
            </w:tcBorders>
          </w:tcPr>
          <w:p w14:paraId="3E54FDBC" w14:textId="77777777" w:rsidR="00215EA2" w:rsidRPr="00FE6AC6" w:rsidRDefault="00215EA2" w:rsidP="008143B1">
            <w:pPr>
              <w:pStyle w:val="Table"/>
              <w:keepLines w:val="0"/>
              <w:widowControl w:val="0"/>
              <w:spacing w:before="0" w:after="0"/>
              <w:rPr>
                <w:rFonts w:ascii="Times New Roman" w:hAnsi="Times New Roman"/>
                <w:color w:val="000000"/>
                <w:sz w:val="22"/>
                <w:szCs w:val="22"/>
                <w:lang w:val="ru-RU"/>
              </w:rPr>
            </w:pPr>
            <w:r w:rsidRPr="00FE6AC6">
              <w:rPr>
                <w:rFonts w:ascii="Times New Roman" w:hAnsi="Times New Roman"/>
                <w:color w:val="000000"/>
                <w:sz w:val="22"/>
                <w:szCs w:val="22"/>
                <w:lang w:val="bg-BG"/>
              </w:rPr>
              <w:t xml:space="preserve">Голям отговор на </w:t>
            </w:r>
            <w:r w:rsidRPr="00FE6AC6">
              <w:rPr>
                <w:rFonts w:ascii="Times New Roman" w:hAnsi="Times New Roman"/>
                <w:color w:val="000000"/>
                <w:sz w:val="22"/>
                <w:szCs w:val="22"/>
                <w:lang w:val="ru-RU"/>
              </w:rPr>
              <w:t>1</w:t>
            </w:r>
            <w:r w:rsidRPr="00FE6AC6">
              <w:rPr>
                <w:rFonts w:ascii="Times New Roman" w:hAnsi="Times New Roman"/>
                <w:color w:val="000000"/>
                <w:sz w:val="22"/>
                <w:szCs w:val="22"/>
                <w:lang w:val="bg-BG"/>
              </w:rPr>
              <w:t>2-ия месец</w:t>
            </w:r>
            <w:r w:rsidRPr="00FE6AC6">
              <w:rPr>
                <w:rFonts w:ascii="Times New Roman" w:hAnsi="Times New Roman"/>
                <w:color w:val="000000"/>
                <w:sz w:val="22"/>
                <w:szCs w:val="22"/>
                <w:lang w:val="ru-RU"/>
              </w:rPr>
              <w:t xml:space="preserve"> (%)</w:t>
            </w:r>
          </w:p>
        </w:tc>
        <w:tc>
          <w:tcPr>
            <w:tcW w:w="2693" w:type="dxa"/>
            <w:tcBorders>
              <w:bottom w:val="nil"/>
            </w:tcBorders>
          </w:tcPr>
          <w:p w14:paraId="3E54FDBD"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153/305=50,2%</w:t>
            </w:r>
          </w:p>
        </w:tc>
        <w:tc>
          <w:tcPr>
            <w:tcW w:w="2718" w:type="dxa"/>
            <w:tcBorders>
              <w:bottom w:val="nil"/>
              <w:right w:val="single" w:sz="4" w:space="0" w:color="auto"/>
            </w:tcBorders>
          </w:tcPr>
          <w:p w14:paraId="3E54FDBE"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8/83=9,6%</w:t>
            </w:r>
          </w:p>
        </w:tc>
      </w:tr>
      <w:tr w:rsidR="00215EA2" w:rsidRPr="00FE6AC6" w14:paraId="3E54FDC3" w14:textId="77777777" w:rsidTr="008143B1">
        <w:trPr>
          <w:cantSplit/>
        </w:trPr>
        <w:tc>
          <w:tcPr>
            <w:tcW w:w="3794" w:type="dxa"/>
            <w:tcBorders>
              <w:left w:val="single" w:sz="4" w:space="0" w:color="auto"/>
              <w:bottom w:val="nil"/>
            </w:tcBorders>
          </w:tcPr>
          <w:p w14:paraId="3E54FDC0" w14:textId="77777777" w:rsidR="00215EA2" w:rsidRPr="00FE6AC6" w:rsidRDefault="00215EA2" w:rsidP="008143B1">
            <w:pPr>
              <w:pStyle w:val="Table"/>
              <w:keepLines w:val="0"/>
              <w:widowControl w:val="0"/>
              <w:spacing w:before="0" w:after="0"/>
              <w:rPr>
                <w:rFonts w:ascii="Times New Roman" w:hAnsi="Times New Roman"/>
                <w:color w:val="000000"/>
                <w:sz w:val="22"/>
                <w:szCs w:val="22"/>
                <w:lang w:val="ru-RU"/>
              </w:rPr>
            </w:pPr>
            <w:r w:rsidRPr="00FE6AC6">
              <w:rPr>
                <w:rFonts w:ascii="Times New Roman" w:hAnsi="Times New Roman"/>
                <w:color w:val="000000"/>
                <w:sz w:val="22"/>
                <w:szCs w:val="22"/>
                <w:lang w:val="bg-BG"/>
              </w:rPr>
              <w:t xml:space="preserve">Голям отговор на </w:t>
            </w:r>
            <w:r w:rsidRPr="00FE6AC6">
              <w:rPr>
                <w:rFonts w:ascii="Times New Roman" w:hAnsi="Times New Roman"/>
                <w:color w:val="000000"/>
                <w:sz w:val="22"/>
                <w:szCs w:val="22"/>
                <w:lang w:val="ru-RU"/>
              </w:rPr>
              <w:t>2</w:t>
            </w:r>
            <w:r w:rsidRPr="00FE6AC6">
              <w:rPr>
                <w:rFonts w:ascii="Times New Roman" w:hAnsi="Times New Roman"/>
                <w:color w:val="000000"/>
                <w:sz w:val="22"/>
                <w:szCs w:val="22"/>
                <w:lang w:val="bg-BG"/>
              </w:rPr>
              <w:t>4-ия месец (%)</w:t>
            </w:r>
          </w:p>
        </w:tc>
        <w:tc>
          <w:tcPr>
            <w:tcW w:w="2693" w:type="dxa"/>
            <w:tcBorders>
              <w:bottom w:val="nil"/>
            </w:tcBorders>
          </w:tcPr>
          <w:p w14:paraId="3E54FDC1"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73/104=70,2%</w:t>
            </w:r>
          </w:p>
        </w:tc>
        <w:tc>
          <w:tcPr>
            <w:tcW w:w="2718" w:type="dxa"/>
            <w:tcBorders>
              <w:bottom w:val="nil"/>
              <w:right w:val="single" w:sz="4" w:space="0" w:color="auto"/>
            </w:tcBorders>
          </w:tcPr>
          <w:p w14:paraId="3E54FDC2"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3/12.25%</w:t>
            </w:r>
          </w:p>
        </w:tc>
      </w:tr>
      <w:tr w:rsidR="00215EA2" w:rsidRPr="00FE6AC6" w14:paraId="3E54FDC7" w14:textId="77777777" w:rsidTr="008143B1">
        <w:trPr>
          <w:cantSplit/>
        </w:trPr>
        <w:tc>
          <w:tcPr>
            <w:tcW w:w="3794" w:type="dxa"/>
            <w:tcBorders>
              <w:left w:val="single" w:sz="4" w:space="0" w:color="auto"/>
              <w:bottom w:val="nil"/>
            </w:tcBorders>
          </w:tcPr>
          <w:p w14:paraId="3E54FDC4" w14:textId="77777777" w:rsidR="00215EA2" w:rsidRPr="00FE6AC6" w:rsidRDefault="00215EA2" w:rsidP="008143B1">
            <w:pPr>
              <w:pStyle w:val="Table"/>
              <w:keepLines w:val="0"/>
              <w:widowControl w:val="0"/>
              <w:spacing w:before="0" w:after="0"/>
              <w:rPr>
                <w:rFonts w:ascii="Times New Roman" w:hAnsi="Times New Roman"/>
                <w:color w:val="000000"/>
                <w:sz w:val="22"/>
                <w:szCs w:val="22"/>
                <w:lang w:val="bg-BG"/>
              </w:rPr>
            </w:pPr>
            <w:r w:rsidRPr="00FE6AC6">
              <w:rPr>
                <w:rFonts w:ascii="Times New Roman" w:hAnsi="Times New Roman"/>
                <w:color w:val="000000"/>
                <w:sz w:val="22"/>
                <w:szCs w:val="22"/>
                <w:lang w:val="bg-BG"/>
              </w:rPr>
              <w:t>Голям отговор на 84-ия месец (%)</w:t>
            </w:r>
          </w:p>
        </w:tc>
        <w:tc>
          <w:tcPr>
            <w:tcW w:w="2693" w:type="dxa"/>
            <w:tcBorders>
              <w:bottom w:val="nil"/>
            </w:tcBorders>
          </w:tcPr>
          <w:p w14:paraId="3E54FDC5"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102/116=87,9%</w:t>
            </w:r>
          </w:p>
        </w:tc>
        <w:tc>
          <w:tcPr>
            <w:tcW w:w="2718" w:type="dxa"/>
            <w:tcBorders>
              <w:bottom w:val="nil"/>
              <w:right w:val="single" w:sz="4" w:space="0" w:color="auto"/>
            </w:tcBorders>
          </w:tcPr>
          <w:p w14:paraId="3E54FDC6" w14:textId="77777777" w:rsidR="00215EA2" w:rsidRPr="00FE6AC6" w:rsidRDefault="00215EA2"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3/4=75%</w:t>
            </w:r>
          </w:p>
        </w:tc>
      </w:tr>
      <w:tr w:rsidR="00215EA2" w:rsidRPr="004015AA" w14:paraId="3E54FDCE" w14:textId="77777777" w:rsidTr="008143B1">
        <w:trPr>
          <w:cantSplit/>
        </w:trPr>
        <w:tc>
          <w:tcPr>
            <w:tcW w:w="9205" w:type="dxa"/>
            <w:gridSpan w:val="3"/>
            <w:tcBorders>
              <w:top w:val="single" w:sz="4" w:space="0" w:color="auto"/>
              <w:left w:val="single" w:sz="4" w:space="0" w:color="auto"/>
              <w:bottom w:val="single" w:sz="4" w:space="0" w:color="auto"/>
              <w:right w:val="single" w:sz="4" w:space="0" w:color="auto"/>
            </w:tcBorders>
          </w:tcPr>
          <w:p w14:paraId="3E54FDC8" w14:textId="77777777" w:rsidR="00215EA2" w:rsidRPr="00FE6AC6" w:rsidRDefault="00215EA2" w:rsidP="008143B1">
            <w:pPr>
              <w:pStyle w:val="Table"/>
              <w:keepNext w:val="0"/>
              <w:keepLines w:val="0"/>
              <w:widowControl w:val="0"/>
              <w:spacing w:before="0" w:after="0"/>
              <w:rPr>
                <w:rFonts w:ascii="Times New Roman" w:hAnsi="Times New Roman"/>
                <w:color w:val="000000"/>
                <w:sz w:val="22"/>
                <w:szCs w:val="22"/>
                <w:lang w:val="ru-RU"/>
              </w:rPr>
            </w:pPr>
            <w:r w:rsidRPr="00FE6AC6">
              <w:rPr>
                <w:rFonts w:ascii="Times New Roman" w:hAnsi="Times New Roman"/>
                <w:color w:val="000000"/>
                <w:sz w:val="22"/>
                <w:szCs w:val="22"/>
                <w:lang w:val="ru-RU"/>
              </w:rPr>
              <w:t xml:space="preserve">* </w:t>
            </w:r>
            <w:r w:rsidRPr="00FE6AC6">
              <w:rPr>
                <w:rFonts w:ascii="Times New Roman" w:hAnsi="Times New Roman"/>
                <w:color w:val="000000"/>
                <w:sz w:val="22"/>
                <w:szCs w:val="22"/>
              </w:rPr>
              <w:t>p</w:t>
            </w:r>
            <w:r w:rsidRPr="00FE6AC6">
              <w:rPr>
                <w:rFonts w:ascii="Times New Roman" w:hAnsi="Times New Roman"/>
                <w:color w:val="000000"/>
                <w:sz w:val="22"/>
                <w:szCs w:val="22"/>
                <w:lang w:val="ru-RU"/>
              </w:rPr>
              <w:t>&lt;0</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ru-RU"/>
              </w:rPr>
              <w:t xml:space="preserve">001, </w:t>
            </w:r>
            <w:r w:rsidRPr="00FE6AC6">
              <w:rPr>
                <w:rFonts w:ascii="Times New Roman" w:hAnsi="Times New Roman"/>
                <w:color w:val="000000"/>
                <w:sz w:val="22"/>
                <w:szCs w:val="22"/>
              </w:rPr>
              <w:t>Fischer</w:t>
            </w:r>
            <w:r w:rsidR="008B1B69" w:rsidRPr="00FE6AC6">
              <w:rPr>
                <w:rFonts w:ascii="Times New Roman" w:hAnsi="Times New Roman"/>
                <w:color w:val="000000"/>
                <w:sz w:val="22"/>
                <w:szCs w:val="22"/>
                <w:lang w:val="ru-RU"/>
              </w:rPr>
              <w:t xml:space="preserve"> </w:t>
            </w:r>
            <w:r w:rsidR="008B1B69" w:rsidRPr="00FE6AC6">
              <w:rPr>
                <w:rFonts w:ascii="Times New Roman" w:hAnsi="Times New Roman"/>
                <w:color w:val="000000"/>
                <w:sz w:val="22"/>
                <w:szCs w:val="22"/>
              </w:rPr>
              <w:t>exact</w:t>
            </w:r>
            <w:r w:rsidR="008B1B69" w:rsidRPr="00FE6AC6">
              <w:rPr>
                <w:rFonts w:ascii="Times New Roman" w:hAnsi="Times New Roman"/>
                <w:color w:val="000000"/>
                <w:sz w:val="22"/>
                <w:szCs w:val="22"/>
                <w:lang w:val="ru-RU"/>
              </w:rPr>
              <w:t xml:space="preserve"> </w:t>
            </w:r>
            <w:r w:rsidR="008B1B69" w:rsidRPr="00FE6AC6">
              <w:rPr>
                <w:rFonts w:ascii="Times New Roman" w:hAnsi="Times New Roman"/>
                <w:color w:val="000000"/>
                <w:sz w:val="22"/>
                <w:szCs w:val="22"/>
              </w:rPr>
              <w:t>test</w:t>
            </w:r>
          </w:p>
          <w:p w14:paraId="3E54FDC9" w14:textId="77777777" w:rsidR="00215EA2" w:rsidRPr="00FE6AC6" w:rsidRDefault="00215EA2" w:rsidP="008143B1">
            <w:pPr>
              <w:pStyle w:val="Table"/>
              <w:keepNext w:val="0"/>
              <w:keepLines w:val="0"/>
              <w:widowControl w:val="0"/>
              <w:spacing w:before="0" w:after="0"/>
              <w:rPr>
                <w:rFonts w:ascii="Times New Roman" w:hAnsi="Times New Roman"/>
                <w:color w:val="000000"/>
                <w:sz w:val="22"/>
                <w:szCs w:val="22"/>
                <w:lang w:val="ru-RU"/>
              </w:rPr>
            </w:pPr>
            <w:r w:rsidRPr="00FE6AC6">
              <w:rPr>
                <w:rFonts w:ascii="Times New Roman" w:hAnsi="Times New Roman"/>
                <w:color w:val="000000"/>
                <w:sz w:val="22"/>
                <w:szCs w:val="22"/>
                <w:lang w:val="ru-RU"/>
              </w:rPr>
              <w:t xml:space="preserve">** </w:t>
            </w:r>
            <w:r w:rsidR="00D70EF3" w:rsidRPr="00FE6AC6">
              <w:rPr>
                <w:rFonts w:ascii="Times New Roman" w:hAnsi="Times New Roman"/>
                <w:color w:val="000000"/>
                <w:sz w:val="22"/>
                <w:szCs w:val="22"/>
                <w:lang w:val="ru-RU"/>
              </w:rPr>
              <w:t xml:space="preserve">изчислените </w:t>
            </w:r>
            <w:r w:rsidRPr="00FE6AC6">
              <w:rPr>
                <w:rFonts w:ascii="Times New Roman" w:hAnsi="Times New Roman"/>
                <w:color w:val="000000"/>
                <w:sz w:val="22"/>
                <w:szCs w:val="22"/>
                <w:lang w:val="ru-RU"/>
              </w:rPr>
              <w:t>проценти</w:t>
            </w:r>
            <w:r w:rsidR="00D70EF3" w:rsidRPr="00FE6AC6">
              <w:rPr>
                <w:rFonts w:ascii="Times New Roman" w:hAnsi="Times New Roman"/>
                <w:color w:val="000000"/>
                <w:sz w:val="22"/>
                <w:szCs w:val="22"/>
                <w:lang w:val="ru-RU"/>
              </w:rPr>
              <w:t xml:space="preserve"> на</w:t>
            </w:r>
            <w:r w:rsidRPr="00FE6AC6">
              <w:rPr>
                <w:rFonts w:ascii="Times New Roman" w:hAnsi="Times New Roman"/>
                <w:color w:val="000000"/>
                <w:sz w:val="22"/>
                <w:szCs w:val="22"/>
                <w:lang w:val="ru-RU"/>
              </w:rPr>
              <w:t xml:space="preserve"> молекулярен отговор са на база на наличните проби</w:t>
            </w:r>
          </w:p>
          <w:p w14:paraId="3E54FDCA" w14:textId="77777777" w:rsidR="00215EA2" w:rsidRPr="00FE6AC6" w:rsidRDefault="00215EA2" w:rsidP="008143B1">
            <w:pPr>
              <w:widowControl w:val="0"/>
              <w:spacing w:line="240" w:lineRule="auto"/>
              <w:rPr>
                <w:color w:val="000000"/>
                <w:szCs w:val="22"/>
                <w:lang w:val="bg-BG"/>
              </w:rPr>
            </w:pPr>
            <w:r w:rsidRPr="00FE6AC6">
              <w:rPr>
                <w:b/>
                <w:color w:val="000000"/>
                <w:szCs w:val="22"/>
                <w:lang w:val="bg-BG"/>
              </w:rPr>
              <w:t>Критерии за хематологичен отговор (всички отговори трябва да се потвърдят след ≥4 седмици):</w:t>
            </w:r>
          </w:p>
          <w:p w14:paraId="3E54FDCB" w14:textId="77777777" w:rsidR="00215EA2" w:rsidRPr="00FE6AC6" w:rsidRDefault="00215EA2" w:rsidP="008143B1">
            <w:pPr>
              <w:widowControl w:val="0"/>
              <w:spacing w:line="240" w:lineRule="auto"/>
              <w:rPr>
                <w:color w:val="000000"/>
                <w:szCs w:val="22"/>
                <w:lang w:val="bg-BG"/>
              </w:rPr>
            </w:pPr>
            <w:r w:rsidRPr="00FE6AC6">
              <w:rPr>
                <w:color w:val="000000"/>
                <w:szCs w:val="22"/>
                <w:lang w:val="bg-BG"/>
              </w:rPr>
              <w:t>Брой левкоцити (БЛ) &lt;10</w:t>
            </w:r>
            <w:r w:rsidRPr="00FE6AC6">
              <w:rPr>
                <w:color w:val="000000"/>
                <w:szCs w:val="22"/>
                <w:lang w:val="en-US"/>
              </w:rPr>
              <w:t> </w:t>
            </w:r>
            <w:r w:rsidRPr="00FE6AC6">
              <w:rPr>
                <w:color w:val="000000"/>
                <w:szCs w:val="22"/>
                <w:lang w:val="bg-BG"/>
              </w:rPr>
              <w:t>x</w:t>
            </w:r>
            <w:r w:rsidRPr="00FE6AC6">
              <w:rPr>
                <w:color w:val="000000"/>
                <w:szCs w:val="22"/>
                <w:lang w:val="en-US"/>
              </w:rPr>
              <w:t> </w:t>
            </w:r>
            <w:r w:rsidRPr="00FE6AC6">
              <w:rPr>
                <w:color w:val="000000"/>
                <w:szCs w:val="22"/>
                <w:lang w:val="bg-BG"/>
              </w:rPr>
              <w:t>10</w:t>
            </w:r>
            <w:r w:rsidRPr="00FE6AC6">
              <w:rPr>
                <w:color w:val="000000"/>
                <w:szCs w:val="22"/>
                <w:vertAlign w:val="superscript"/>
                <w:lang w:val="bg-BG"/>
              </w:rPr>
              <w:t>9</w:t>
            </w:r>
            <w:r w:rsidRPr="00FE6AC6">
              <w:rPr>
                <w:color w:val="000000"/>
                <w:szCs w:val="22"/>
                <w:lang w:val="bg-BG"/>
              </w:rPr>
              <w:t>/l, тромбоцити &lt;450</w:t>
            </w:r>
            <w:r w:rsidRPr="00FE6AC6">
              <w:rPr>
                <w:color w:val="000000"/>
                <w:szCs w:val="22"/>
                <w:lang w:val="en-US"/>
              </w:rPr>
              <w:t> </w:t>
            </w:r>
            <w:r w:rsidRPr="00FE6AC6">
              <w:rPr>
                <w:color w:val="000000"/>
                <w:szCs w:val="22"/>
                <w:lang w:val="bg-BG"/>
              </w:rPr>
              <w:t>x</w:t>
            </w:r>
            <w:r w:rsidRPr="00FE6AC6">
              <w:rPr>
                <w:color w:val="000000"/>
                <w:szCs w:val="22"/>
                <w:lang w:val="en-US"/>
              </w:rPr>
              <w:t> </w:t>
            </w:r>
            <w:r w:rsidRPr="00FE6AC6">
              <w:rPr>
                <w:color w:val="000000"/>
                <w:szCs w:val="22"/>
                <w:lang w:val="bg-BG"/>
              </w:rPr>
              <w:t>10</w:t>
            </w:r>
            <w:r w:rsidRPr="00FE6AC6">
              <w:rPr>
                <w:color w:val="000000"/>
                <w:szCs w:val="22"/>
                <w:vertAlign w:val="superscript"/>
                <w:lang w:val="bg-BG"/>
              </w:rPr>
              <w:t>9</w:t>
            </w:r>
            <w:r w:rsidRPr="00FE6AC6">
              <w:rPr>
                <w:color w:val="000000"/>
                <w:szCs w:val="22"/>
                <w:lang w:val="bg-BG"/>
              </w:rPr>
              <w:t>/l, миелоцити + метамиелоцити &lt;5% в кръвта, без бласти и промиелоцити в кръв</w:t>
            </w:r>
            <w:r w:rsidR="00D70EF3" w:rsidRPr="00FE6AC6">
              <w:rPr>
                <w:color w:val="000000"/>
                <w:szCs w:val="22"/>
                <w:lang w:val="bg-BG"/>
              </w:rPr>
              <w:t>та</w:t>
            </w:r>
            <w:r w:rsidRPr="00FE6AC6">
              <w:rPr>
                <w:color w:val="000000"/>
                <w:szCs w:val="22"/>
                <w:lang w:val="bg-BG"/>
              </w:rPr>
              <w:t>, базофили &lt;20%, липса на екстрамедуларно засягане</w:t>
            </w:r>
          </w:p>
          <w:p w14:paraId="3E54FDCC" w14:textId="77777777" w:rsidR="00215EA2" w:rsidRPr="00FE6AC6" w:rsidRDefault="00215EA2" w:rsidP="008143B1">
            <w:pPr>
              <w:widowControl w:val="0"/>
              <w:spacing w:line="240" w:lineRule="auto"/>
              <w:rPr>
                <w:color w:val="000000"/>
                <w:szCs w:val="22"/>
                <w:lang w:val="bg-BG"/>
              </w:rPr>
            </w:pPr>
            <w:r w:rsidRPr="00FE6AC6">
              <w:rPr>
                <w:b/>
                <w:color w:val="000000"/>
                <w:szCs w:val="22"/>
                <w:lang w:val="bg-BG"/>
              </w:rPr>
              <w:t xml:space="preserve">Критерии за цитогенетичен отговор: </w:t>
            </w:r>
            <w:r w:rsidRPr="00FE6AC6">
              <w:rPr>
                <w:color w:val="000000"/>
                <w:szCs w:val="22"/>
                <w:lang w:val="bg-BG"/>
              </w:rPr>
              <w:t>пълен (0% Ph+ метафазни пластинки), частичен (1</w:t>
            </w:r>
            <w:r w:rsidRPr="00FE6AC6">
              <w:rPr>
                <w:color w:val="000000"/>
                <w:szCs w:val="22"/>
                <w:lang w:val="bg-BG"/>
              </w:rPr>
              <w:noBreakHyphen/>
              <w:t>35%), малък (36</w:t>
            </w:r>
            <w:r w:rsidRPr="00FE6AC6">
              <w:rPr>
                <w:color w:val="000000"/>
                <w:szCs w:val="22"/>
                <w:lang w:val="bg-BG"/>
              </w:rPr>
              <w:noBreakHyphen/>
              <w:t>65%) или минимален (66</w:t>
            </w:r>
            <w:r w:rsidRPr="00FE6AC6">
              <w:rPr>
                <w:color w:val="000000"/>
                <w:szCs w:val="22"/>
                <w:lang w:val="bg-BG"/>
              </w:rPr>
              <w:noBreakHyphen/>
              <w:t>95%). Големият отговор (0</w:t>
            </w:r>
            <w:r w:rsidRPr="00FE6AC6">
              <w:rPr>
                <w:color w:val="000000"/>
                <w:szCs w:val="22"/>
                <w:lang w:val="bg-BG"/>
              </w:rPr>
              <w:noBreakHyphen/>
              <w:t xml:space="preserve">35%) </w:t>
            </w:r>
            <w:r w:rsidR="00CA55C9" w:rsidRPr="00FE6AC6">
              <w:rPr>
                <w:color w:val="000000"/>
                <w:szCs w:val="22"/>
                <w:lang w:val="bg-BG"/>
              </w:rPr>
              <w:t>включва</w:t>
            </w:r>
            <w:r w:rsidRPr="00FE6AC6">
              <w:rPr>
                <w:color w:val="000000"/>
                <w:szCs w:val="22"/>
                <w:lang w:val="bg-BG"/>
              </w:rPr>
              <w:t xml:space="preserve"> пълния и частичен отговор.</w:t>
            </w:r>
          </w:p>
          <w:p w14:paraId="3E54FDCD" w14:textId="77777777" w:rsidR="00215EA2" w:rsidRPr="00FE6AC6" w:rsidRDefault="00215EA2" w:rsidP="008143B1">
            <w:pPr>
              <w:pStyle w:val="Table"/>
              <w:keepNext w:val="0"/>
              <w:keepLines w:val="0"/>
              <w:widowControl w:val="0"/>
              <w:spacing w:before="0" w:after="0"/>
              <w:rPr>
                <w:rFonts w:ascii="Times New Roman" w:hAnsi="Times New Roman"/>
                <w:color w:val="000000"/>
                <w:sz w:val="22"/>
                <w:szCs w:val="22"/>
                <w:lang w:val="bg-BG"/>
              </w:rPr>
            </w:pPr>
            <w:r w:rsidRPr="00FE6AC6">
              <w:rPr>
                <w:rFonts w:ascii="Times New Roman" w:hAnsi="Times New Roman"/>
                <w:b/>
                <w:color w:val="000000"/>
                <w:sz w:val="22"/>
                <w:szCs w:val="22"/>
                <w:lang w:val="bg-BG"/>
              </w:rPr>
              <w:t xml:space="preserve">Критерии за голям молекулярен отговор: </w:t>
            </w:r>
            <w:r w:rsidRPr="00FE6AC6">
              <w:rPr>
                <w:rFonts w:ascii="Times New Roman" w:hAnsi="Times New Roman"/>
                <w:color w:val="000000"/>
                <w:sz w:val="22"/>
                <w:szCs w:val="22"/>
                <w:lang w:val="bg-BG"/>
              </w:rPr>
              <w:t xml:space="preserve">понижение </w:t>
            </w:r>
            <w:r w:rsidR="00CA55C9" w:rsidRPr="00FE6AC6">
              <w:rPr>
                <w:rFonts w:ascii="Times New Roman" w:hAnsi="Times New Roman"/>
                <w:color w:val="000000"/>
                <w:sz w:val="22"/>
                <w:szCs w:val="22"/>
                <w:lang w:val="bg-BG"/>
              </w:rPr>
              <w:t xml:space="preserve">в периферната кръв </w:t>
            </w:r>
            <w:r w:rsidRPr="00FE6AC6">
              <w:rPr>
                <w:rFonts w:ascii="Times New Roman" w:hAnsi="Times New Roman"/>
                <w:color w:val="000000"/>
                <w:sz w:val="22"/>
                <w:szCs w:val="22"/>
                <w:lang w:val="bg-BG"/>
              </w:rPr>
              <w:t>с ≥3 логаритмични единици на количеството Bcr-Abl транскрипти (измерено чрез количествен PCR с обратна транскриптаза в реално време)</w:t>
            </w:r>
            <w:r w:rsidR="00CA55C9" w:rsidRPr="00FE6AC6">
              <w:rPr>
                <w:rFonts w:ascii="Times New Roman" w:hAnsi="Times New Roman"/>
                <w:color w:val="000000"/>
                <w:sz w:val="22"/>
                <w:szCs w:val="22"/>
                <w:lang w:val="bg-BG"/>
              </w:rPr>
              <w:t>,</w:t>
            </w:r>
            <w:r w:rsidRPr="00FE6AC6">
              <w:rPr>
                <w:rFonts w:ascii="Times New Roman" w:hAnsi="Times New Roman"/>
                <w:color w:val="000000"/>
                <w:sz w:val="22"/>
                <w:szCs w:val="22"/>
                <w:lang w:val="bg-BG"/>
              </w:rPr>
              <w:t xml:space="preserve"> спрямо стандартизирано изходно ниво.</w:t>
            </w:r>
          </w:p>
        </w:tc>
      </w:tr>
    </w:tbl>
    <w:p w14:paraId="3E54FDCF" w14:textId="77777777" w:rsidR="00215EA2" w:rsidRPr="00FE6AC6" w:rsidRDefault="00215EA2" w:rsidP="0063575E">
      <w:pPr>
        <w:pStyle w:val="EndnoteText"/>
        <w:widowControl w:val="0"/>
        <w:rPr>
          <w:color w:val="000000"/>
          <w:lang w:val="bg-BG"/>
        </w:rPr>
      </w:pPr>
    </w:p>
    <w:p w14:paraId="3E54FDD0" w14:textId="77777777" w:rsidR="00C065B5" w:rsidRPr="00FE6AC6" w:rsidRDefault="00A51440" w:rsidP="0063575E">
      <w:pPr>
        <w:pStyle w:val="EndnoteText"/>
        <w:widowControl w:val="0"/>
        <w:rPr>
          <w:color w:val="000000"/>
          <w:lang w:val="bg-BG"/>
        </w:rPr>
      </w:pPr>
      <w:r w:rsidRPr="00FE6AC6">
        <w:rPr>
          <w:color w:val="000000"/>
          <w:lang w:val="bg-BG"/>
        </w:rPr>
        <w:t>Степ</w:t>
      </w:r>
      <w:r w:rsidR="00975696" w:rsidRPr="00FE6AC6">
        <w:rPr>
          <w:color w:val="000000"/>
          <w:lang w:val="bg-BG"/>
        </w:rPr>
        <w:t>е</w:t>
      </w:r>
      <w:r w:rsidRPr="00FE6AC6">
        <w:rPr>
          <w:color w:val="000000"/>
          <w:lang w:val="bg-BG"/>
        </w:rPr>
        <w:t>нта на постигане на пълен хематологичен отговор, голям цитогенетичен отговор и пълен цитогенетичен отговор</w:t>
      </w:r>
      <w:r w:rsidR="00C065B5" w:rsidRPr="00FE6AC6">
        <w:rPr>
          <w:color w:val="000000"/>
          <w:lang w:val="bg-BG"/>
        </w:rPr>
        <w:t xml:space="preserve"> </w:t>
      </w:r>
      <w:r w:rsidR="00FB01E8" w:rsidRPr="00FE6AC6">
        <w:rPr>
          <w:color w:val="000000"/>
          <w:lang w:val="bg-BG"/>
        </w:rPr>
        <w:t>на</w:t>
      </w:r>
      <w:r w:rsidRPr="00FE6AC6">
        <w:rPr>
          <w:color w:val="000000"/>
          <w:lang w:val="bg-BG"/>
        </w:rPr>
        <w:t xml:space="preserve"> първа линия на терапия </w:t>
      </w:r>
      <w:r w:rsidR="00FB01E8" w:rsidRPr="00FE6AC6">
        <w:rPr>
          <w:color w:val="000000"/>
          <w:lang w:val="bg-BG"/>
        </w:rPr>
        <w:t>е била</w:t>
      </w:r>
      <w:r w:rsidRPr="00FE6AC6">
        <w:rPr>
          <w:color w:val="000000"/>
          <w:lang w:val="bg-BG"/>
        </w:rPr>
        <w:t xml:space="preserve"> оценява</w:t>
      </w:r>
      <w:r w:rsidR="00FB01E8" w:rsidRPr="00FE6AC6">
        <w:rPr>
          <w:color w:val="000000"/>
          <w:lang w:val="bg-BG"/>
        </w:rPr>
        <w:t>на</w:t>
      </w:r>
      <w:r w:rsidRPr="00FE6AC6">
        <w:rPr>
          <w:color w:val="000000"/>
          <w:lang w:val="bg-BG"/>
        </w:rPr>
        <w:t xml:space="preserve"> по метода на</w:t>
      </w:r>
      <w:r w:rsidR="00C065B5" w:rsidRPr="00FE6AC6">
        <w:rPr>
          <w:color w:val="000000"/>
          <w:lang w:val="bg-BG"/>
        </w:rPr>
        <w:t xml:space="preserve"> </w:t>
      </w:r>
      <w:r w:rsidR="00C065B5" w:rsidRPr="00FE6AC6">
        <w:rPr>
          <w:color w:val="000000"/>
        </w:rPr>
        <w:t>Kaplan</w:t>
      </w:r>
      <w:r w:rsidR="00C065B5" w:rsidRPr="00FE6AC6">
        <w:rPr>
          <w:color w:val="000000"/>
          <w:lang w:val="bg-BG"/>
        </w:rPr>
        <w:t>-</w:t>
      </w:r>
      <w:r w:rsidR="00C065B5" w:rsidRPr="00FE6AC6">
        <w:rPr>
          <w:color w:val="000000"/>
        </w:rPr>
        <w:t>Meier</w:t>
      </w:r>
      <w:r w:rsidR="00C065B5" w:rsidRPr="00FE6AC6">
        <w:rPr>
          <w:color w:val="000000"/>
          <w:lang w:val="bg-BG"/>
        </w:rPr>
        <w:t xml:space="preserve">, </w:t>
      </w:r>
      <w:r w:rsidRPr="00FE6AC6">
        <w:rPr>
          <w:color w:val="000000"/>
          <w:lang w:val="bg-BG"/>
        </w:rPr>
        <w:t xml:space="preserve">при който </w:t>
      </w:r>
      <w:r w:rsidR="00FB01E8" w:rsidRPr="00FE6AC6">
        <w:rPr>
          <w:color w:val="000000"/>
          <w:lang w:val="bg-BG"/>
        </w:rPr>
        <w:t xml:space="preserve">пациентите, неотговорили на лечението са били отстранени от анализа към </w:t>
      </w:r>
      <w:r w:rsidR="005C70FB" w:rsidRPr="00FE6AC6">
        <w:rPr>
          <w:color w:val="000000"/>
          <w:lang w:val="bg-BG"/>
        </w:rPr>
        <w:t>датата на последния преглед.</w:t>
      </w:r>
      <w:r w:rsidR="00C065B5" w:rsidRPr="00FE6AC6">
        <w:rPr>
          <w:color w:val="000000"/>
          <w:lang w:val="bg-BG"/>
        </w:rPr>
        <w:t xml:space="preserve"> </w:t>
      </w:r>
      <w:r w:rsidR="005C70FB" w:rsidRPr="00FE6AC6">
        <w:rPr>
          <w:color w:val="000000"/>
          <w:lang w:val="bg-BG"/>
        </w:rPr>
        <w:t>Използвайки този метод</w:t>
      </w:r>
      <w:r w:rsidR="00C065B5" w:rsidRPr="00FE6AC6">
        <w:rPr>
          <w:color w:val="000000"/>
          <w:lang w:val="bg-BG"/>
        </w:rPr>
        <w:t xml:space="preserve">, </w:t>
      </w:r>
      <w:r w:rsidR="005C70FB" w:rsidRPr="00FE6AC6">
        <w:rPr>
          <w:color w:val="000000"/>
          <w:lang w:val="bg-BG"/>
        </w:rPr>
        <w:t>ст</w:t>
      </w:r>
      <w:r w:rsidR="00F65B32" w:rsidRPr="00FE6AC6">
        <w:rPr>
          <w:color w:val="000000"/>
          <w:lang w:val="bg-BG"/>
        </w:rPr>
        <w:t>е</w:t>
      </w:r>
      <w:r w:rsidR="005C70FB" w:rsidRPr="00FE6AC6">
        <w:rPr>
          <w:color w:val="000000"/>
          <w:lang w:val="bg-BG"/>
        </w:rPr>
        <w:t xml:space="preserve">пените на кумулативен отговор </w:t>
      </w:r>
      <w:r w:rsidR="00FB01E8" w:rsidRPr="00FE6AC6">
        <w:rPr>
          <w:color w:val="000000"/>
          <w:lang w:val="bg-BG"/>
        </w:rPr>
        <w:t>на</w:t>
      </w:r>
      <w:r w:rsidR="005C70FB" w:rsidRPr="00FE6AC6">
        <w:rPr>
          <w:color w:val="000000"/>
          <w:lang w:val="bg-BG"/>
        </w:rPr>
        <w:t xml:space="preserve"> първа линия терапия с </w:t>
      </w:r>
      <w:r w:rsidR="00C065B5" w:rsidRPr="00FE6AC6">
        <w:rPr>
          <w:color w:val="000000"/>
        </w:rPr>
        <w:t>Glivec</w:t>
      </w:r>
      <w:r w:rsidR="00C065B5" w:rsidRPr="00FE6AC6">
        <w:rPr>
          <w:color w:val="000000"/>
          <w:szCs w:val="22"/>
          <w:lang w:val="bg-BG"/>
        </w:rPr>
        <w:t xml:space="preserve"> </w:t>
      </w:r>
      <w:r w:rsidR="005C70FB" w:rsidRPr="00FE6AC6">
        <w:rPr>
          <w:color w:val="000000"/>
          <w:szCs w:val="22"/>
          <w:lang w:val="bg-BG"/>
        </w:rPr>
        <w:t xml:space="preserve">се подобряват от </w:t>
      </w:r>
      <w:r w:rsidR="00C065B5" w:rsidRPr="00FE6AC6">
        <w:rPr>
          <w:color w:val="000000"/>
          <w:szCs w:val="22"/>
          <w:lang w:val="bg-BG"/>
        </w:rPr>
        <w:t>12</w:t>
      </w:r>
      <w:r w:rsidR="00C065B5" w:rsidRPr="00FE6AC6">
        <w:rPr>
          <w:color w:val="000000"/>
          <w:szCs w:val="22"/>
        </w:rPr>
        <w:t> </w:t>
      </w:r>
      <w:r w:rsidR="00FB01E8" w:rsidRPr="00FE6AC6">
        <w:rPr>
          <w:color w:val="000000"/>
          <w:szCs w:val="22"/>
          <w:lang w:val="bg-BG"/>
        </w:rPr>
        <w:t>месечното</w:t>
      </w:r>
      <w:r w:rsidR="005C70FB" w:rsidRPr="00FE6AC6">
        <w:rPr>
          <w:color w:val="000000"/>
          <w:szCs w:val="22"/>
          <w:lang w:val="bg-BG"/>
        </w:rPr>
        <w:t xml:space="preserve"> лечение</w:t>
      </w:r>
      <w:r w:rsidR="00C065B5" w:rsidRPr="00FE6AC6">
        <w:rPr>
          <w:color w:val="000000"/>
          <w:szCs w:val="22"/>
          <w:lang w:val="bg-BG"/>
        </w:rPr>
        <w:t xml:space="preserve"> </w:t>
      </w:r>
      <w:r w:rsidR="00FB01E8" w:rsidRPr="00FE6AC6">
        <w:rPr>
          <w:color w:val="000000"/>
          <w:szCs w:val="22"/>
          <w:lang w:val="bg-BG"/>
        </w:rPr>
        <w:t>до</w:t>
      </w:r>
      <w:r w:rsidR="00C065B5" w:rsidRPr="00FE6AC6">
        <w:rPr>
          <w:color w:val="000000"/>
          <w:szCs w:val="22"/>
          <w:lang w:val="bg-BG"/>
        </w:rPr>
        <w:t xml:space="preserve"> </w:t>
      </w:r>
      <w:r w:rsidR="008F653A" w:rsidRPr="00FE6AC6">
        <w:rPr>
          <w:color w:val="000000"/>
          <w:szCs w:val="22"/>
          <w:lang w:val="bg-BG"/>
        </w:rPr>
        <w:t>84</w:t>
      </w:r>
      <w:r w:rsidR="00034AFF" w:rsidRPr="00FE6AC6">
        <w:rPr>
          <w:color w:val="000000"/>
          <w:szCs w:val="22"/>
          <w:lang w:val="de-CH"/>
        </w:rPr>
        <w:t> </w:t>
      </w:r>
      <w:r w:rsidR="00FB01E8" w:rsidRPr="00FE6AC6">
        <w:rPr>
          <w:color w:val="000000"/>
          <w:szCs w:val="22"/>
          <w:lang w:val="bg-BG"/>
        </w:rPr>
        <w:t>месечното,</w:t>
      </w:r>
      <w:r w:rsidR="005C70FB" w:rsidRPr="00FE6AC6">
        <w:rPr>
          <w:color w:val="000000"/>
          <w:szCs w:val="22"/>
          <w:lang w:val="bg-BG"/>
        </w:rPr>
        <w:t xml:space="preserve"> както следва</w:t>
      </w:r>
      <w:r w:rsidR="00C065B5" w:rsidRPr="00FE6AC6">
        <w:rPr>
          <w:color w:val="000000"/>
          <w:szCs w:val="22"/>
          <w:lang w:val="bg-BG"/>
        </w:rPr>
        <w:t xml:space="preserve">: </w:t>
      </w:r>
      <w:r w:rsidR="00C065B5" w:rsidRPr="00FE6AC6">
        <w:rPr>
          <w:color w:val="000000"/>
          <w:szCs w:val="22"/>
        </w:rPr>
        <w:t>CHR</w:t>
      </w:r>
      <w:r w:rsidR="00C065B5" w:rsidRPr="00FE6AC6">
        <w:rPr>
          <w:color w:val="000000"/>
          <w:szCs w:val="22"/>
          <w:lang w:val="bg-BG"/>
        </w:rPr>
        <w:t xml:space="preserve"> </w:t>
      </w:r>
      <w:r w:rsidR="007A1134" w:rsidRPr="00FE6AC6">
        <w:rPr>
          <w:color w:val="000000"/>
          <w:szCs w:val="22"/>
          <w:lang w:val="bg-BG"/>
        </w:rPr>
        <w:t>от</w:t>
      </w:r>
      <w:r w:rsidR="00C065B5" w:rsidRPr="00FE6AC6">
        <w:rPr>
          <w:color w:val="000000"/>
          <w:szCs w:val="22"/>
          <w:lang w:val="bg-BG"/>
        </w:rPr>
        <w:t xml:space="preserve"> 96</w:t>
      </w:r>
      <w:r w:rsidR="007A1134" w:rsidRPr="00FE6AC6">
        <w:rPr>
          <w:color w:val="000000"/>
          <w:szCs w:val="22"/>
          <w:lang w:val="bg-BG"/>
        </w:rPr>
        <w:t>,</w:t>
      </w:r>
      <w:r w:rsidR="00C065B5" w:rsidRPr="00FE6AC6">
        <w:rPr>
          <w:color w:val="000000"/>
          <w:szCs w:val="22"/>
          <w:lang w:val="bg-BG"/>
        </w:rPr>
        <w:t xml:space="preserve">4% </w:t>
      </w:r>
      <w:r w:rsidR="007A1134" w:rsidRPr="00FE6AC6">
        <w:rPr>
          <w:color w:val="000000"/>
          <w:szCs w:val="22"/>
          <w:lang w:val="bg-BG"/>
        </w:rPr>
        <w:t>на</w:t>
      </w:r>
      <w:r w:rsidR="00C065B5" w:rsidRPr="00FE6AC6">
        <w:rPr>
          <w:color w:val="000000"/>
          <w:szCs w:val="22"/>
          <w:lang w:val="bg-BG"/>
        </w:rPr>
        <w:t xml:space="preserve"> 98</w:t>
      </w:r>
      <w:r w:rsidR="007A1134" w:rsidRPr="00FE6AC6">
        <w:rPr>
          <w:color w:val="000000"/>
          <w:szCs w:val="22"/>
          <w:lang w:val="bg-BG"/>
        </w:rPr>
        <w:t>,</w:t>
      </w:r>
      <w:r w:rsidR="00C065B5" w:rsidRPr="00FE6AC6">
        <w:rPr>
          <w:color w:val="000000"/>
          <w:szCs w:val="22"/>
          <w:lang w:val="bg-BG"/>
        </w:rPr>
        <w:t xml:space="preserve">4% </w:t>
      </w:r>
      <w:r w:rsidR="006D5353" w:rsidRPr="00FE6AC6">
        <w:rPr>
          <w:color w:val="000000"/>
          <w:szCs w:val="22"/>
          <w:lang w:val="bg-BG"/>
        </w:rPr>
        <w:t>и</w:t>
      </w:r>
      <w:r w:rsidR="00C065B5" w:rsidRPr="00FE6AC6">
        <w:rPr>
          <w:color w:val="000000"/>
          <w:szCs w:val="22"/>
          <w:lang w:val="bg-BG"/>
        </w:rPr>
        <w:t xml:space="preserve"> </w:t>
      </w:r>
      <w:r w:rsidR="00C065B5" w:rsidRPr="00FE6AC6">
        <w:rPr>
          <w:color w:val="000000"/>
          <w:szCs w:val="22"/>
        </w:rPr>
        <w:t>CCyR</w:t>
      </w:r>
      <w:r w:rsidR="00C065B5" w:rsidRPr="00FE6AC6">
        <w:rPr>
          <w:color w:val="000000"/>
          <w:szCs w:val="22"/>
          <w:lang w:val="bg-BG"/>
        </w:rPr>
        <w:t xml:space="preserve"> </w:t>
      </w:r>
      <w:r w:rsidR="007A1134" w:rsidRPr="00FE6AC6">
        <w:rPr>
          <w:color w:val="000000"/>
          <w:szCs w:val="22"/>
          <w:lang w:val="bg-BG"/>
        </w:rPr>
        <w:t>от</w:t>
      </w:r>
      <w:r w:rsidR="00C065B5" w:rsidRPr="00FE6AC6">
        <w:rPr>
          <w:color w:val="000000"/>
          <w:szCs w:val="22"/>
          <w:lang w:val="bg-BG"/>
        </w:rPr>
        <w:t xml:space="preserve"> 69</w:t>
      </w:r>
      <w:r w:rsidR="007A1134" w:rsidRPr="00FE6AC6">
        <w:rPr>
          <w:color w:val="000000"/>
          <w:szCs w:val="22"/>
          <w:lang w:val="bg-BG"/>
        </w:rPr>
        <w:t>,</w:t>
      </w:r>
      <w:r w:rsidR="00C065B5" w:rsidRPr="00FE6AC6">
        <w:rPr>
          <w:color w:val="000000"/>
          <w:szCs w:val="22"/>
          <w:lang w:val="bg-BG"/>
        </w:rPr>
        <w:t xml:space="preserve">5% </w:t>
      </w:r>
      <w:r w:rsidR="007A1134" w:rsidRPr="00FE6AC6">
        <w:rPr>
          <w:color w:val="000000"/>
          <w:szCs w:val="22"/>
          <w:lang w:val="bg-BG"/>
        </w:rPr>
        <w:t>на</w:t>
      </w:r>
      <w:r w:rsidR="00C065B5" w:rsidRPr="00FE6AC6">
        <w:rPr>
          <w:color w:val="000000"/>
          <w:szCs w:val="22"/>
          <w:lang w:val="bg-BG"/>
        </w:rPr>
        <w:t xml:space="preserve"> </w:t>
      </w:r>
      <w:r w:rsidR="008F653A" w:rsidRPr="00FE6AC6">
        <w:rPr>
          <w:color w:val="000000"/>
          <w:szCs w:val="22"/>
          <w:lang w:val="bg-BG"/>
        </w:rPr>
        <w:t>87,2</w:t>
      </w:r>
      <w:r w:rsidR="00C065B5" w:rsidRPr="00FE6AC6">
        <w:rPr>
          <w:color w:val="000000"/>
          <w:szCs w:val="22"/>
          <w:lang w:val="bg-BG"/>
        </w:rPr>
        <w:t xml:space="preserve">%, </w:t>
      </w:r>
      <w:r w:rsidR="007A1134" w:rsidRPr="00FE6AC6">
        <w:rPr>
          <w:color w:val="000000"/>
          <w:szCs w:val="22"/>
          <w:lang w:val="bg-BG"/>
        </w:rPr>
        <w:t>съответно</w:t>
      </w:r>
      <w:r w:rsidR="00C065B5" w:rsidRPr="00FE6AC6">
        <w:rPr>
          <w:color w:val="000000"/>
          <w:lang w:val="bg-BG"/>
        </w:rPr>
        <w:t>.</w:t>
      </w:r>
    </w:p>
    <w:p w14:paraId="3E54FDD1" w14:textId="77777777" w:rsidR="00C065B5" w:rsidRPr="00FE6AC6" w:rsidRDefault="00C065B5" w:rsidP="0063575E">
      <w:pPr>
        <w:pStyle w:val="EndnoteText"/>
        <w:widowControl w:val="0"/>
        <w:rPr>
          <w:color w:val="000000"/>
          <w:lang w:val="bg-BG"/>
        </w:rPr>
      </w:pPr>
    </w:p>
    <w:p w14:paraId="3E54FDD2" w14:textId="77777777" w:rsidR="00C065B5" w:rsidRPr="00FE6AC6" w:rsidRDefault="007A1134" w:rsidP="0063575E">
      <w:pPr>
        <w:pStyle w:val="EndnoteText"/>
        <w:widowControl w:val="0"/>
        <w:rPr>
          <w:color w:val="000000"/>
          <w:lang w:val="bg-BG"/>
        </w:rPr>
      </w:pPr>
      <w:r w:rsidRPr="00FE6AC6">
        <w:rPr>
          <w:color w:val="000000"/>
          <w:lang w:val="bg-BG"/>
        </w:rPr>
        <w:t>С</w:t>
      </w:r>
      <w:r w:rsidR="00BB73E8" w:rsidRPr="00FE6AC6">
        <w:rPr>
          <w:color w:val="000000"/>
          <w:lang w:val="bg-BG"/>
        </w:rPr>
        <w:t>л</w:t>
      </w:r>
      <w:r w:rsidRPr="00FE6AC6">
        <w:rPr>
          <w:color w:val="000000"/>
          <w:lang w:val="bg-BG"/>
        </w:rPr>
        <w:t xml:space="preserve">ед </w:t>
      </w:r>
      <w:r w:rsidR="00CB4571" w:rsidRPr="00FE6AC6">
        <w:rPr>
          <w:color w:val="000000"/>
          <w:lang w:val="bg-BG"/>
        </w:rPr>
        <w:t>7</w:t>
      </w:r>
      <w:r w:rsidRPr="00FE6AC6">
        <w:rPr>
          <w:color w:val="000000"/>
          <w:lang w:val="bg-BG"/>
        </w:rPr>
        <w:t>-годишно проследяване</w:t>
      </w:r>
      <w:r w:rsidR="00C065B5" w:rsidRPr="00FE6AC6">
        <w:rPr>
          <w:color w:val="000000"/>
          <w:lang w:val="bg-BG"/>
        </w:rPr>
        <w:t xml:space="preserve">, </w:t>
      </w:r>
      <w:r w:rsidRPr="00FE6AC6">
        <w:rPr>
          <w:color w:val="000000"/>
          <w:lang w:val="bg-BG"/>
        </w:rPr>
        <w:t>са наблюдавани</w:t>
      </w:r>
      <w:r w:rsidR="00C065B5" w:rsidRPr="00FE6AC6">
        <w:rPr>
          <w:color w:val="000000"/>
          <w:lang w:val="bg-BG"/>
        </w:rPr>
        <w:t xml:space="preserve"> </w:t>
      </w:r>
      <w:r w:rsidR="00CB4571" w:rsidRPr="00FE6AC6">
        <w:rPr>
          <w:color w:val="000000"/>
          <w:lang w:val="bg-BG"/>
        </w:rPr>
        <w:t>93</w:t>
      </w:r>
      <w:r w:rsidR="00D43ECC" w:rsidRPr="00FE6AC6">
        <w:rPr>
          <w:color w:val="000000"/>
          <w:lang w:val="bg-BG"/>
        </w:rPr>
        <w:t> </w:t>
      </w:r>
      <w:r w:rsidR="00C065B5" w:rsidRPr="00FE6AC6">
        <w:rPr>
          <w:color w:val="000000"/>
          <w:lang w:val="bg-BG"/>
        </w:rPr>
        <w:t>(</w:t>
      </w:r>
      <w:r w:rsidR="00CB4571" w:rsidRPr="00FE6AC6">
        <w:rPr>
          <w:color w:val="000000"/>
          <w:lang w:val="bg-BG"/>
        </w:rPr>
        <w:t>16,8</w:t>
      </w:r>
      <w:r w:rsidR="00C065B5" w:rsidRPr="00FE6AC6">
        <w:rPr>
          <w:color w:val="000000"/>
          <w:lang w:val="bg-BG"/>
        </w:rPr>
        <w:t xml:space="preserve">%) </w:t>
      </w:r>
      <w:r w:rsidRPr="00FE6AC6">
        <w:rPr>
          <w:color w:val="000000"/>
          <w:lang w:val="bg-BG"/>
        </w:rPr>
        <w:t>случая на прогресия в групата на</w:t>
      </w:r>
      <w:r w:rsidR="00C065B5" w:rsidRPr="00FE6AC6">
        <w:rPr>
          <w:color w:val="000000"/>
          <w:lang w:val="bg-BG"/>
        </w:rPr>
        <w:t xml:space="preserve"> </w:t>
      </w:r>
      <w:r w:rsidR="00C065B5" w:rsidRPr="00FE6AC6">
        <w:rPr>
          <w:color w:val="000000"/>
        </w:rPr>
        <w:t>Glivec</w:t>
      </w:r>
      <w:r w:rsidR="00C065B5" w:rsidRPr="00FE6AC6">
        <w:rPr>
          <w:color w:val="000000"/>
          <w:lang w:val="bg-BG"/>
        </w:rPr>
        <w:t xml:space="preserve">: </w:t>
      </w:r>
      <w:r w:rsidR="0029268B" w:rsidRPr="00FE6AC6">
        <w:rPr>
          <w:color w:val="000000"/>
          <w:lang w:val="bg-BG"/>
        </w:rPr>
        <w:t>37</w:t>
      </w:r>
      <w:r w:rsidR="00D43ECC" w:rsidRPr="00FE6AC6">
        <w:rPr>
          <w:color w:val="000000"/>
          <w:lang w:val="bg-BG"/>
        </w:rPr>
        <w:t> </w:t>
      </w:r>
      <w:r w:rsidR="00C065B5" w:rsidRPr="00FE6AC6">
        <w:rPr>
          <w:color w:val="000000"/>
          <w:lang w:val="bg-BG"/>
        </w:rPr>
        <w:t>(</w:t>
      </w:r>
      <w:r w:rsidR="0029268B" w:rsidRPr="00FE6AC6">
        <w:rPr>
          <w:color w:val="000000"/>
          <w:lang w:val="bg-BG"/>
        </w:rPr>
        <w:t>6,7</w:t>
      </w:r>
      <w:r w:rsidR="00C065B5" w:rsidRPr="00FE6AC6">
        <w:rPr>
          <w:color w:val="000000"/>
          <w:lang w:val="bg-BG"/>
        </w:rPr>
        <w:t xml:space="preserve">%) </w:t>
      </w:r>
      <w:r w:rsidRPr="00FE6AC6">
        <w:rPr>
          <w:color w:val="000000"/>
          <w:lang w:val="bg-BG"/>
        </w:rPr>
        <w:t>включващи прогресия до фаза</w:t>
      </w:r>
      <w:r w:rsidR="00F0528A" w:rsidRPr="00FE6AC6">
        <w:rPr>
          <w:color w:val="000000"/>
          <w:lang w:val="bg-BG"/>
        </w:rPr>
        <w:t xml:space="preserve"> на акцелерация</w:t>
      </w:r>
      <w:r w:rsidR="00C065B5" w:rsidRPr="00FE6AC6">
        <w:rPr>
          <w:color w:val="000000"/>
          <w:lang w:val="bg-BG"/>
        </w:rPr>
        <w:t>/</w:t>
      </w:r>
      <w:r w:rsidRPr="00FE6AC6">
        <w:rPr>
          <w:color w:val="000000"/>
          <w:lang w:val="bg-BG"/>
        </w:rPr>
        <w:t>бластна криза</w:t>
      </w:r>
      <w:r w:rsidR="00C065B5" w:rsidRPr="00FE6AC6">
        <w:rPr>
          <w:color w:val="000000"/>
          <w:lang w:val="bg-BG"/>
        </w:rPr>
        <w:t xml:space="preserve">, </w:t>
      </w:r>
      <w:r w:rsidR="0093430C" w:rsidRPr="00FE6AC6">
        <w:rPr>
          <w:color w:val="000000"/>
          <w:lang w:val="bg-BG"/>
        </w:rPr>
        <w:t>31</w:t>
      </w:r>
      <w:r w:rsidR="00D43ECC" w:rsidRPr="00FE6AC6">
        <w:rPr>
          <w:color w:val="000000"/>
          <w:lang w:val="bg-BG"/>
        </w:rPr>
        <w:t> </w:t>
      </w:r>
      <w:r w:rsidR="00C065B5" w:rsidRPr="00FE6AC6">
        <w:rPr>
          <w:color w:val="000000"/>
          <w:lang w:val="bg-BG"/>
        </w:rPr>
        <w:t>(</w:t>
      </w:r>
      <w:r w:rsidR="0093430C" w:rsidRPr="00FE6AC6">
        <w:rPr>
          <w:color w:val="000000"/>
          <w:lang w:val="bg-BG"/>
        </w:rPr>
        <w:t>5,6</w:t>
      </w:r>
      <w:r w:rsidR="00C065B5" w:rsidRPr="00FE6AC6">
        <w:rPr>
          <w:color w:val="000000"/>
          <w:lang w:val="bg-BG"/>
        </w:rPr>
        <w:t xml:space="preserve">%) </w:t>
      </w:r>
      <w:r w:rsidRPr="00FE6AC6">
        <w:rPr>
          <w:color w:val="000000"/>
          <w:lang w:val="bg-BG"/>
        </w:rPr>
        <w:t xml:space="preserve">загуба на </w:t>
      </w:r>
      <w:r w:rsidR="00C065B5" w:rsidRPr="00FE6AC6">
        <w:rPr>
          <w:color w:val="000000"/>
        </w:rPr>
        <w:t>MCyR</w:t>
      </w:r>
      <w:r w:rsidR="00C065B5" w:rsidRPr="00FE6AC6">
        <w:rPr>
          <w:color w:val="000000"/>
          <w:lang w:val="bg-BG"/>
        </w:rPr>
        <w:t xml:space="preserve">, </w:t>
      </w:r>
      <w:r w:rsidR="00BC1E61" w:rsidRPr="00FE6AC6">
        <w:rPr>
          <w:color w:val="000000"/>
          <w:lang w:val="bg-BG"/>
        </w:rPr>
        <w:t>15</w:t>
      </w:r>
      <w:r w:rsidR="00D43ECC" w:rsidRPr="00FE6AC6">
        <w:rPr>
          <w:color w:val="000000"/>
          <w:lang w:val="bg-BG"/>
        </w:rPr>
        <w:t> </w:t>
      </w:r>
      <w:r w:rsidR="00C065B5" w:rsidRPr="00FE6AC6">
        <w:rPr>
          <w:color w:val="000000"/>
          <w:lang w:val="bg-BG"/>
        </w:rPr>
        <w:t>(</w:t>
      </w:r>
      <w:r w:rsidR="00BC1E61" w:rsidRPr="00FE6AC6">
        <w:rPr>
          <w:color w:val="000000"/>
          <w:lang w:val="bg-BG"/>
        </w:rPr>
        <w:t>2,7</w:t>
      </w:r>
      <w:r w:rsidR="00C065B5" w:rsidRPr="00FE6AC6">
        <w:rPr>
          <w:color w:val="000000"/>
          <w:lang w:val="bg-BG"/>
        </w:rPr>
        <w:t xml:space="preserve">%) </w:t>
      </w:r>
      <w:r w:rsidRPr="00FE6AC6">
        <w:rPr>
          <w:color w:val="000000"/>
          <w:lang w:val="bg-BG"/>
        </w:rPr>
        <w:t>загуба на</w:t>
      </w:r>
      <w:r w:rsidR="00C065B5" w:rsidRPr="00FE6AC6">
        <w:rPr>
          <w:color w:val="000000"/>
          <w:lang w:val="bg-BG"/>
        </w:rPr>
        <w:t xml:space="preserve"> </w:t>
      </w:r>
      <w:r w:rsidR="00C065B5" w:rsidRPr="00FE6AC6">
        <w:rPr>
          <w:color w:val="000000"/>
        </w:rPr>
        <w:t>CHR</w:t>
      </w:r>
      <w:r w:rsidR="00C065B5" w:rsidRPr="00FE6AC6">
        <w:rPr>
          <w:color w:val="000000"/>
          <w:lang w:val="bg-BG"/>
        </w:rPr>
        <w:t xml:space="preserve"> </w:t>
      </w:r>
      <w:r w:rsidRPr="00FE6AC6">
        <w:rPr>
          <w:color w:val="000000"/>
          <w:lang w:val="bg-BG"/>
        </w:rPr>
        <w:t>или повишение на</w:t>
      </w:r>
      <w:r w:rsidR="00C065B5" w:rsidRPr="00FE6AC6">
        <w:rPr>
          <w:color w:val="000000"/>
          <w:lang w:val="bg-BG"/>
        </w:rPr>
        <w:t xml:space="preserve"> </w:t>
      </w:r>
      <w:r w:rsidR="00C065B5" w:rsidRPr="00FE6AC6">
        <w:rPr>
          <w:color w:val="000000"/>
        </w:rPr>
        <w:t>WBC</w:t>
      </w:r>
      <w:r w:rsidR="00C065B5" w:rsidRPr="00FE6AC6">
        <w:rPr>
          <w:color w:val="000000"/>
          <w:lang w:val="bg-BG"/>
        </w:rPr>
        <w:t xml:space="preserve"> </w:t>
      </w:r>
      <w:r w:rsidR="006D5353" w:rsidRPr="00FE6AC6">
        <w:rPr>
          <w:color w:val="000000"/>
          <w:lang w:val="bg-BG"/>
        </w:rPr>
        <w:t>и</w:t>
      </w:r>
      <w:r w:rsidR="00C065B5" w:rsidRPr="00FE6AC6">
        <w:rPr>
          <w:color w:val="000000"/>
          <w:lang w:val="bg-BG"/>
        </w:rPr>
        <w:t xml:space="preserve"> </w:t>
      </w:r>
      <w:r w:rsidR="003742FE" w:rsidRPr="00FE6AC6">
        <w:rPr>
          <w:color w:val="000000"/>
          <w:lang w:val="bg-BG"/>
        </w:rPr>
        <w:t>10</w:t>
      </w:r>
      <w:r w:rsidR="00D43ECC" w:rsidRPr="00FE6AC6">
        <w:rPr>
          <w:color w:val="000000"/>
          <w:lang w:val="bg-BG"/>
        </w:rPr>
        <w:t> </w:t>
      </w:r>
      <w:r w:rsidR="00C065B5" w:rsidRPr="00FE6AC6">
        <w:rPr>
          <w:color w:val="000000"/>
          <w:lang w:val="bg-BG"/>
        </w:rPr>
        <w:t>(</w:t>
      </w:r>
      <w:r w:rsidR="003742FE" w:rsidRPr="00FE6AC6">
        <w:rPr>
          <w:color w:val="000000"/>
          <w:lang w:val="bg-BG"/>
        </w:rPr>
        <w:t>1,8</w:t>
      </w:r>
      <w:r w:rsidR="00C065B5" w:rsidRPr="00FE6AC6">
        <w:rPr>
          <w:color w:val="000000"/>
          <w:lang w:val="bg-BG"/>
        </w:rPr>
        <w:t xml:space="preserve">%) </w:t>
      </w:r>
      <w:r w:rsidRPr="00FE6AC6">
        <w:rPr>
          <w:color w:val="000000"/>
          <w:lang w:val="bg-BG"/>
        </w:rPr>
        <w:t>несвързани с ХМЛ смъртни случая</w:t>
      </w:r>
      <w:r w:rsidR="00C065B5" w:rsidRPr="00FE6AC6">
        <w:rPr>
          <w:color w:val="000000"/>
          <w:lang w:val="bg-BG"/>
        </w:rPr>
        <w:t xml:space="preserve">. </w:t>
      </w:r>
      <w:r w:rsidR="002C1C0B" w:rsidRPr="00FE6AC6">
        <w:rPr>
          <w:color w:val="000000"/>
          <w:lang w:val="bg-BG"/>
        </w:rPr>
        <w:t>За разлика от тях</w:t>
      </w:r>
      <w:r w:rsidR="00C065B5" w:rsidRPr="00FE6AC6">
        <w:rPr>
          <w:color w:val="000000"/>
          <w:lang w:val="bg-BG"/>
        </w:rPr>
        <w:t xml:space="preserve">, </w:t>
      </w:r>
      <w:r w:rsidR="002C1C0B" w:rsidRPr="00FE6AC6">
        <w:rPr>
          <w:color w:val="000000"/>
          <w:lang w:val="bg-BG"/>
        </w:rPr>
        <w:t>са наблюдавани</w:t>
      </w:r>
      <w:r w:rsidR="00C065B5" w:rsidRPr="00FE6AC6">
        <w:rPr>
          <w:color w:val="000000"/>
          <w:lang w:val="bg-BG"/>
        </w:rPr>
        <w:t xml:space="preserve"> </w:t>
      </w:r>
      <w:r w:rsidR="0044102F" w:rsidRPr="00FE6AC6">
        <w:rPr>
          <w:color w:val="000000"/>
          <w:lang w:val="bg-BG"/>
        </w:rPr>
        <w:t>165</w:t>
      </w:r>
      <w:r w:rsidR="00DA3770" w:rsidRPr="00FE6AC6">
        <w:rPr>
          <w:color w:val="000000"/>
          <w:lang w:val="bg-BG"/>
        </w:rPr>
        <w:t> </w:t>
      </w:r>
      <w:r w:rsidR="00C065B5" w:rsidRPr="00FE6AC6">
        <w:rPr>
          <w:color w:val="000000"/>
          <w:lang w:val="bg-BG"/>
        </w:rPr>
        <w:t>(</w:t>
      </w:r>
      <w:r w:rsidR="0044102F" w:rsidRPr="00FE6AC6">
        <w:rPr>
          <w:color w:val="000000"/>
          <w:lang w:val="bg-BG"/>
        </w:rPr>
        <w:t>29,8</w:t>
      </w:r>
      <w:r w:rsidR="00C065B5" w:rsidRPr="00FE6AC6">
        <w:rPr>
          <w:color w:val="000000"/>
          <w:lang w:val="bg-BG"/>
        </w:rPr>
        <w:t xml:space="preserve">%) </w:t>
      </w:r>
      <w:r w:rsidR="002C1C0B" w:rsidRPr="00FE6AC6">
        <w:rPr>
          <w:color w:val="000000"/>
          <w:lang w:val="bg-BG"/>
        </w:rPr>
        <w:t>случая в групата на</w:t>
      </w:r>
      <w:r w:rsidR="00C065B5" w:rsidRPr="00FE6AC6">
        <w:rPr>
          <w:color w:val="000000"/>
          <w:lang w:val="bg-BG"/>
        </w:rPr>
        <w:t xml:space="preserve"> </w:t>
      </w:r>
      <w:r w:rsidR="00C065B5" w:rsidRPr="00FE6AC6">
        <w:rPr>
          <w:color w:val="000000"/>
        </w:rPr>
        <w:t>IFN</w:t>
      </w:r>
      <w:r w:rsidR="00C065B5" w:rsidRPr="00FE6AC6">
        <w:rPr>
          <w:color w:val="000000"/>
          <w:lang w:val="bg-BG"/>
        </w:rPr>
        <w:t>+</w:t>
      </w:r>
      <w:r w:rsidR="00C065B5" w:rsidRPr="00FE6AC6">
        <w:rPr>
          <w:color w:val="000000"/>
        </w:rPr>
        <w:t>Ara</w:t>
      </w:r>
      <w:r w:rsidR="00C065B5" w:rsidRPr="00FE6AC6">
        <w:rPr>
          <w:color w:val="000000"/>
          <w:lang w:val="bg-BG"/>
        </w:rPr>
        <w:t>-</w:t>
      </w:r>
      <w:r w:rsidR="00C065B5" w:rsidRPr="00FE6AC6">
        <w:rPr>
          <w:color w:val="000000"/>
        </w:rPr>
        <w:t>C</w:t>
      </w:r>
      <w:r w:rsidR="00C065B5" w:rsidRPr="00FE6AC6">
        <w:rPr>
          <w:color w:val="000000"/>
          <w:lang w:val="bg-BG"/>
        </w:rPr>
        <w:t xml:space="preserve">, </w:t>
      </w:r>
      <w:r w:rsidR="002C1C0B" w:rsidRPr="00FE6AC6">
        <w:rPr>
          <w:color w:val="000000"/>
          <w:lang w:val="bg-BG"/>
        </w:rPr>
        <w:t xml:space="preserve">от които </w:t>
      </w:r>
      <w:r w:rsidR="000932AD" w:rsidRPr="00FE6AC6">
        <w:rPr>
          <w:color w:val="000000"/>
          <w:lang w:val="bg-BG"/>
        </w:rPr>
        <w:t>130</w:t>
      </w:r>
      <w:r w:rsidR="00C065B5" w:rsidRPr="00FE6AC6">
        <w:rPr>
          <w:color w:val="000000"/>
        </w:rPr>
        <w:t> </w:t>
      </w:r>
      <w:r w:rsidR="002C1C0B" w:rsidRPr="00FE6AC6">
        <w:rPr>
          <w:color w:val="000000"/>
          <w:lang w:val="bg-BG"/>
        </w:rPr>
        <w:t>са нас</w:t>
      </w:r>
      <w:r w:rsidR="00101306" w:rsidRPr="00FE6AC6">
        <w:rPr>
          <w:color w:val="000000"/>
          <w:lang w:val="bg-BG"/>
        </w:rPr>
        <w:t>т</w:t>
      </w:r>
      <w:r w:rsidR="002C1C0B" w:rsidRPr="00FE6AC6">
        <w:rPr>
          <w:color w:val="000000"/>
          <w:lang w:val="bg-BG"/>
        </w:rPr>
        <w:t>ъпили</w:t>
      </w:r>
      <w:r w:rsidR="00DB5848" w:rsidRPr="00FE6AC6">
        <w:rPr>
          <w:color w:val="000000"/>
          <w:lang w:val="bg-BG"/>
        </w:rPr>
        <w:t xml:space="preserve"> по време на първа линия терапия с </w:t>
      </w:r>
      <w:r w:rsidR="00DB5848" w:rsidRPr="00FE6AC6">
        <w:rPr>
          <w:color w:val="000000"/>
        </w:rPr>
        <w:t>IFN</w:t>
      </w:r>
      <w:r w:rsidR="00DB5848" w:rsidRPr="00FE6AC6">
        <w:rPr>
          <w:color w:val="000000"/>
          <w:lang w:val="bg-BG"/>
        </w:rPr>
        <w:t>+</w:t>
      </w:r>
      <w:r w:rsidR="00DB5848" w:rsidRPr="00FE6AC6">
        <w:rPr>
          <w:color w:val="000000"/>
        </w:rPr>
        <w:t>Ara</w:t>
      </w:r>
      <w:r w:rsidR="00DB5848" w:rsidRPr="00FE6AC6">
        <w:rPr>
          <w:color w:val="000000"/>
          <w:lang w:val="bg-BG"/>
        </w:rPr>
        <w:t>-</w:t>
      </w:r>
      <w:r w:rsidR="00DB5848" w:rsidRPr="00FE6AC6">
        <w:rPr>
          <w:color w:val="000000"/>
        </w:rPr>
        <w:t>C</w:t>
      </w:r>
      <w:r w:rsidR="00C065B5" w:rsidRPr="00FE6AC6">
        <w:rPr>
          <w:color w:val="000000"/>
          <w:lang w:val="bg-BG"/>
        </w:rPr>
        <w:t>.</w:t>
      </w:r>
    </w:p>
    <w:p w14:paraId="3E54FDD3" w14:textId="77777777" w:rsidR="00C065B5" w:rsidRPr="00FE6AC6" w:rsidRDefault="00C065B5" w:rsidP="0063575E">
      <w:pPr>
        <w:widowControl w:val="0"/>
        <w:spacing w:line="240" w:lineRule="auto"/>
        <w:rPr>
          <w:color w:val="000000"/>
          <w:lang w:val="bg-BG"/>
        </w:rPr>
      </w:pPr>
    </w:p>
    <w:p w14:paraId="3E54FDD4" w14:textId="77777777" w:rsidR="00C065B5" w:rsidRPr="00FE6AC6" w:rsidRDefault="00DB5848" w:rsidP="0063575E">
      <w:pPr>
        <w:pStyle w:val="EndnoteText"/>
        <w:widowControl w:val="0"/>
        <w:rPr>
          <w:color w:val="000000"/>
          <w:lang w:val="bg-BG"/>
        </w:rPr>
      </w:pPr>
      <w:r w:rsidRPr="00FE6AC6">
        <w:rPr>
          <w:color w:val="000000"/>
          <w:szCs w:val="22"/>
          <w:lang w:val="bg-BG"/>
        </w:rPr>
        <w:t>Процентът пациенти свободни от прогресия до фаза на а</w:t>
      </w:r>
      <w:r w:rsidR="00101306" w:rsidRPr="00FE6AC6">
        <w:rPr>
          <w:color w:val="000000"/>
          <w:szCs w:val="22"/>
          <w:lang w:val="bg-BG"/>
        </w:rPr>
        <w:t>к</w:t>
      </w:r>
      <w:r w:rsidRPr="00FE6AC6">
        <w:rPr>
          <w:color w:val="000000"/>
          <w:szCs w:val="22"/>
          <w:lang w:val="bg-BG"/>
        </w:rPr>
        <w:t xml:space="preserve">целерация или бластна криза след </w:t>
      </w:r>
      <w:r w:rsidR="000B1B86" w:rsidRPr="00FE6AC6">
        <w:rPr>
          <w:color w:val="000000"/>
          <w:szCs w:val="22"/>
          <w:lang w:val="bg-BG"/>
        </w:rPr>
        <w:t>84</w:t>
      </w:r>
      <w:r w:rsidR="00DA3770" w:rsidRPr="00FE6AC6">
        <w:rPr>
          <w:color w:val="000000"/>
          <w:szCs w:val="22"/>
          <w:lang w:val="bg-BG"/>
        </w:rPr>
        <w:t> </w:t>
      </w:r>
      <w:r w:rsidRPr="00FE6AC6">
        <w:rPr>
          <w:color w:val="000000"/>
          <w:szCs w:val="22"/>
          <w:lang w:val="bg-BG"/>
        </w:rPr>
        <w:t>месеца</w:t>
      </w:r>
      <w:r w:rsidR="00C065B5" w:rsidRPr="00FE6AC6">
        <w:rPr>
          <w:color w:val="000000"/>
          <w:szCs w:val="22"/>
          <w:lang w:val="bg-BG"/>
        </w:rPr>
        <w:t xml:space="preserve"> </w:t>
      </w:r>
      <w:r w:rsidRPr="00FE6AC6">
        <w:rPr>
          <w:color w:val="000000"/>
          <w:szCs w:val="22"/>
          <w:lang w:val="bg-BG"/>
        </w:rPr>
        <w:t>е значително по-в</w:t>
      </w:r>
      <w:r w:rsidR="00975696" w:rsidRPr="00FE6AC6">
        <w:rPr>
          <w:color w:val="000000"/>
          <w:szCs w:val="22"/>
          <w:lang w:val="bg-BG"/>
        </w:rPr>
        <w:t>и</w:t>
      </w:r>
      <w:r w:rsidRPr="00FE6AC6">
        <w:rPr>
          <w:color w:val="000000"/>
          <w:szCs w:val="22"/>
          <w:lang w:val="bg-BG"/>
        </w:rPr>
        <w:t>с</w:t>
      </w:r>
      <w:r w:rsidR="00975696" w:rsidRPr="00FE6AC6">
        <w:rPr>
          <w:color w:val="000000"/>
          <w:szCs w:val="22"/>
          <w:lang w:val="bg-BG"/>
        </w:rPr>
        <w:t>о</w:t>
      </w:r>
      <w:r w:rsidRPr="00FE6AC6">
        <w:rPr>
          <w:color w:val="000000"/>
          <w:szCs w:val="22"/>
          <w:lang w:val="bg-BG"/>
        </w:rPr>
        <w:t xml:space="preserve">к </w:t>
      </w:r>
      <w:r w:rsidR="0090716E" w:rsidRPr="00FE6AC6">
        <w:rPr>
          <w:color w:val="000000"/>
          <w:szCs w:val="22"/>
          <w:lang w:val="bg-BG"/>
        </w:rPr>
        <w:t>в</w:t>
      </w:r>
      <w:r w:rsidRPr="00FE6AC6">
        <w:rPr>
          <w:color w:val="000000"/>
          <w:szCs w:val="22"/>
          <w:lang w:val="bg-BG"/>
        </w:rPr>
        <w:t xml:space="preserve"> групата на</w:t>
      </w:r>
      <w:r w:rsidR="00C065B5" w:rsidRPr="00FE6AC6">
        <w:rPr>
          <w:color w:val="000000"/>
          <w:szCs w:val="22"/>
          <w:lang w:val="bg-BG"/>
        </w:rPr>
        <w:t xml:space="preserve"> </w:t>
      </w:r>
      <w:r w:rsidR="00C065B5" w:rsidRPr="00FE6AC6">
        <w:rPr>
          <w:color w:val="000000"/>
          <w:szCs w:val="22"/>
        </w:rPr>
        <w:t>Glivec</w:t>
      </w:r>
      <w:r w:rsidRPr="00FE6AC6">
        <w:rPr>
          <w:color w:val="000000"/>
          <w:szCs w:val="22"/>
          <w:lang w:val="bg-BG"/>
        </w:rPr>
        <w:t xml:space="preserve">, отколкото </w:t>
      </w:r>
      <w:r w:rsidR="0090716E" w:rsidRPr="00FE6AC6">
        <w:rPr>
          <w:color w:val="000000"/>
          <w:szCs w:val="22"/>
          <w:lang w:val="bg-BG"/>
        </w:rPr>
        <w:t>в</w:t>
      </w:r>
      <w:r w:rsidRPr="00FE6AC6">
        <w:rPr>
          <w:color w:val="000000"/>
          <w:szCs w:val="22"/>
          <w:lang w:val="bg-BG"/>
        </w:rPr>
        <w:t xml:space="preserve"> групата на</w:t>
      </w:r>
      <w:r w:rsidR="00C065B5" w:rsidRPr="00FE6AC6">
        <w:rPr>
          <w:color w:val="000000"/>
          <w:szCs w:val="22"/>
          <w:lang w:val="bg-BG"/>
        </w:rPr>
        <w:t xml:space="preserve"> </w:t>
      </w:r>
      <w:r w:rsidR="00C065B5" w:rsidRPr="00FE6AC6">
        <w:rPr>
          <w:color w:val="000000"/>
          <w:szCs w:val="22"/>
        </w:rPr>
        <w:t>IFN</w:t>
      </w:r>
      <w:r w:rsidR="00C065B5" w:rsidRPr="00FE6AC6">
        <w:rPr>
          <w:color w:val="000000"/>
          <w:szCs w:val="22"/>
          <w:lang w:val="bg-BG"/>
        </w:rPr>
        <w:t xml:space="preserve"> (</w:t>
      </w:r>
      <w:r w:rsidR="000B1B86" w:rsidRPr="00FE6AC6">
        <w:rPr>
          <w:color w:val="000000"/>
          <w:szCs w:val="22"/>
          <w:lang w:val="bg-BG"/>
        </w:rPr>
        <w:t>92,5</w:t>
      </w:r>
      <w:r w:rsidR="00C065B5" w:rsidRPr="00FE6AC6">
        <w:rPr>
          <w:color w:val="000000"/>
          <w:szCs w:val="22"/>
          <w:lang w:val="bg-BG"/>
        </w:rPr>
        <w:t xml:space="preserve">% </w:t>
      </w:r>
      <w:r w:rsidRPr="00FE6AC6">
        <w:rPr>
          <w:color w:val="000000"/>
          <w:szCs w:val="22"/>
          <w:lang w:val="bg-BG"/>
        </w:rPr>
        <w:t>спрямо</w:t>
      </w:r>
      <w:r w:rsidR="00C065B5" w:rsidRPr="00FE6AC6">
        <w:rPr>
          <w:color w:val="000000"/>
          <w:szCs w:val="22"/>
          <w:lang w:val="bg-BG"/>
        </w:rPr>
        <w:t xml:space="preserve"> </w:t>
      </w:r>
      <w:r w:rsidR="00781D13" w:rsidRPr="00FE6AC6">
        <w:rPr>
          <w:color w:val="000000"/>
          <w:szCs w:val="22"/>
          <w:lang w:val="bg-BG"/>
        </w:rPr>
        <w:t>85,1</w:t>
      </w:r>
      <w:r w:rsidR="00C065B5" w:rsidRPr="00FE6AC6">
        <w:rPr>
          <w:color w:val="000000"/>
          <w:szCs w:val="22"/>
          <w:lang w:val="bg-BG"/>
        </w:rPr>
        <w:t xml:space="preserve">%, </w:t>
      </w:r>
      <w:r w:rsidR="00C065B5" w:rsidRPr="00FE6AC6">
        <w:rPr>
          <w:color w:val="000000"/>
          <w:szCs w:val="22"/>
        </w:rPr>
        <w:t>p</w:t>
      </w:r>
      <w:r w:rsidR="00C065B5" w:rsidRPr="00FE6AC6">
        <w:rPr>
          <w:color w:val="000000"/>
          <w:szCs w:val="22"/>
          <w:lang w:val="bg-BG"/>
        </w:rPr>
        <w:t>&lt;0</w:t>
      </w:r>
      <w:r w:rsidR="00034AFF" w:rsidRPr="00FE6AC6">
        <w:rPr>
          <w:color w:val="000000"/>
          <w:szCs w:val="22"/>
          <w:lang w:val="bg-BG"/>
        </w:rPr>
        <w:t>,</w:t>
      </w:r>
      <w:r w:rsidR="00C065B5" w:rsidRPr="00FE6AC6">
        <w:rPr>
          <w:color w:val="000000"/>
          <w:szCs w:val="22"/>
          <w:lang w:val="bg-BG"/>
        </w:rPr>
        <w:t xml:space="preserve">001). </w:t>
      </w:r>
      <w:r w:rsidR="00084731" w:rsidRPr="00FE6AC6">
        <w:rPr>
          <w:color w:val="000000"/>
          <w:lang w:val="bg-BG"/>
        </w:rPr>
        <w:t xml:space="preserve">Годишният процент на прогресия до фаза на акцелерация или бластна криза намалява с времето </w:t>
      </w:r>
      <w:r w:rsidR="0090716E" w:rsidRPr="00FE6AC6">
        <w:rPr>
          <w:color w:val="000000"/>
          <w:lang w:val="bg-BG"/>
        </w:rPr>
        <w:t>на фона на</w:t>
      </w:r>
      <w:r w:rsidR="00084731" w:rsidRPr="00FE6AC6">
        <w:rPr>
          <w:color w:val="000000"/>
          <w:lang w:val="bg-BG"/>
        </w:rPr>
        <w:t xml:space="preserve"> терапията </w:t>
      </w:r>
      <w:r w:rsidR="006D5353" w:rsidRPr="00FE6AC6">
        <w:rPr>
          <w:color w:val="000000"/>
          <w:szCs w:val="22"/>
          <w:lang w:val="bg-BG"/>
        </w:rPr>
        <w:t>и</w:t>
      </w:r>
      <w:r w:rsidR="00C065B5" w:rsidRPr="00FE6AC6">
        <w:rPr>
          <w:color w:val="000000"/>
          <w:szCs w:val="22"/>
          <w:lang w:val="bg-BG"/>
        </w:rPr>
        <w:t xml:space="preserve"> </w:t>
      </w:r>
      <w:r w:rsidR="00084731" w:rsidRPr="00FE6AC6">
        <w:rPr>
          <w:color w:val="000000"/>
          <w:szCs w:val="22"/>
          <w:lang w:val="bg-BG"/>
        </w:rPr>
        <w:t>е по-малко от</w:t>
      </w:r>
      <w:r w:rsidR="00C065B5" w:rsidRPr="00FE6AC6">
        <w:rPr>
          <w:color w:val="000000"/>
          <w:szCs w:val="22"/>
          <w:lang w:val="bg-BG"/>
        </w:rPr>
        <w:t xml:space="preserve"> 1% </w:t>
      </w:r>
      <w:r w:rsidR="00084731" w:rsidRPr="00FE6AC6">
        <w:rPr>
          <w:color w:val="000000"/>
          <w:szCs w:val="22"/>
          <w:lang w:val="bg-BG"/>
        </w:rPr>
        <w:t>го</w:t>
      </w:r>
      <w:r w:rsidR="00975696" w:rsidRPr="00FE6AC6">
        <w:rPr>
          <w:color w:val="000000"/>
          <w:szCs w:val="22"/>
          <w:lang w:val="bg-BG"/>
        </w:rPr>
        <w:t>д</w:t>
      </w:r>
      <w:r w:rsidR="00084731" w:rsidRPr="00FE6AC6">
        <w:rPr>
          <w:color w:val="000000"/>
          <w:szCs w:val="22"/>
          <w:lang w:val="bg-BG"/>
        </w:rPr>
        <w:t>ишно на четвъртата и петата година</w:t>
      </w:r>
      <w:r w:rsidR="00C065B5" w:rsidRPr="00FE6AC6">
        <w:rPr>
          <w:color w:val="000000"/>
          <w:lang w:val="bg-BG"/>
        </w:rPr>
        <w:t xml:space="preserve">. </w:t>
      </w:r>
      <w:r w:rsidR="00084731" w:rsidRPr="00FE6AC6">
        <w:rPr>
          <w:color w:val="000000"/>
          <w:szCs w:val="22"/>
          <w:lang w:val="bg-BG"/>
        </w:rPr>
        <w:t>Процентът на преживяемост</w:t>
      </w:r>
      <w:r w:rsidR="00991A55" w:rsidRPr="00FE6AC6">
        <w:rPr>
          <w:color w:val="000000"/>
          <w:szCs w:val="22"/>
          <w:lang w:val="bg-BG"/>
        </w:rPr>
        <w:t>та без прогресия</w:t>
      </w:r>
      <w:r w:rsidR="00084731" w:rsidRPr="00FE6AC6">
        <w:rPr>
          <w:color w:val="000000"/>
          <w:szCs w:val="22"/>
          <w:lang w:val="bg-BG"/>
        </w:rPr>
        <w:t xml:space="preserve"> на </w:t>
      </w:r>
      <w:r w:rsidR="006B790F" w:rsidRPr="00FE6AC6">
        <w:rPr>
          <w:color w:val="000000"/>
          <w:szCs w:val="22"/>
          <w:lang w:val="bg-BG"/>
        </w:rPr>
        <w:t>84</w:t>
      </w:r>
      <w:r w:rsidR="00084731" w:rsidRPr="00FE6AC6">
        <w:rPr>
          <w:color w:val="000000"/>
          <w:szCs w:val="22"/>
          <w:lang w:val="bg-BG"/>
        </w:rPr>
        <w:t>-тия месец е</w:t>
      </w:r>
      <w:r w:rsidR="00C065B5" w:rsidRPr="00FE6AC6">
        <w:rPr>
          <w:color w:val="000000"/>
          <w:szCs w:val="22"/>
          <w:lang w:val="bg-BG"/>
        </w:rPr>
        <w:t xml:space="preserve"> </w:t>
      </w:r>
      <w:r w:rsidR="006B790F" w:rsidRPr="00FE6AC6">
        <w:rPr>
          <w:color w:val="000000"/>
          <w:szCs w:val="22"/>
          <w:lang w:val="bg-BG"/>
        </w:rPr>
        <w:t>81,2</w:t>
      </w:r>
      <w:r w:rsidR="00C065B5" w:rsidRPr="00FE6AC6">
        <w:rPr>
          <w:color w:val="000000"/>
          <w:szCs w:val="22"/>
          <w:lang w:val="bg-BG"/>
        </w:rPr>
        <w:t xml:space="preserve">% </w:t>
      </w:r>
      <w:r w:rsidR="00084731" w:rsidRPr="00FE6AC6">
        <w:rPr>
          <w:color w:val="000000"/>
          <w:szCs w:val="22"/>
          <w:lang w:val="bg-BG"/>
        </w:rPr>
        <w:t xml:space="preserve">в групата на </w:t>
      </w:r>
      <w:r w:rsidR="00C065B5" w:rsidRPr="00FE6AC6">
        <w:rPr>
          <w:color w:val="000000"/>
          <w:szCs w:val="22"/>
        </w:rPr>
        <w:t>Glivec</w:t>
      </w:r>
      <w:r w:rsidR="00C065B5" w:rsidRPr="00FE6AC6">
        <w:rPr>
          <w:color w:val="000000"/>
          <w:szCs w:val="22"/>
          <w:lang w:val="bg-BG"/>
        </w:rPr>
        <w:t xml:space="preserve"> </w:t>
      </w:r>
      <w:r w:rsidR="006D5353" w:rsidRPr="00FE6AC6">
        <w:rPr>
          <w:color w:val="000000"/>
          <w:szCs w:val="22"/>
          <w:lang w:val="bg-BG"/>
        </w:rPr>
        <w:t>и</w:t>
      </w:r>
      <w:r w:rsidR="00C065B5" w:rsidRPr="00FE6AC6">
        <w:rPr>
          <w:color w:val="000000"/>
          <w:szCs w:val="22"/>
          <w:lang w:val="bg-BG"/>
        </w:rPr>
        <w:t xml:space="preserve"> </w:t>
      </w:r>
      <w:r w:rsidR="00103375" w:rsidRPr="00FE6AC6">
        <w:rPr>
          <w:color w:val="000000"/>
          <w:szCs w:val="22"/>
          <w:lang w:val="bg-BG"/>
        </w:rPr>
        <w:t>60,6</w:t>
      </w:r>
      <w:r w:rsidR="00C065B5" w:rsidRPr="00FE6AC6">
        <w:rPr>
          <w:color w:val="000000"/>
          <w:szCs w:val="22"/>
          <w:lang w:val="bg-BG"/>
        </w:rPr>
        <w:t xml:space="preserve">% </w:t>
      </w:r>
      <w:r w:rsidR="00084731" w:rsidRPr="00FE6AC6">
        <w:rPr>
          <w:color w:val="000000"/>
          <w:szCs w:val="22"/>
          <w:lang w:val="bg-BG"/>
        </w:rPr>
        <w:t>в контролната група</w:t>
      </w:r>
      <w:r w:rsidR="00C065B5" w:rsidRPr="00FE6AC6">
        <w:rPr>
          <w:color w:val="000000"/>
          <w:szCs w:val="22"/>
          <w:lang w:val="bg-BG"/>
        </w:rPr>
        <w:t xml:space="preserve"> </w:t>
      </w:r>
      <w:r w:rsidR="00C065B5" w:rsidRPr="00FE6AC6">
        <w:rPr>
          <w:color w:val="000000"/>
          <w:lang w:val="bg-BG"/>
        </w:rPr>
        <w:t>(</w:t>
      </w:r>
      <w:r w:rsidR="00C065B5" w:rsidRPr="00FE6AC6">
        <w:rPr>
          <w:color w:val="000000"/>
        </w:rPr>
        <w:t>p</w:t>
      </w:r>
      <w:r w:rsidR="00C065B5" w:rsidRPr="00FE6AC6">
        <w:rPr>
          <w:color w:val="000000"/>
          <w:lang w:val="bg-BG"/>
        </w:rPr>
        <w:t>&lt;0</w:t>
      </w:r>
      <w:r w:rsidR="0095596D" w:rsidRPr="00FE6AC6">
        <w:rPr>
          <w:color w:val="000000"/>
          <w:lang w:val="bg-BG"/>
        </w:rPr>
        <w:t>,</w:t>
      </w:r>
      <w:r w:rsidR="00C065B5" w:rsidRPr="00FE6AC6">
        <w:rPr>
          <w:color w:val="000000"/>
          <w:lang w:val="bg-BG"/>
        </w:rPr>
        <w:t>001).</w:t>
      </w:r>
      <w:r w:rsidR="00C065B5" w:rsidRPr="00FE6AC6">
        <w:rPr>
          <w:rStyle w:val="EndnoteTextChar"/>
          <w:color w:val="000000"/>
          <w:lang w:val="bg-BG"/>
        </w:rPr>
        <w:t xml:space="preserve"> </w:t>
      </w:r>
      <w:r w:rsidR="00F0528A" w:rsidRPr="00FE6AC6">
        <w:rPr>
          <w:rStyle w:val="EndnoteTextChar"/>
          <w:color w:val="000000"/>
          <w:lang w:val="bg-BG"/>
        </w:rPr>
        <w:t>Годишният процент на прогресия</w:t>
      </w:r>
      <w:r w:rsidR="0090716E" w:rsidRPr="00FE6AC6">
        <w:rPr>
          <w:rStyle w:val="EndnoteTextChar"/>
          <w:color w:val="000000"/>
          <w:lang w:val="bg-BG"/>
        </w:rPr>
        <w:t>,</w:t>
      </w:r>
      <w:r w:rsidR="00F0528A" w:rsidRPr="00FE6AC6">
        <w:rPr>
          <w:rStyle w:val="EndnoteTextChar"/>
          <w:color w:val="000000"/>
          <w:lang w:val="bg-BG"/>
        </w:rPr>
        <w:t xml:space="preserve"> от какъвто и да е вид при</w:t>
      </w:r>
      <w:r w:rsidR="00C065B5" w:rsidRPr="00FE6AC6">
        <w:rPr>
          <w:rStyle w:val="EndnoteTextChar"/>
          <w:color w:val="000000"/>
          <w:lang w:val="bg-BG"/>
        </w:rPr>
        <w:t xml:space="preserve"> </w:t>
      </w:r>
      <w:r w:rsidR="00C065B5" w:rsidRPr="00FE6AC6">
        <w:rPr>
          <w:rStyle w:val="EndnoteTextChar"/>
          <w:color w:val="000000"/>
        </w:rPr>
        <w:t>Glivec</w:t>
      </w:r>
      <w:r w:rsidR="00C065B5" w:rsidRPr="00FE6AC6">
        <w:rPr>
          <w:rStyle w:val="EndnoteTextChar"/>
          <w:color w:val="000000"/>
          <w:lang w:val="bg-BG"/>
        </w:rPr>
        <w:t xml:space="preserve"> </w:t>
      </w:r>
      <w:r w:rsidR="00F0528A" w:rsidRPr="00FE6AC6">
        <w:rPr>
          <w:rStyle w:val="Char"/>
          <w:color w:val="000000"/>
          <w:szCs w:val="22"/>
          <w:lang w:val="bg-BG"/>
        </w:rPr>
        <w:t>също намалява с времето</w:t>
      </w:r>
      <w:r w:rsidR="00C065B5" w:rsidRPr="00FE6AC6">
        <w:rPr>
          <w:rStyle w:val="EndnoteTextChar"/>
          <w:color w:val="000000"/>
          <w:lang w:val="bg-BG"/>
        </w:rPr>
        <w:t>.</w:t>
      </w:r>
    </w:p>
    <w:p w14:paraId="3E54FDD5" w14:textId="77777777" w:rsidR="00C065B5" w:rsidRPr="00FE6AC6" w:rsidRDefault="00C065B5" w:rsidP="0063575E">
      <w:pPr>
        <w:pStyle w:val="EndnoteText"/>
        <w:widowControl w:val="0"/>
        <w:rPr>
          <w:color w:val="000000"/>
          <w:lang w:val="bg-BG"/>
        </w:rPr>
      </w:pPr>
    </w:p>
    <w:p w14:paraId="3E54FDD6" w14:textId="77777777" w:rsidR="00C065B5" w:rsidRPr="00FE6AC6" w:rsidRDefault="00F0528A" w:rsidP="0063575E">
      <w:pPr>
        <w:pStyle w:val="EndnoteText"/>
        <w:widowControl w:val="0"/>
        <w:rPr>
          <w:color w:val="000000"/>
          <w:lang w:val="bg-BG"/>
        </w:rPr>
      </w:pPr>
      <w:r w:rsidRPr="00FE6AC6">
        <w:rPr>
          <w:color w:val="000000"/>
          <w:lang w:val="bg-BG"/>
        </w:rPr>
        <w:t xml:space="preserve">Общо </w:t>
      </w:r>
      <w:r w:rsidR="00613CB1" w:rsidRPr="00FE6AC6">
        <w:rPr>
          <w:color w:val="000000"/>
          <w:lang w:val="bg-BG"/>
        </w:rPr>
        <w:t>71</w:t>
      </w:r>
      <w:r w:rsidR="00C065B5" w:rsidRPr="00FE6AC6">
        <w:rPr>
          <w:color w:val="000000"/>
          <w:lang w:val="bg-BG"/>
        </w:rPr>
        <w:t xml:space="preserve"> (</w:t>
      </w:r>
      <w:r w:rsidR="00613CB1" w:rsidRPr="00FE6AC6">
        <w:rPr>
          <w:color w:val="000000"/>
          <w:lang w:val="bg-BG"/>
        </w:rPr>
        <w:t>12,8</w:t>
      </w:r>
      <w:r w:rsidR="00C065B5" w:rsidRPr="00FE6AC6">
        <w:rPr>
          <w:color w:val="000000"/>
          <w:lang w:val="bg-BG"/>
        </w:rPr>
        <w:t xml:space="preserve">%) </w:t>
      </w:r>
      <w:r w:rsidR="006D5353" w:rsidRPr="00FE6AC6">
        <w:rPr>
          <w:color w:val="000000"/>
          <w:lang w:val="bg-BG"/>
        </w:rPr>
        <w:t>и</w:t>
      </w:r>
      <w:r w:rsidR="00C065B5" w:rsidRPr="00FE6AC6">
        <w:rPr>
          <w:color w:val="000000"/>
          <w:lang w:val="bg-BG"/>
        </w:rPr>
        <w:t xml:space="preserve"> </w:t>
      </w:r>
      <w:r w:rsidR="00613CB1" w:rsidRPr="00FE6AC6">
        <w:rPr>
          <w:color w:val="000000"/>
          <w:lang w:val="bg-BG"/>
        </w:rPr>
        <w:t>85</w:t>
      </w:r>
      <w:r w:rsidR="00C065B5" w:rsidRPr="00FE6AC6">
        <w:rPr>
          <w:color w:val="000000"/>
          <w:lang w:val="bg-BG"/>
        </w:rPr>
        <w:t xml:space="preserve"> (</w:t>
      </w:r>
      <w:r w:rsidR="00613CB1" w:rsidRPr="00FE6AC6">
        <w:rPr>
          <w:color w:val="000000"/>
          <w:lang w:val="bg-BG"/>
        </w:rPr>
        <w:t>15,4</w:t>
      </w:r>
      <w:r w:rsidR="00C065B5" w:rsidRPr="00FE6AC6">
        <w:rPr>
          <w:color w:val="000000"/>
          <w:lang w:val="bg-BG"/>
        </w:rPr>
        <w:t xml:space="preserve">%) </w:t>
      </w:r>
      <w:r w:rsidR="007442C9" w:rsidRPr="00FE6AC6">
        <w:rPr>
          <w:color w:val="000000"/>
          <w:lang w:val="bg-BG"/>
        </w:rPr>
        <w:t xml:space="preserve">пациенти </w:t>
      </w:r>
      <w:r w:rsidRPr="00FE6AC6">
        <w:rPr>
          <w:color w:val="000000"/>
          <w:lang w:val="bg-BG"/>
        </w:rPr>
        <w:t xml:space="preserve">са починали съответно в групите на </w:t>
      </w:r>
      <w:r w:rsidR="00C065B5" w:rsidRPr="00FE6AC6">
        <w:rPr>
          <w:color w:val="000000"/>
        </w:rPr>
        <w:t>Glivec</w:t>
      </w:r>
      <w:r w:rsidR="00C065B5" w:rsidRPr="00FE6AC6">
        <w:rPr>
          <w:color w:val="000000"/>
          <w:lang w:val="bg-BG"/>
        </w:rPr>
        <w:t xml:space="preserve"> </w:t>
      </w:r>
      <w:r w:rsidR="006D5353" w:rsidRPr="00FE6AC6">
        <w:rPr>
          <w:color w:val="000000"/>
          <w:lang w:val="bg-BG"/>
        </w:rPr>
        <w:t>и</w:t>
      </w:r>
      <w:r w:rsidR="00C065B5" w:rsidRPr="00FE6AC6">
        <w:rPr>
          <w:color w:val="000000"/>
          <w:lang w:val="bg-BG"/>
        </w:rPr>
        <w:t xml:space="preserve"> </w:t>
      </w:r>
      <w:r w:rsidR="00C065B5" w:rsidRPr="00FE6AC6">
        <w:rPr>
          <w:color w:val="000000"/>
        </w:rPr>
        <w:t>IFN</w:t>
      </w:r>
      <w:r w:rsidR="00C065B5" w:rsidRPr="00FE6AC6">
        <w:rPr>
          <w:color w:val="000000"/>
          <w:lang w:val="bg-BG"/>
        </w:rPr>
        <w:t>+</w:t>
      </w:r>
      <w:r w:rsidR="00C065B5" w:rsidRPr="00FE6AC6">
        <w:rPr>
          <w:color w:val="000000"/>
        </w:rPr>
        <w:t>Ara</w:t>
      </w:r>
      <w:r w:rsidR="00C065B5" w:rsidRPr="00FE6AC6">
        <w:rPr>
          <w:color w:val="000000"/>
          <w:lang w:val="bg-BG"/>
        </w:rPr>
        <w:t>-</w:t>
      </w:r>
      <w:r w:rsidR="00C065B5" w:rsidRPr="00FE6AC6">
        <w:rPr>
          <w:color w:val="000000"/>
        </w:rPr>
        <w:t>C</w:t>
      </w:r>
      <w:r w:rsidR="00C065B5" w:rsidRPr="00FE6AC6">
        <w:rPr>
          <w:color w:val="000000"/>
          <w:lang w:val="bg-BG"/>
        </w:rPr>
        <w:t xml:space="preserve">. </w:t>
      </w:r>
      <w:r w:rsidRPr="00FE6AC6">
        <w:rPr>
          <w:color w:val="000000"/>
          <w:lang w:val="bg-BG"/>
        </w:rPr>
        <w:t xml:space="preserve">На </w:t>
      </w:r>
      <w:r w:rsidR="00AC6ACF" w:rsidRPr="00FE6AC6">
        <w:rPr>
          <w:color w:val="000000"/>
          <w:lang w:val="bg-BG"/>
        </w:rPr>
        <w:t>84</w:t>
      </w:r>
      <w:r w:rsidRPr="00FE6AC6">
        <w:rPr>
          <w:color w:val="000000"/>
          <w:lang w:val="bg-BG"/>
        </w:rPr>
        <w:t>-тия месец</w:t>
      </w:r>
      <w:r w:rsidR="00C065B5" w:rsidRPr="00FE6AC6">
        <w:rPr>
          <w:color w:val="000000"/>
          <w:lang w:val="bg-BG"/>
        </w:rPr>
        <w:t xml:space="preserve"> </w:t>
      </w:r>
      <w:r w:rsidRPr="00FE6AC6">
        <w:rPr>
          <w:color w:val="000000"/>
          <w:lang w:val="bg-BG"/>
        </w:rPr>
        <w:t>общата преживяемост се оценява на</w:t>
      </w:r>
      <w:r w:rsidR="00C065B5" w:rsidRPr="00FE6AC6">
        <w:rPr>
          <w:color w:val="000000"/>
          <w:lang w:val="bg-BG"/>
        </w:rPr>
        <w:t xml:space="preserve"> </w:t>
      </w:r>
      <w:r w:rsidR="00AC6ACF" w:rsidRPr="00FE6AC6">
        <w:rPr>
          <w:color w:val="000000"/>
          <w:lang w:val="bg-BG"/>
        </w:rPr>
        <w:t>86,4</w:t>
      </w:r>
      <w:r w:rsidR="00C065B5" w:rsidRPr="00FE6AC6">
        <w:rPr>
          <w:color w:val="000000"/>
          <w:lang w:val="bg-BG"/>
        </w:rPr>
        <w:t>% (</w:t>
      </w:r>
      <w:r w:rsidR="00AC6ACF" w:rsidRPr="00FE6AC6">
        <w:rPr>
          <w:color w:val="000000"/>
          <w:lang w:val="bg-BG"/>
        </w:rPr>
        <w:t>83</w:t>
      </w:r>
      <w:r w:rsidR="00386C47" w:rsidRPr="00FE6AC6">
        <w:rPr>
          <w:color w:val="000000"/>
          <w:lang w:val="bg-BG"/>
        </w:rPr>
        <w:t>,</w:t>
      </w:r>
      <w:r w:rsidR="00C065B5" w:rsidRPr="00FE6AC6">
        <w:rPr>
          <w:color w:val="000000"/>
          <w:lang w:val="bg-BG"/>
        </w:rPr>
        <w:t xml:space="preserve"> </w:t>
      </w:r>
      <w:r w:rsidR="00AC6ACF" w:rsidRPr="00FE6AC6">
        <w:rPr>
          <w:color w:val="000000"/>
          <w:lang w:val="bg-BG"/>
        </w:rPr>
        <w:t>90</w:t>
      </w:r>
      <w:r w:rsidR="00C065B5" w:rsidRPr="00FE6AC6">
        <w:rPr>
          <w:color w:val="000000"/>
          <w:lang w:val="bg-BG"/>
        </w:rPr>
        <w:t xml:space="preserve">) </w:t>
      </w:r>
      <w:r w:rsidRPr="00FE6AC6">
        <w:rPr>
          <w:color w:val="000000"/>
          <w:lang w:val="bg-BG"/>
        </w:rPr>
        <w:t xml:space="preserve">спрямо </w:t>
      </w:r>
      <w:r w:rsidR="00AC6ACF" w:rsidRPr="00FE6AC6">
        <w:rPr>
          <w:color w:val="000000"/>
          <w:lang w:val="bg-BG"/>
        </w:rPr>
        <w:t>83,3</w:t>
      </w:r>
      <w:r w:rsidR="00C065B5" w:rsidRPr="00FE6AC6">
        <w:rPr>
          <w:color w:val="000000"/>
          <w:lang w:val="bg-BG"/>
        </w:rPr>
        <w:t>% (</w:t>
      </w:r>
      <w:r w:rsidR="00AC6ACF" w:rsidRPr="00FE6AC6">
        <w:rPr>
          <w:color w:val="000000"/>
          <w:lang w:val="bg-BG"/>
        </w:rPr>
        <w:t>80</w:t>
      </w:r>
      <w:r w:rsidR="005E3846" w:rsidRPr="00FE6AC6">
        <w:rPr>
          <w:color w:val="000000"/>
          <w:lang w:val="bg-BG"/>
        </w:rPr>
        <w:t>,</w:t>
      </w:r>
      <w:r w:rsidR="00C065B5" w:rsidRPr="00FE6AC6">
        <w:rPr>
          <w:color w:val="000000"/>
          <w:lang w:val="bg-BG"/>
        </w:rPr>
        <w:t xml:space="preserve"> </w:t>
      </w:r>
      <w:r w:rsidR="00AC6ACF" w:rsidRPr="00FE6AC6">
        <w:rPr>
          <w:color w:val="000000"/>
          <w:lang w:val="bg-BG"/>
        </w:rPr>
        <w:t>87</w:t>
      </w:r>
      <w:r w:rsidR="00C065B5" w:rsidRPr="00FE6AC6">
        <w:rPr>
          <w:color w:val="000000"/>
          <w:lang w:val="bg-BG"/>
        </w:rPr>
        <w:t xml:space="preserve">) </w:t>
      </w:r>
      <w:r w:rsidR="008325C6" w:rsidRPr="00FE6AC6">
        <w:rPr>
          <w:color w:val="000000"/>
          <w:lang w:val="bg-BG"/>
        </w:rPr>
        <w:t>в рандомизираните групи на</w:t>
      </w:r>
      <w:r w:rsidR="00C065B5" w:rsidRPr="00FE6AC6">
        <w:rPr>
          <w:color w:val="000000"/>
          <w:lang w:val="bg-BG"/>
        </w:rPr>
        <w:t xml:space="preserve"> </w:t>
      </w:r>
      <w:r w:rsidR="00C065B5" w:rsidRPr="00FE6AC6">
        <w:rPr>
          <w:color w:val="000000"/>
        </w:rPr>
        <w:t>Glivec</w:t>
      </w:r>
      <w:r w:rsidR="00C065B5" w:rsidRPr="00FE6AC6">
        <w:rPr>
          <w:color w:val="000000"/>
          <w:lang w:val="bg-BG"/>
        </w:rPr>
        <w:t xml:space="preserve"> </w:t>
      </w:r>
      <w:r w:rsidR="006D5353" w:rsidRPr="00FE6AC6">
        <w:rPr>
          <w:color w:val="000000"/>
          <w:lang w:val="bg-BG"/>
        </w:rPr>
        <w:t>и</w:t>
      </w:r>
      <w:r w:rsidR="00C065B5" w:rsidRPr="00FE6AC6">
        <w:rPr>
          <w:color w:val="000000"/>
          <w:lang w:val="bg-BG"/>
        </w:rPr>
        <w:t xml:space="preserve"> </w:t>
      </w:r>
      <w:r w:rsidR="00C065B5" w:rsidRPr="00FE6AC6">
        <w:rPr>
          <w:color w:val="000000"/>
        </w:rPr>
        <w:t>IFN</w:t>
      </w:r>
      <w:r w:rsidR="00C065B5" w:rsidRPr="00FE6AC6">
        <w:rPr>
          <w:color w:val="000000"/>
          <w:lang w:val="bg-BG"/>
        </w:rPr>
        <w:t>+</w:t>
      </w:r>
      <w:r w:rsidR="00C065B5" w:rsidRPr="00FE6AC6">
        <w:rPr>
          <w:color w:val="000000"/>
        </w:rPr>
        <w:t>Ara</w:t>
      </w:r>
      <w:r w:rsidR="00C065B5" w:rsidRPr="00FE6AC6">
        <w:rPr>
          <w:color w:val="000000"/>
          <w:lang w:val="bg-BG"/>
        </w:rPr>
        <w:t>-</w:t>
      </w:r>
      <w:r w:rsidR="00C065B5" w:rsidRPr="00FE6AC6">
        <w:rPr>
          <w:color w:val="000000"/>
        </w:rPr>
        <w:t>C</w:t>
      </w:r>
      <w:r w:rsidR="00C065B5" w:rsidRPr="00FE6AC6">
        <w:rPr>
          <w:color w:val="000000"/>
          <w:lang w:val="bg-BG"/>
        </w:rPr>
        <w:t xml:space="preserve">, </w:t>
      </w:r>
      <w:r w:rsidR="008325C6" w:rsidRPr="00FE6AC6">
        <w:rPr>
          <w:color w:val="000000"/>
          <w:lang w:val="bg-BG"/>
        </w:rPr>
        <w:t>съответно</w:t>
      </w:r>
      <w:r w:rsidR="00C065B5" w:rsidRPr="00FE6AC6">
        <w:rPr>
          <w:color w:val="000000"/>
          <w:lang w:val="bg-BG"/>
        </w:rPr>
        <w:t xml:space="preserve"> (</w:t>
      </w:r>
      <w:r w:rsidR="00C065B5" w:rsidRPr="00FE6AC6">
        <w:rPr>
          <w:color w:val="000000"/>
        </w:rPr>
        <w:t>p</w:t>
      </w:r>
      <w:r w:rsidR="00C065B5" w:rsidRPr="00FE6AC6">
        <w:rPr>
          <w:color w:val="000000"/>
          <w:lang w:val="bg-BG"/>
        </w:rPr>
        <w:t>=0</w:t>
      </w:r>
      <w:r w:rsidR="00DA3770" w:rsidRPr="00FE6AC6">
        <w:rPr>
          <w:color w:val="000000"/>
          <w:lang w:val="bg-BG"/>
        </w:rPr>
        <w:t>,</w:t>
      </w:r>
      <w:r w:rsidR="00C065B5" w:rsidRPr="00FE6AC6">
        <w:rPr>
          <w:color w:val="000000"/>
          <w:lang w:val="bg-BG"/>
        </w:rPr>
        <w:t>0</w:t>
      </w:r>
      <w:r w:rsidR="003E7F15" w:rsidRPr="00FE6AC6">
        <w:rPr>
          <w:color w:val="000000"/>
          <w:lang w:val="bg-BG"/>
        </w:rPr>
        <w:t>73</w:t>
      </w:r>
      <w:r w:rsidR="00C065B5" w:rsidRPr="00FE6AC6">
        <w:rPr>
          <w:color w:val="000000"/>
          <w:lang w:val="bg-BG"/>
        </w:rPr>
        <w:t xml:space="preserve">, </w:t>
      </w:r>
      <w:r w:rsidR="00C065B5" w:rsidRPr="00FE6AC6">
        <w:rPr>
          <w:color w:val="000000"/>
        </w:rPr>
        <w:t>log</w:t>
      </w:r>
      <w:r w:rsidR="00C065B5" w:rsidRPr="00FE6AC6">
        <w:rPr>
          <w:color w:val="000000"/>
          <w:lang w:val="bg-BG"/>
        </w:rPr>
        <w:t>-</w:t>
      </w:r>
      <w:r w:rsidR="00C065B5" w:rsidRPr="00FE6AC6">
        <w:rPr>
          <w:color w:val="000000"/>
        </w:rPr>
        <w:t>rank</w:t>
      </w:r>
      <w:r w:rsidR="00C065B5" w:rsidRPr="00FE6AC6">
        <w:rPr>
          <w:color w:val="000000"/>
          <w:lang w:val="bg-BG"/>
        </w:rPr>
        <w:t xml:space="preserve"> </w:t>
      </w:r>
      <w:r w:rsidR="00C065B5" w:rsidRPr="00FE6AC6">
        <w:rPr>
          <w:color w:val="000000"/>
        </w:rPr>
        <w:t>test</w:t>
      </w:r>
      <w:r w:rsidR="00C065B5" w:rsidRPr="00FE6AC6">
        <w:rPr>
          <w:color w:val="000000"/>
          <w:lang w:val="bg-BG"/>
        </w:rPr>
        <w:t xml:space="preserve">). </w:t>
      </w:r>
      <w:r w:rsidR="004765FF" w:rsidRPr="00FE6AC6">
        <w:rPr>
          <w:color w:val="000000"/>
          <w:lang w:val="bg-BG"/>
        </w:rPr>
        <w:t>Т</w:t>
      </w:r>
      <w:r w:rsidR="001D4955" w:rsidRPr="00FE6AC6">
        <w:rPr>
          <w:color w:val="000000"/>
          <w:lang w:val="bg-BG"/>
        </w:rPr>
        <w:t xml:space="preserve">ази крайна </w:t>
      </w:r>
      <w:r w:rsidR="001D4955" w:rsidRPr="00FE6AC6">
        <w:rPr>
          <w:color w:val="000000"/>
          <w:lang w:val="bg-BG"/>
        </w:rPr>
        <w:lastRenderedPageBreak/>
        <w:t>точка</w:t>
      </w:r>
      <w:r w:rsidR="004765FF" w:rsidRPr="00FE6AC6">
        <w:rPr>
          <w:color w:val="000000"/>
          <w:lang w:val="bg-BG"/>
        </w:rPr>
        <w:t xml:space="preserve"> </w:t>
      </w:r>
      <w:r w:rsidR="007442C9" w:rsidRPr="00FE6AC6">
        <w:rPr>
          <w:color w:val="000000"/>
          <w:lang w:val="bg-BG"/>
        </w:rPr>
        <w:t>на “</w:t>
      </w:r>
      <w:r w:rsidR="004765FF" w:rsidRPr="00FE6AC6">
        <w:rPr>
          <w:color w:val="000000"/>
          <w:lang w:val="bg-BG"/>
        </w:rPr>
        <w:t>време до събитие</w:t>
      </w:r>
      <w:r w:rsidR="007442C9" w:rsidRPr="00FE6AC6">
        <w:rPr>
          <w:color w:val="000000"/>
          <w:lang w:val="bg-BG"/>
        </w:rPr>
        <w:t>”</w:t>
      </w:r>
      <w:r w:rsidR="004765FF" w:rsidRPr="00FE6AC6">
        <w:rPr>
          <w:color w:val="000000"/>
          <w:lang w:val="bg-BG"/>
        </w:rPr>
        <w:t xml:space="preserve"> </w:t>
      </w:r>
      <w:r w:rsidR="007442C9" w:rsidRPr="00FE6AC6">
        <w:rPr>
          <w:color w:val="000000"/>
          <w:lang w:val="bg-BG"/>
        </w:rPr>
        <w:t xml:space="preserve">е </w:t>
      </w:r>
      <w:r w:rsidR="004765FF" w:rsidRPr="00FE6AC6">
        <w:rPr>
          <w:color w:val="000000"/>
          <w:lang w:val="bg-BG"/>
        </w:rPr>
        <w:t xml:space="preserve">силно </w:t>
      </w:r>
      <w:r w:rsidR="007442C9" w:rsidRPr="00FE6AC6">
        <w:rPr>
          <w:color w:val="000000"/>
          <w:lang w:val="bg-BG"/>
        </w:rPr>
        <w:t>повлиявана</w:t>
      </w:r>
      <w:r w:rsidR="004765FF" w:rsidRPr="00FE6AC6">
        <w:rPr>
          <w:color w:val="000000"/>
          <w:lang w:val="bg-BG"/>
        </w:rPr>
        <w:t xml:space="preserve"> от </w:t>
      </w:r>
      <w:r w:rsidR="007442C9" w:rsidRPr="00FE6AC6">
        <w:rPr>
          <w:color w:val="000000"/>
          <w:lang w:val="bg-BG"/>
        </w:rPr>
        <w:t xml:space="preserve">високата </w:t>
      </w:r>
      <w:r w:rsidR="004765FF" w:rsidRPr="00FE6AC6">
        <w:rPr>
          <w:color w:val="000000"/>
          <w:lang w:val="bg-BG"/>
        </w:rPr>
        <w:t xml:space="preserve">степен на преминаване </w:t>
      </w:r>
      <w:r w:rsidR="007442C9" w:rsidRPr="00FE6AC6">
        <w:rPr>
          <w:color w:val="000000"/>
          <w:lang w:val="bg-BG"/>
        </w:rPr>
        <w:t xml:space="preserve">на пациенти от рамото на </w:t>
      </w:r>
      <w:r w:rsidR="00C065B5" w:rsidRPr="00FE6AC6">
        <w:rPr>
          <w:color w:val="000000"/>
        </w:rPr>
        <w:t>IFN</w:t>
      </w:r>
      <w:r w:rsidR="00C065B5" w:rsidRPr="00FE6AC6">
        <w:rPr>
          <w:color w:val="000000"/>
          <w:lang w:val="bg-BG"/>
        </w:rPr>
        <w:t>+</w:t>
      </w:r>
      <w:r w:rsidR="00C065B5" w:rsidRPr="00FE6AC6">
        <w:rPr>
          <w:color w:val="000000"/>
        </w:rPr>
        <w:t>Ara</w:t>
      </w:r>
      <w:r w:rsidR="00C065B5" w:rsidRPr="00FE6AC6">
        <w:rPr>
          <w:color w:val="000000"/>
          <w:lang w:val="bg-BG"/>
        </w:rPr>
        <w:t>-</w:t>
      </w:r>
      <w:r w:rsidR="00C065B5" w:rsidRPr="00FE6AC6">
        <w:rPr>
          <w:color w:val="000000"/>
        </w:rPr>
        <w:t>C</w:t>
      </w:r>
      <w:r w:rsidR="00C065B5" w:rsidRPr="00FE6AC6">
        <w:rPr>
          <w:color w:val="000000"/>
          <w:lang w:val="bg-BG"/>
        </w:rPr>
        <w:t xml:space="preserve"> </w:t>
      </w:r>
      <w:r w:rsidR="00192ADE" w:rsidRPr="00FE6AC6">
        <w:rPr>
          <w:color w:val="000000"/>
          <w:lang w:val="bg-BG"/>
        </w:rPr>
        <w:t xml:space="preserve">в това </w:t>
      </w:r>
      <w:r w:rsidR="004765FF" w:rsidRPr="00FE6AC6">
        <w:rPr>
          <w:color w:val="000000"/>
          <w:lang w:val="bg-BG"/>
        </w:rPr>
        <w:t>на</w:t>
      </w:r>
      <w:r w:rsidR="00C065B5" w:rsidRPr="00FE6AC6">
        <w:rPr>
          <w:color w:val="000000"/>
          <w:lang w:val="bg-BG"/>
        </w:rPr>
        <w:t xml:space="preserve"> </w:t>
      </w:r>
      <w:r w:rsidR="00C065B5" w:rsidRPr="00FE6AC6">
        <w:rPr>
          <w:color w:val="000000"/>
        </w:rPr>
        <w:t>Glivec</w:t>
      </w:r>
      <w:r w:rsidR="00C065B5" w:rsidRPr="00FE6AC6">
        <w:rPr>
          <w:color w:val="000000"/>
          <w:lang w:val="bg-BG"/>
        </w:rPr>
        <w:t xml:space="preserve">. </w:t>
      </w:r>
      <w:r w:rsidR="004765FF" w:rsidRPr="00FE6AC6">
        <w:rPr>
          <w:color w:val="000000"/>
          <w:lang w:val="bg-BG"/>
        </w:rPr>
        <w:t xml:space="preserve">Ефектът от лечението с </w:t>
      </w:r>
      <w:r w:rsidR="00C065B5" w:rsidRPr="00FE6AC6">
        <w:rPr>
          <w:color w:val="000000"/>
        </w:rPr>
        <w:t>Glivec</w:t>
      </w:r>
      <w:r w:rsidR="00C065B5" w:rsidRPr="00FE6AC6">
        <w:rPr>
          <w:color w:val="000000"/>
          <w:lang w:val="bg-BG"/>
        </w:rPr>
        <w:t xml:space="preserve"> </w:t>
      </w:r>
      <w:r w:rsidR="004765FF" w:rsidRPr="00FE6AC6">
        <w:rPr>
          <w:color w:val="000000"/>
          <w:lang w:val="bg-BG"/>
        </w:rPr>
        <w:t xml:space="preserve">върху преживяемостта </w:t>
      </w:r>
      <w:r w:rsidR="0023003C" w:rsidRPr="00FE6AC6">
        <w:rPr>
          <w:color w:val="000000"/>
          <w:lang w:val="bg-BG"/>
        </w:rPr>
        <w:t>при</w:t>
      </w:r>
      <w:r w:rsidR="00C065B5" w:rsidRPr="00FE6AC6">
        <w:rPr>
          <w:color w:val="000000"/>
          <w:lang w:val="bg-BG"/>
        </w:rPr>
        <w:t xml:space="preserve"> </w:t>
      </w:r>
      <w:r w:rsidR="0023003C" w:rsidRPr="00FE6AC6">
        <w:rPr>
          <w:color w:val="000000"/>
          <w:lang w:val="bg-BG"/>
        </w:rPr>
        <w:t xml:space="preserve">новодиагностицирана ХМЛ </w:t>
      </w:r>
      <w:r w:rsidR="00192ADE" w:rsidRPr="00FE6AC6">
        <w:rPr>
          <w:color w:val="000000"/>
          <w:lang w:val="bg-BG"/>
        </w:rPr>
        <w:t xml:space="preserve">в хронична фаза е бил </w:t>
      </w:r>
      <w:r w:rsidR="0023003C" w:rsidRPr="00FE6AC6">
        <w:rPr>
          <w:color w:val="000000"/>
          <w:lang w:val="bg-BG"/>
        </w:rPr>
        <w:t>изследва</w:t>
      </w:r>
      <w:r w:rsidR="00192ADE" w:rsidRPr="00FE6AC6">
        <w:rPr>
          <w:color w:val="000000"/>
          <w:lang w:val="bg-BG"/>
        </w:rPr>
        <w:t>н</w:t>
      </w:r>
      <w:r w:rsidR="0023003C" w:rsidRPr="00FE6AC6">
        <w:rPr>
          <w:color w:val="000000"/>
          <w:lang w:val="bg-BG"/>
        </w:rPr>
        <w:t xml:space="preserve"> допълнително чрез ретроспективен анализ на горе</w:t>
      </w:r>
      <w:r w:rsidR="00396B2D" w:rsidRPr="00FE6AC6">
        <w:rPr>
          <w:color w:val="000000"/>
          <w:lang w:val="bg-BG"/>
        </w:rPr>
        <w:t>-</w:t>
      </w:r>
      <w:r w:rsidR="0023003C" w:rsidRPr="00FE6AC6">
        <w:rPr>
          <w:color w:val="000000"/>
          <w:lang w:val="bg-BG"/>
        </w:rPr>
        <w:t>из</w:t>
      </w:r>
      <w:r w:rsidR="00396B2D" w:rsidRPr="00FE6AC6">
        <w:rPr>
          <w:color w:val="000000"/>
          <w:lang w:val="bg-BG"/>
        </w:rPr>
        <w:t>л</w:t>
      </w:r>
      <w:r w:rsidR="0023003C" w:rsidRPr="00FE6AC6">
        <w:rPr>
          <w:color w:val="000000"/>
          <w:lang w:val="bg-BG"/>
        </w:rPr>
        <w:t>ожените данни за</w:t>
      </w:r>
      <w:r w:rsidR="00C065B5" w:rsidRPr="00FE6AC6">
        <w:rPr>
          <w:color w:val="000000"/>
          <w:lang w:val="bg-BG"/>
        </w:rPr>
        <w:t xml:space="preserve"> </w:t>
      </w:r>
      <w:r w:rsidR="00C065B5" w:rsidRPr="00FE6AC6">
        <w:rPr>
          <w:color w:val="000000"/>
        </w:rPr>
        <w:t>Glivec</w:t>
      </w:r>
      <w:r w:rsidR="00C065B5" w:rsidRPr="00FE6AC6">
        <w:rPr>
          <w:color w:val="000000"/>
          <w:lang w:val="bg-BG"/>
        </w:rPr>
        <w:t xml:space="preserve"> </w:t>
      </w:r>
      <w:r w:rsidR="0023003C" w:rsidRPr="00FE6AC6">
        <w:rPr>
          <w:color w:val="000000"/>
          <w:lang w:val="bg-BG"/>
        </w:rPr>
        <w:t xml:space="preserve">и първичните данни от друго фаза </w:t>
      </w:r>
      <w:r w:rsidR="00C065B5" w:rsidRPr="00FE6AC6">
        <w:rPr>
          <w:color w:val="000000"/>
        </w:rPr>
        <w:t>III</w:t>
      </w:r>
      <w:r w:rsidR="00C065B5" w:rsidRPr="00FE6AC6">
        <w:rPr>
          <w:color w:val="000000"/>
          <w:lang w:val="bg-BG"/>
        </w:rPr>
        <w:t xml:space="preserve"> </w:t>
      </w:r>
      <w:r w:rsidR="0023003C" w:rsidRPr="00FE6AC6">
        <w:rPr>
          <w:color w:val="000000"/>
          <w:lang w:val="bg-BG"/>
        </w:rPr>
        <w:t>проучване, използващо</w:t>
      </w:r>
      <w:r w:rsidR="00C065B5" w:rsidRPr="00FE6AC6">
        <w:rPr>
          <w:color w:val="000000"/>
          <w:lang w:val="bg-BG"/>
        </w:rPr>
        <w:t xml:space="preserve"> </w:t>
      </w:r>
      <w:r w:rsidR="00C065B5" w:rsidRPr="00FE6AC6">
        <w:rPr>
          <w:color w:val="000000"/>
        </w:rPr>
        <w:t>IFN</w:t>
      </w:r>
      <w:r w:rsidR="00C065B5" w:rsidRPr="00FE6AC6">
        <w:rPr>
          <w:color w:val="000000"/>
          <w:lang w:val="bg-BG"/>
        </w:rPr>
        <w:t>+</w:t>
      </w:r>
      <w:r w:rsidR="00C065B5" w:rsidRPr="00FE6AC6">
        <w:rPr>
          <w:color w:val="000000"/>
        </w:rPr>
        <w:t>Ara</w:t>
      </w:r>
      <w:r w:rsidR="00C065B5" w:rsidRPr="00FE6AC6">
        <w:rPr>
          <w:color w:val="000000"/>
          <w:lang w:val="bg-BG"/>
        </w:rPr>
        <w:t>-</w:t>
      </w:r>
      <w:r w:rsidR="00C065B5" w:rsidRPr="00FE6AC6">
        <w:rPr>
          <w:color w:val="000000"/>
        </w:rPr>
        <w:t>C</w:t>
      </w:r>
      <w:r w:rsidR="00C065B5" w:rsidRPr="00FE6AC6">
        <w:rPr>
          <w:color w:val="000000"/>
          <w:lang w:val="bg-BG"/>
        </w:rPr>
        <w:t xml:space="preserve"> (</w:t>
      </w:r>
      <w:r w:rsidR="00C065B5" w:rsidRPr="00FE6AC6">
        <w:rPr>
          <w:color w:val="000000"/>
        </w:rPr>
        <w:t>n</w:t>
      </w:r>
      <w:r w:rsidR="00C065B5" w:rsidRPr="00FE6AC6">
        <w:rPr>
          <w:color w:val="000000"/>
          <w:lang w:val="bg-BG"/>
        </w:rPr>
        <w:t xml:space="preserve">=325) </w:t>
      </w:r>
      <w:r w:rsidR="0023003C" w:rsidRPr="00FE6AC6">
        <w:rPr>
          <w:color w:val="000000"/>
          <w:lang w:val="bg-BG"/>
        </w:rPr>
        <w:t>в същата дозировка</w:t>
      </w:r>
      <w:r w:rsidR="00C065B5" w:rsidRPr="00FE6AC6">
        <w:rPr>
          <w:color w:val="000000"/>
          <w:lang w:val="bg-BG"/>
        </w:rPr>
        <w:t xml:space="preserve">. </w:t>
      </w:r>
      <w:r w:rsidR="00B807C2" w:rsidRPr="00FE6AC6">
        <w:rPr>
          <w:color w:val="000000"/>
          <w:lang w:val="bg-BG"/>
        </w:rPr>
        <w:t>При този ретроспективен анализ</w:t>
      </w:r>
      <w:r w:rsidR="00192ADE" w:rsidRPr="00FE6AC6">
        <w:rPr>
          <w:color w:val="000000"/>
          <w:lang w:val="bg-BG"/>
        </w:rPr>
        <w:t xml:space="preserve"> се доказва п</w:t>
      </w:r>
      <w:r w:rsidR="00B807C2" w:rsidRPr="00FE6AC6">
        <w:rPr>
          <w:color w:val="000000"/>
          <w:lang w:val="bg-BG"/>
        </w:rPr>
        <w:t>ревъзходството на</w:t>
      </w:r>
      <w:r w:rsidR="00C065B5" w:rsidRPr="00FE6AC6">
        <w:rPr>
          <w:color w:val="000000"/>
          <w:lang w:val="bg-BG"/>
        </w:rPr>
        <w:t xml:space="preserve"> </w:t>
      </w:r>
      <w:r w:rsidR="00C065B5" w:rsidRPr="00FE6AC6">
        <w:rPr>
          <w:color w:val="000000"/>
        </w:rPr>
        <w:t>Glivec</w:t>
      </w:r>
      <w:r w:rsidR="00C065B5" w:rsidRPr="00FE6AC6">
        <w:rPr>
          <w:color w:val="000000"/>
          <w:lang w:val="bg-BG"/>
        </w:rPr>
        <w:t xml:space="preserve"> </w:t>
      </w:r>
      <w:r w:rsidR="00B807C2" w:rsidRPr="00FE6AC6">
        <w:rPr>
          <w:color w:val="000000"/>
          <w:lang w:val="bg-BG"/>
        </w:rPr>
        <w:t>пред</w:t>
      </w:r>
      <w:r w:rsidR="00C065B5" w:rsidRPr="00FE6AC6">
        <w:rPr>
          <w:color w:val="000000"/>
          <w:lang w:val="bg-BG"/>
        </w:rPr>
        <w:t xml:space="preserve"> </w:t>
      </w:r>
      <w:r w:rsidR="00C065B5" w:rsidRPr="00FE6AC6">
        <w:rPr>
          <w:color w:val="000000"/>
        </w:rPr>
        <w:t>IFN</w:t>
      </w:r>
      <w:r w:rsidR="00C065B5" w:rsidRPr="00FE6AC6">
        <w:rPr>
          <w:color w:val="000000"/>
          <w:lang w:val="bg-BG"/>
        </w:rPr>
        <w:t>+</w:t>
      </w:r>
      <w:r w:rsidR="00C065B5" w:rsidRPr="00FE6AC6">
        <w:rPr>
          <w:color w:val="000000"/>
        </w:rPr>
        <w:t>Ara</w:t>
      </w:r>
      <w:r w:rsidR="00C065B5" w:rsidRPr="00FE6AC6">
        <w:rPr>
          <w:color w:val="000000"/>
          <w:lang w:val="bg-BG"/>
        </w:rPr>
        <w:t>-</w:t>
      </w:r>
      <w:r w:rsidR="00C065B5" w:rsidRPr="00FE6AC6">
        <w:rPr>
          <w:color w:val="000000"/>
        </w:rPr>
        <w:t>C</w:t>
      </w:r>
      <w:r w:rsidR="00C065B5" w:rsidRPr="00FE6AC6">
        <w:rPr>
          <w:color w:val="000000"/>
          <w:lang w:val="bg-BG"/>
        </w:rPr>
        <w:t xml:space="preserve"> </w:t>
      </w:r>
      <w:r w:rsidR="00B807C2" w:rsidRPr="00FE6AC6">
        <w:rPr>
          <w:color w:val="000000"/>
          <w:lang w:val="bg-BG"/>
        </w:rPr>
        <w:t xml:space="preserve">по отношение на </w:t>
      </w:r>
      <w:r w:rsidR="00975696" w:rsidRPr="00FE6AC6">
        <w:rPr>
          <w:color w:val="000000"/>
          <w:lang w:val="bg-BG"/>
        </w:rPr>
        <w:t>о</w:t>
      </w:r>
      <w:r w:rsidR="00B807C2" w:rsidRPr="00FE6AC6">
        <w:rPr>
          <w:color w:val="000000"/>
          <w:lang w:val="bg-BG"/>
        </w:rPr>
        <w:t xml:space="preserve">бщата преживяемост </w:t>
      </w:r>
      <w:r w:rsidR="00C065B5" w:rsidRPr="00FE6AC6">
        <w:rPr>
          <w:color w:val="000000"/>
          <w:lang w:val="bg-BG"/>
        </w:rPr>
        <w:t>(</w:t>
      </w:r>
      <w:r w:rsidR="00C065B5" w:rsidRPr="00FE6AC6">
        <w:rPr>
          <w:color w:val="000000"/>
        </w:rPr>
        <w:t>p</w:t>
      </w:r>
      <w:r w:rsidR="00C065B5" w:rsidRPr="00FE6AC6">
        <w:rPr>
          <w:color w:val="000000"/>
          <w:lang w:val="bg-BG"/>
        </w:rPr>
        <w:t>&lt;0</w:t>
      </w:r>
      <w:r w:rsidR="0095596D" w:rsidRPr="00FE6AC6">
        <w:rPr>
          <w:color w:val="000000"/>
          <w:lang w:val="bg-BG"/>
        </w:rPr>
        <w:t>,</w:t>
      </w:r>
      <w:r w:rsidR="00C065B5" w:rsidRPr="00FE6AC6">
        <w:rPr>
          <w:color w:val="000000"/>
          <w:lang w:val="bg-BG"/>
        </w:rPr>
        <w:t>001)</w:t>
      </w:r>
      <w:r w:rsidR="00192ADE" w:rsidRPr="00FE6AC6">
        <w:rPr>
          <w:color w:val="000000"/>
          <w:lang w:val="bg-BG"/>
        </w:rPr>
        <w:t>;</w:t>
      </w:r>
      <w:r w:rsidR="00B807C2" w:rsidRPr="00FE6AC6">
        <w:rPr>
          <w:color w:val="000000"/>
          <w:lang w:val="bg-BG"/>
        </w:rPr>
        <w:t xml:space="preserve"> за период от </w:t>
      </w:r>
      <w:r w:rsidR="00C065B5" w:rsidRPr="00FE6AC6">
        <w:rPr>
          <w:color w:val="000000"/>
          <w:lang w:val="bg-BG"/>
        </w:rPr>
        <w:t>42</w:t>
      </w:r>
      <w:r w:rsidR="00C065B5" w:rsidRPr="00FE6AC6">
        <w:rPr>
          <w:color w:val="000000"/>
        </w:rPr>
        <w:t> </w:t>
      </w:r>
      <w:r w:rsidR="00B807C2" w:rsidRPr="00FE6AC6">
        <w:rPr>
          <w:color w:val="000000"/>
          <w:lang w:val="bg-BG"/>
        </w:rPr>
        <w:t>месеца</w:t>
      </w:r>
      <w:r w:rsidR="00C065B5" w:rsidRPr="00FE6AC6">
        <w:rPr>
          <w:color w:val="000000"/>
          <w:lang w:val="bg-BG"/>
        </w:rPr>
        <w:t>, 47 (8</w:t>
      </w:r>
      <w:r w:rsidR="00B807C2" w:rsidRPr="00FE6AC6">
        <w:rPr>
          <w:color w:val="000000"/>
          <w:lang w:val="bg-BG"/>
        </w:rPr>
        <w:t>,</w:t>
      </w:r>
      <w:r w:rsidR="00C065B5" w:rsidRPr="00FE6AC6">
        <w:rPr>
          <w:color w:val="000000"/>
          <w:lang w:val="bg-BG"/>
        </w:rPr>
        <w:t>5%)</w:t>
      </w:r>
      <w:r w:rsidR="00B807C2" w:rsidRPr="00FE6AC6">
        <w:rPr>
          <w:color w:val="000000"/>
          <w:lang w:val="bg-BG"/>
        </w:rPr>
        <w:t xml:space="preserve"> </w:t>
      </w:r>
      <w:r w:rsidR="00192ADE" w:rsidRPr="00FE6AC6">
        <w:rPr>
          <w:color w:val="000000"/>
          <w:lang w:val="bg-BG"/>
        </w:rPr>
        <w:t xml:space="preserve">от </w:t>
      </w:r>
      <w:r w:rsidR="00B807C2" w:rsidRPr="00FE6AC6">
        <w:rPr>
          <w:color w:val="000000"/>
          <w:lang w:val="bg-BG"/>
        </w:rPr>
        <w:t>пациенти</w:t>
      </w:r>
      <w:r w:rsidR="00192ADE" w:rsidRPr="00FE6AC6">
        <w:rPr>
          <w:color w:val="000000"/>
          <w:lang w:val="bg-BG"/>
        </w:rPr>
        <w:t>те</w:t>
      </w:r>
      <w:r w:rsidR="00B807C2" w:rsidRPr="00FE6AC6">
        <w:rPr>
          <w:color w:val="000000"/>
          <w:lang w:val="bg-BG"/>
        </w:rPr>
        <w:t xml:space="preserve"> на</w:t>
      </w:r>
      <w:r w:rsidR="00C065B5" w:rsidRPr="00FE6AC6">
        <w:rPr>
          <w:color w:val="000000"/>
          <w:lang w:val="bg-BG"/>
        </w:rPr>
        <w:t xml:space="preserve"> </w:t>
      </w:r>
      <w:r w:rsidR="00C065B5" w:rsidRPr="00FE6AC6">
        <w:rPr>
          <w:color w:val="000000"/>
        </w:rPr>
        <w:t>Glivec</w:t>
      </w:r>
      <w:r w:rsidR="00C065B5" w:rsidRPr="00FE6AC6">
        <w:rPr>
          <w:color w:val="000000"/>
          <w:lang w:val="bg-BG"/>
        </w:rPr>
        <w:t xml:space="preserve"> </w:t>
      </w:r>
      <w:r w:rsidR="006D5353" w:rsidRPr="00FE6AC6">
        <w:rPr>
          <w:color w:val="000000"/>
          <w:lang w:val="bg-BG"/>
        </w:rPr>
        <w:t>и</w:t>
      </w:r>
      <w:r w:rsidR="00C065B5" w:rsidRPr="00FE6AC6">
        <w:rPr>
          <w:color w:val="000000"/>
          <w:lang w:val="bg-BG"/>
        </w:rPr>
        <w:t xml:space="preserve"> 63 (19</w:t>
      </w:r>
      <w:r w:rsidR="00B807C2" w:rsidRPr="00FE6AC6">
        <w:rPr>
          <w:color w:val="000000"/>
          <w:lang w:val="bg-BG"/>
        </w:rPr>
        <w:t>,</w:t>
      </w:r>
      <w:r w:rsidR="00C065B5" w:rsidRPr="00FE6AC6">
        <w:rPr>
          <w:color w:val="000000"/>
          <w:lang w:val="bg-BG"/>
        </w:rPr>
        <w:t xml:space="preserve">4%) </w:t>
      </w:r>
      <w:r w:rsidR="00192ADE" w:rsidRPr="00FE6AC6">
        <w:rPr>
          <w:color w:val="000000"/>
          <w:lang w:val="bg-BG"/>
        </w:rPr>
        <w:t xml:space="preserve">от </w:t>
      </w:r>
      <w:r w:rsidR="00B807C2" w:rsidRPr="00FE6AC6">
        <w:rPr>
          <w:color w:val="000000"/>
          <w:lang w:val="bg-BG"/>
        </w:rPr>
        <w:t>пациенти</w:t>
      </w:r>
      <w:r w:rsidR="00192ADE" w:rsidRPr="00FE6AC6">
        <w:rPr>
          <w:color w:val="000000"/>
          <w:lang w:val="bg-BG"/>
        </w:rPr>
        <w:t>те</w:t>
      </w:r>
      <w:r w:rsidR="00B807C2" w:rsidRPr="00FE6AC6">
        <w:rPr>
          <w:color w:val="000000"/>
          <w:lang w:val="bg-BG"/>
        </w:rPr>
        <w:t xml:space="preserve"> на </w:t>
      </w:r>
      <w:r w:rsidR="00C065B5" w:rsidRPr="00FE6AC6">
        <w:rPr>
          <w:color w:val="000000"/>
        </w:rPr>
        <w:t>IFN</w:t>
      </w:r>
      <w:r w:rsidR="00C065B5" w:rsidRPr="00FE6AC6">
        <w:rPr>
          <w:color w:val="000000"/>
          <w:lang w:val="bg-BG"/>
        </w:rPr>
        <w:t>+</w:t>
      </w:r>
      <w:r w:rsidR="00C065B5" w:rsidRPr="00FE6AC6">
        <w:rPr>
          <w:color w:val="000000"/>
        </w:rPr>
        <w:t>Ara</w:t>
      </w:r>
      <w:r w:rsidR="00C065B5" w:rsidRPr="00FE6AC6">
        <w:rPr>
          <w:color w:val="000000"/>
          <w:lang w:val="bg-BG"/>
        </w:rPr>
        <w:t>-</w:t>
      </w:r>
      <w:r w:rsidR="00C065B5" w:rsidRPr="00FE6AC6">
        <w:rPr>
          <w:color w:val="000000"/>
        </w:rPr>
        <w:t>C</w:t>
      </w:r>
      <w:r w:rsidR="00C065B5" w:rsidRPr="00FE6AC6">
        <w:rPr>
          <w:color w:val="000000"/>
          <w:lang w:val="bg-BG"/>
        </w:rPr>
        <w:t xml:space="preserve"> </w:t>
      </w:r>
      <w:r w:rsidR="00B807C2" w:rsidRPr="00FE6AC6">
        <w:rPr>
          <w:color w:val="000000"/>
          <w:lang w:val="bg-BG"/>
        </w:rPr>
        <w:t>са починали</w:t>
      </w:r>
      <w:r w:rsidR="00C065B5" w:rsidRPr="00FE6AC6">
        <w:rPr>
          <w:color w:val="000000"/>
          <w:lang w:val="bg-BG"/>
        </w:rPr>
        <w:t>.</w:t>
      </w:r>
    </w:p>
    <w:p w14:paraId="3E54FDD7" w14:textId="77777777" w:rsidR="00C065B5" w:rsidRPr="00FE6AC6" w:rsidRDefault="00C065B5" w:rsidP="0063575E">
      <w:pPr>
        <w:pStyle w:val="EndnoteText"/>
        <w:widowControl w:val="0"/>
        <w:rPr>
          <w:color w:val="000000"/>
          <w:lang w:val="bg-BG"/>
        </w:rPr>
      </w:pPr>
    </w:p>
    <w:p w14:paraId="3E54FDD8" w14:textId="77777777" w:rsidR="00C065B5" w:rsidRPr="00FE6AC6" w:rsidRDefault="00396B2D" w:rsidP="0063575E">
      <w:pPr>
        <w:pStyle w:val="EndnoteText"/>
        <w:widowControl w:val="0"/>
        <w:rPr>
          <w:color w:val="000000"/>
          <w:lang w:val="bg-BG"/>
        </w:rPr>
      </w:pPr>
      <w:r w:rsidRPr="00FE6AC6">
        <w:rPr>
          <w:color w:val="000000"/>
          <w:lang w:val="bg-BG"/>
        </w:rPr>
        <w:t>Степента</w:t>
      </w:r>
      <w:r w:rsidR="00481D63" w:rsidRPr="00FE6AC6">
        <w:rPr>
          <w:color w:val="000000"/>
          <w:lang w:val="bg-BG"/>
        </w:rPr>
        <w:t xml:space="preserve"> на </w:t>
      </w:r>
      <w:r w:rsidR="00742D7E" w:rsidRPr="00FE6AC6">
        <w:rPr>
          <w:color w:val="000000"/>
          <w:lang w:val="bg-BG"/>
        </w:rPr>
        <w:t xml:space="preserve">цитогенетичен </w:t>
      </w:r>
      <w:r w:rsidR="00481D63" w:rsidRPr="00FE6AC6">
        <w:rPr>
          <w:color w:val="000000"/>
          <w:lang w:val="bg-BG"/>
        </w:rPr>
        <w:t xml:space="preserve">и </w:t>
      </w:r>
      <w:r w:rsidR="00742D7E" w:rsidRPr="00FE6AC6">
        <w:rPr>
          <w:color w:val="000000"/>
          <w:lang w:val="bg-BG"/>
        </w:rPr>
        <w:t>молекулярен</w:t>
      </w:r>
      <w:r w:rsidR="00481D63" w:rsidRPr="00FE6AC6">
        <w:rPr>
          <w:color w:val="000000"/>
          <w:lang w:val="bg-BG"/>
        </w:rPr>
        <w:t xml:space="preserve"> отговор </w:t>
      </w:r>
      <w:r w:rsidR="00742D7E" w:rsidRPr="00FE6AC6">
        <w:rPr>
          <w:color w:val="000000"/>
          <w:lang w:val="bg-BG"/>
        </w:rPr>
        <w:t xml:space="preserve">показва отчетлив </w:t>
      </w:r>
      <w:r w:rsidR="00481D63" w:rsidRPr="00FE6AC6">
        <w:rPr>
          <w:color w:val="000000"/>
          <w:lang w:val="bg-BG"/>
        </w:rPr>
        <w:t xml:space="preserve">ефект върху дългосрочните </w:t>
      </w:r>
      <w:r w:rsidRPr="00FE6AC6">
        <w:rPr>
          <w:color w:val="000000"/>
          <w:lang w:val="bg-BG"/>
        </w:rPr>
        <w:t>резултати</w:t>
      </w:r>
      <w:r w:rsidR="00481D63" w:rsidRPr="00FE6AC6">
        <w:rPr>
          <w:color w:val="000000"/>
          <w:lang w:val="bg-BG"/>
        </w:rPr>
        <w:t xml:space="preserve"> при пациентите на</w:t>
      </w:r>
      <w:r w:rsidR="00C065B5" w:rsidRPr="00FE6AC6">
        <w:rPr>
          <w:color w:val="000000"/>
          <w:lang w:val="bg-BG"/>
        </w:rPr>
        <w:t xml:space="preserve"> </w:t>
      </w:r>
      <w:r w:rsidR="00C065B5" w:rsidRPr="00FE6AC6">
        <w:rPr>
          <w:color w:val="000000"/>
        </w:rPr>
        <w:t>Glivec</w:t>
      </w:r>
      <w:r w:rsidR="00C065B5" w:rsidRPr="00FE6AC6">
        <w:rPr>
          <w:color w:val="000000"/>
          <w:lang w:val="bg-BG"/>
        </w:rPr>
        <w:t xml:space="preserve">. </w:t>
      </w:r>
      <w:r w:rsidR="00481D63" w:rsidRPr="00FE6AC6">
        <w:rPr>
          <w:color w:val="000000"/>
          <w:lang w:val="bg-BG"/>
        </w:rPr>
        <w:t xml:space="preserve">Докато </w:t>
      </w:r>
      <w:r w:rsidR="0057471C" w:rsidRPr="00FE6AC6">
        <w:rPr>
          <w:color w:val="000000"/>
          <w:lang w:val="bg-BG"/>
        </w:rPr>
        <w:t>96</w:t>
      </w:r>
      <w:r w:rsidR="00C065B5" w:rsidRPr="00FE6AC6">
        <w:rPr>
          <w:color w:val="000000"/>
          <w:lang w:val="bg-BG"/>
        </w:rPr>
        <w:t xml:space="preserve">% (93%) </w:t>
      </w:r>
      <w:r w:rsidR="00481D63" w:rsidRPr="00FE6AC6">
        <w:rPr>
          <w:color w:val="000000"/>
          <w:lang w:val="bg-BG"/>
        </w:rPr>
        <w:t xml:space="preserve">от пациентите </w:t>
      </w:r>
      <w:r w:rsidR="00742D7E" w:rsidRPr="00FE6AC6">
        <w:rPr>
          <w:color w:val="000000"/>
          <w:lang w:val="bg-BG"/>
        </w:rPr>
        <w:t>с</w:t>
      </w:r>
      <w:r w:rsidR="00C065B5" w:rsidRPr="00FE6AC6">
        <w:rPr>
          <w:color w:val="000000"/>
          <w:lang w:val="bg-BG"/>
        </w:rPr>
        <w:t xml:space="preserve"> </w:t>
      </w:r>
      <w:r w:rsidR="00C065B5" w:rsidRPr="00FE6AC6">
        <w:rPr>
          <w:color w:val="000000"/>
        </w:rPr>
        <w:t>CCyR</w:t>
      </w:r>
      <w:r w:rsidR="00C065B5" w:rsidRPr="00FE6AC6">
        <w:rPr>
          <w:color w:val="000000"/>
          <w:lang w:val="bg-BG"/>
        </w:rPr>
        <w:t xml:space="preserve"> (</w:t>
      </w:r>
      <w:r w:rsidR="00C065B5" w:rsidRPr="00FE6AC6">
        <w:rPr>
          <w:color w:val="000000"/>
        </w:rPr>
        <w:t>PCyR</w:t>
      </w:r>
      <w:r w:rsidR="00C065B5" w:rsidRPr="00FE6AC6">
        <w:rPr>
          <w:color w:val="000000"/>
          <w:lang w:val="bg-BG"/>
        </w:rPr>
        <w:t xml:space="preserve">) </w:t>
      </w:r>
      <w:r w:rsidR="00481D63" w:rsidRPr="00FE6AC6">
        <w:rPr>
          <w:color w:val="000000"/>
          <w:lang w:val="bg-BG"/>
        </w:rPr>
        <w:t>на</w:t>
      </w:r>
      <w:r w:rsidR="00C065B5" w:rsidRPr="00FE6AC6">
        <w:rPr>
          <w:color w:val="000000"/>
          <w:lang w:val="bg-BG"/>
        </w:rPr>
        <w:t xml:space="preserve"> 12</w:t>
      </w:r>
      <w:r w:rsidR="00481D63" w:rsidRPr="00FE6AC6">
        <w:rPr>
          <w:color w:val="000000"/>
          <w:lang w:val="bg-BG"/>
        </w:rPr>
        <w:t>-тия месец</w:t>
      </w:r>
      <w:r w:rsidR="00C065B5" w:rsidRPr="00FE6AC6">
        <w:rPr>
          <w:color w:val="000000"/>
          <w:lang w:val="bg-BG"/>
        </w:rPr>
        <w:t xml:space="preserve"> </w:t>
      </w:r>
      <w:r w:rsidR="00481D63" w:rsidRPr="00FE6AC6">
        <w:rPr>
          <w:color w:val="000000"/>
          <w:lang w:val="bg-BG"/>
        </w:rPr>
        <w:t>са били свободни от прогресия</w:t>
      </w:r>
      <w:r w:rsidR="00C065B5" w:rsidRPr="00FE6AC6">
        <w:rPr>
          <w:color w:val="000000"/>
          <w:lang w:val="bg-BG"/>
        </w:rPr>
        <w:t xml:space="preserve"> </w:t>
      </w:r>
      <w:r w:rsidR="00481D63" w:rsidRPr="00FE6AC6">
        <w:rPr>
          <w:color w:val="000000"/>
          <w:lang w:val="bg-BG"/>
        </w:rPr>
        <w:t>до фаза на акцелерация/бластна криза</w:t>
      </w:r>
      <w:r w:rsidR="00C065B5" w:rsidRPr="00FE6AC6">
        <w:rPr>
          <w:color w:val="000000"/>
          <w:lang w:val="bg-BG"/>
        </w:rPr>
        <w:t xml:space="preserve"> </w:t>
      </w:r>
      <w:r w:rsidR="00481D63" w:rsidRPr="00FE6AC6">
        <w:rPr>
          <w:color w:val="000000"/>
          <w:lang w:val="bg-BG"/>
        </w:rPr>
        <w:t>на</w:t>
      </w:r>
      <w:r w:rsidR="00C065B5" w:rsidRPr="00FE6AC6">
        <w:rPr>
          <w:color w:val="000000"/>
          <w:lang w:val="bg-BG"/>
        </w:rPr>
        <w:t xml:space="preserve"> </w:t>
      </w:r>
      <w:r w:rsidR="0057471C" w:rsidRPr="00FE6AC6">
        <w:rPr>
          <w:color w:val="000000"/>
          <w:lang w:val="bg-BG"/>
        </w:rPr>
        <w:t>84</w:t>
      </w:r>
      <w:r w:rsidR="00481D63" w:rsidRPr="00FE6AC6">
        <w:rPr>
          <w:color w:val="000000"/>
          <w:lang w:val="bg-BG"/>
        </w:rPr>
        <w:t>-тия месец</w:t>
      </w:r>
      <w:r w:rsidR="00C065B5" w:rsidRPr="00FE6AC6">
        <w:rPr>
          <w:color w:val="000000"/>
          <w:lang w:val="bg-BG"/>
        </w:rPr>
        <w:t xml:space="preserve">, </w:t>
      </w:r>
      <w:r w:rsidR="00481D63" w:rsidRPr="00FE6AC6">
        <w:rPr>
          <w:color w:val="000000"/>
          <w:lang w:val="bg-BG"/>
        </w:rPr>
        <w:t>само</w:t>
      </w:r>
      <w:r w:rsidR="00C065B5" w:rsidRPr="00FE6AC6">
        <w:rPr>
          <w:color w:val="000000"/>
          <w:lang w:val="bg-BG"/>
        </w:rPr>
        <w:t xml:space="preserve"> 81% </w:t>
      </w:r>
      <w:r w:rsidR="00481D63" w:rsidRPr="00FE6AC6">
        <w:rPr>
          <w:color w:val="000000"/>
          <w:lang w:val="bg-BG"/>
        </w:rPr>
        <w:t>от пациентите без</w:t>
      </w:r>
      <w:r w:rsidR="00C065B5" w:rsidRPr="00FE6AC6">
        <w:rPr>
          <w:color w:val="000000"/>
          <w:lang w:val="bg-BG"/>
        </w:rPr>
        <w:t xml:space="preserve"> </w:t>
      </w:r>
      <w:r w:rsidR="00C065B5" w:rsidRPr="00FE6AC6">
        <w:rPr>
          <w:color w:val="000000"/>
        </w:rPr>
        <w:t>MCyR</w:t>
      </w:r>
      <w:r w:rsidR="00C065B5" w:rsidRPr="00FE6AC6">
        <w:rPr>
          <w:color w:val="000000"/>
          <w:lang w:val="bg-BG"/>
        </w:rPr>
        <w:t xml:space="preserve"> </w:t>
      </w:r>
      <w:r w:rsidR="00481D63" w:rsidRPr="00FE6AC6">
        <w:rPr>
          <w:color w:val="000000"/>
          <w:lang w:val="bg-BG"/>
        </w:rPr>
        <w:t>на</w:t>
      </w:r>
      <w:r w:rsidR="00C065B5" w:rsidRPr="00FE6AC6">
        <w:rPr>
          <w:color w:val="000000"/>
          <w:lang w:val="bg-BG"/>
        </w:rPr>
        <w:t xml:space="preserve"> 12</w:t>
      </w:r>
      <w:r w:rsidR="00481D63" w:rsidRPr="00FE6AC6">
        <w:rPr>
          <w:color w:val="000000"/>
          <w:lang w:val="bg-BG"/>
        </w:rPr>
        <w:t>-тия месец</w:t>
      </w:r>
      <w:r w:rsidR="00C065B5" w:rsidRPr="00FE6AC6">
        <w:rPr>
          <w:color w:val="000000"/>
          <w:lang w:val="bg-BG"/>
        </w:rPr>
        <w:t xml:space="preserve"> </w:t>
      </w:r>
      <w:r w:rsidR="00481D63" w:rsidRPr="00FE6AC6">
        <w:rPr>
          <w:color w:val="000000"/>
          <w:lang w:val="bg-BG"/>
        </w:rPr>
        <w:t xml:space="preserve">са били свободни от прогресия до </w:t>
      </w:r>
      <w:r w:rsidR="00975696" w:rsidRPr="00FE6AC6">
        <w:rPr>
          <w:color w:val="000000"/>
          <w:lang w:val="bg-BG"/>
        </w:rPr>
        <w:t>ав</w:t>
      </w:r>
      <w:r w:rsidR="00481D63" w:rsidRPr="00FE6AC6">
        <w:rPr>
          <w:color w:val="000000"/>
          <w:lang w:val="bg-BG"/>
        </w:rPr>
        <w:t>ансирала ХМЛ</w:t>
      </w:r>
      <w:r w:rsidR="00975696" w:rsidRPr="00FE6AC6">
        <w:rPr>
          <w:color w:val="000000"/>
          <w:lang w:val="bg-BG"/>
        </w:rPr>
        <w:t xml:space="preserve"> </w:t>
      </w:r>
      <w:r w:rsidR="00481D63" w:rsidRPr="00FE6AC6">
        <w:rPr>
          <w:color w:val="000000"/>
          <w:lang w:val="bg-BG"/>
        </w:rPr>
        <w:t xml:space="preserve">на </w:t>
      </w:r>
      <w:r w:rsidR="0057471C" w:rsidRPr="00FE6AC6">
        <w:rPr>
          <w:color w:val="000000"/>
          <w:lang w:val="bg-BG"/>
        </w:rPr>
        <w:t>84</w:t>
      </w:r>
      <w:r w:rsidR="00481D63" w:rsidRPr="00FE6AC6">
        <w:rPr>
          <w:color w:val="000000"/>
          <w:lang w:val="bg-BG"/>
        </w:rPr>
        <w:t>-тия месец</w:t>
      </w:r>
      <w:r w:rsidR="00C065B5" w:rsidRPr="00FE6AC6">
        <w:rPr>
          <w:color w:val="000000"/>
          <w:lang w:val="bg-BG"/>
        </w:rPr>
        <w:t xml:space="preserve"> (</w:t>
      </w:r>
      <w:r w:rsidR="00C065B5" w:rsidRPr="00FE6AC6">
        <w:rPr>
          <w:color w:val="000000"/>
        </w:rPr>
        <w:t>p</w:t>
      </w:r>
      <w:r w:rsidR="00C065B5" w:rsidRPr="00FE6AC6">
        <w:rPr>
          <w:color w:val="000000"/>
          <w:lang w:val="bg-BG"/>
        </w:rPr>
        <w:t>&lt;0</w:t>
      </w:r>
      <w:r w:rsidR="00DA3770" w:rsidRPr="00FE6AC6">
        <w:rPr>
          <w:color w:val="000000"/>
          <w:lang w:val="bg-BG"/>
        </w:rPr>
        <w:t>,</w:t>
      </w:r>
      <w:r w:rsidR="00C065B5" w:rsidRPr="00FE6AC6">
        <w:rPr>
          <w:color w:val="000000"/>
          <w:lang w:val="bg-BG"/>
        </w:rPr>
        <w:t xml:space="preserve">001 </w:t>
      </w:r>
      <w:r w:rsidR="00481D63" w:rsidRPr="00FE6AC6">
        <w:rPr>
          <w:color w:val="000000"/>
          <w:lang w:val="bg-BG"/>
        </w:rPr>
        <w:t>общо</w:t>
      </w:r>
      <w:r w:rsidR="00C065B5" w:rsidRPr="00FE6AC6">
        <w:rPr>
          <w:color w:val="000000"/>
          <w:lang w:val="bg-BG"/>
        </w:rPr>
        <w:t xml:space="preserve">, </w:t>
      </w:r>
      <w:r w:rsidR="00C065B5" w:rsidRPr="00FE6AC6">
        <w:rPr>
          <w:color w:val="000000"/>
        </w:rPr>
        <w:t>p</w:t>
      </w:r>
      <w:r w:rsidR="00C065B5" w:rsidRPr="00FE6AC6">
        <w:rPr>
          <w:color w:val="000000"/>
          <w:lang w:val="bg-BG"/>
        </w:rPr>
        <w:t>=0</w:t>
      </w:r>
      <w:r w:rsidR="00DA3770" w:rsidRPr="00FE6AC6">
        <w:rPr>
          <w:color w:val="000000"/>
          <w:lang w:val="bg-BG"/>
        </w:rPr>
        <w:t>,</w:t>
      </w:r>
      <w:r w:rsidR="00C065B5" w:rsidRPr="00FE6AC6">
        <w:rPr>
          <w:color w:val="000000"/>
          <w:lang w:val="bg-BG"/>
        </w:rPr>
        <w:t>2</w:t>
      </w:r>
      <w:r w:rsidR="00F36D3A" w:rsidRPr="00FE6AC6">
        <w:rPr>
          <w:color w:val="000000"/>
          <w:lang w:val="bg-BG"/>
        </w:rPr>
        <w:t>5</w:t>
      </w:r>
      <w:r w:rsidR="00C065B5" w:rsidRPr="00FE6AC6">
        <w:rPr>
          <w:color w:val="000000"/>
          <w:lang w:val="bg-BG"/>
        </w:rPr>
        <w:t xml:space="preserve"> </w:t>
      </w:r>
      <w:r w:rsidR="00481D63" w:rsidRPr="00FE6AC6">
        <w:rPr>
          <w:color w:val="000000"/>
          <w:lang w:val="bg-BG"/>
        </w:rPr>
        <w:t>между</w:t>
      </w:r>
      <w:r w:rsidR="00C065B5" w:rsidRPr="00FE6AC6">
        <w:rPr>
          <w:color w:val="000000"/>
          <w:lang w:val="bg-BG"/>
        </w:rPr>
        <w:t xml:space="preserve"> </w:t>
      </w:r>
      <w:r w:rsidR="00C065B5" w:rsidRPr="00FE6AC6">
        <w:rPr>
          <w:color w:val="000000"/>
        </w:rPr>
        <w:t>CCyR</w:t>
      </w:r>
      <w:r w:rsidR="00C065B5" w:rsidRPr="00FE6AC6">
        <w:rPr>
          <w:color w:val="000000"/>
          <w:lang w:val="bg-BG"/>
        </w:rPr>
        <w:t xml:space="preserve"> </w:t>
      </w:r>
      <w:r w:rsidR="006D5353" w:rsidRPr="00FE6AC6">
        <w:rPr>
          <w:color w:val="000000"/>
          <w:lang w:val="bg-BG"/>
        </w:rPr>
        <w:t>и</w:t>
      </w:r>
      <w:r w:rsidR="00C065B5" w:rsidRPr="00FE6AC6">
        <w:rPr>
          <w:color w:val="000000"/>
          <w:lang w:val="bg-BG"/>
        </w:rPr>
        <w:t xml:space="preserve"> </w:t>
      </w:r>
      <w:r w:rsidR="00C065B5" w:rsidRPr="00FE6AC6">
        <w:rPr>
          <w:color w:val="000000"/>
        </w:rPr>
        <w:t>PCyR</w:t>
      </w:r>
      <w:r w:rsidR="00C065B5" w:rsidRPr="00FE6AC6">
        <w:rPr>
          <w:color w:val="000000"/>
          <w:lang w:val="bg-BG"/>
        </w:rPr>
        <w:t xml:space="preserve">). </w:t>
      </w:r>
      <w:r w:rsidR="00481D63" w:rsidRPr="00FE6AC6">
        <w:rPr>
          <w:color w:val="000000"/>
          <w:szCs w:val="22"/>
          <w:lang w:val="bg-BG"/>
        </w:rPr>
        <w:t>При пациентите с</w:t>
      </w:r>
      <w:r w:rsidR="00C065B5" w:rsidRPr="00FE6AC6">
        <w:rPr>
          <w:color w:val="000000"/>
          <w:szCs w:val="22"/>
          <w:lang w:val="bg-BG"/>
        </w:rPr>
        <w:t xml:space="preserve"> </w:t>
      </w:r>
      <w:r w:rsidR="00813225" w:rsidRPr="00FE6AC6">
        <w:rPr>
          <w:color w:val="000000"/>
          <w:szCs w:val="22"/>
          <w:lang w:val="bg-BG"/>
        </w:rPr>
        <w:t xml:space="preserve">понижение в </w:t>
      </w:r>
      <w:r w:rsidR="00C065B5" w:rsidRPr="00FE6AC6">
        <w:rPr>
          <w:color w:val="000000"/>
          <w:szCs w:val="22"/>
        </w:rPr>
        <w:t>Bcr</w:t>
      </w:r>
      <w:r w:rsidR="00C065B5" w:rsidRPr="00FE6AC6">
        <w:rPr>
          <w:color w:val="000000"/>
          <w:szCs w:val="22"/>
          <w:lang w:val="bg-BG"/>
        </w:rPr>
        <w:t>-</w:t>
      </w:r>
      <w:r w:rsidR="00C065B5" w:rsidRPr="00FE6AC6">
        <w:rPr>
          <w:color w:val="000000"/>
          <w:szCs w:val="22"/>
        </w:rPr>
        <w:t>Abl</w:t>
      </w:r>
      <w:r w:rsidR="00C065B5" w:rsidRPr="00FE6AC6">
        <w:rPr>
          <w:color w:val="000000"/>
          <w:szCs w:val="22"/>
          <w:lang w:val="bg-BG"/>
        </w:rPr>
        <w:t xml:space="preserve"> </w:t>
      </w:r>
      <w:r w:rsidR="00742D7E" w:rsidRPr="00FE6AC6">
        <w:rPr>
          <w:color w:val="000000"/>
          <w:szCs w:val="22"/>
          <w:lang w:val="bg-BG"/>
        </w:rPr>
        <w:t>транскриптите</w:t>
      </w:r>
      <w:r w:rsidR="00813225" w:rsidRPr="00FE6AC6">
        <w:rPr>
          <w:color w:val="000000"/>
          <w:szCs w:val="22"/>
          <w:lang w:val="bg-BG"/>
        </w:rPr>
        <w:t xml:space="preserve"> с поне </w:t>
      </w:r>
      <w:r w:rsidR="00C065B5" w:rsidRPr="00FE6AC6">
        <w:rPr>
          <w:color w:val="000000"/>
          <w:szCs w:val="22"/>
          <w:lang w:val="bg-BG"/>
        </w:rPr>
        <w:t>3</w:t>
      </w:r>
      <w:r w:rsidR="00C065B5" w:rsidRPr="00FE6AC6">
        <w:rPr>
          <w:color w:val="000000"/>
          <w:szCs w:val="22"/>
        </w:rPr>
        <w:t> </w:t>
      </w:r>
      <w:r w:rsidR="00813225" w:rsidRPr="00FE6AC6">
        <w:rPr>
          <w:color w:val="000000"/>
          <w:szCs w:val="22"/>
          <w:lang w:val="bg-BG"/>
        </w:rPr>
        <w:t>порядъка</w:t>
      </w:r>
      <w:r w:rsidR="00C065B5" w:rsidRPr="00FE6AC6">
        <w:rPr>
          <w:color w:val="000000"/>
          <w:szCs w:val="22"/>
          <w:lang w:val="bg-BG"/>
        </w:rPr>
        <w:t xml:space="preserve"> </w:t>
      </w:r>
      <w:r w:rsidR="00813225" w:rsidRPr="00FE6AC6">
        <w:rPr>
          <w:color w:val="000000"/>
          <w:szCs w:val="22"/>
          <w:lang w:val="bg-BG"/>
        </w:rPr>
        <w:t>на</w:t>
      </w:r>
      <w:r w:rsidR="00C065B5" w:rsidRPr="00FE6AC6">
        <w:rPr>
          <w:color w:val="000000"/>
          <w:szCs w:val="22"/>
          <w:lang w:val="bg-BG"/>
        </w:rPr>
        <w:t xml:space="preserve"> 12</w:t>
      </w:r>
      <w:r w:rsidR="00813225" w:rsidRPr="00FE6AC6">
        <w:rPr>
          <w:color w:val="000000"/>
          <w:szCs w:val="22"/>
          <w:lang w:val="bg-BG"/>
        </w:rPr>
        <w:t>-тия месец</w:t>
      </w:r>
      <w:r w:rsidR="00C065B5" w:rsidRPr="00FE6AC6">
        <w:rPr>
          <w:color w:val="000000"/>
          <w:szCs w:val="22"/>
          <w:lang w:val="bg-BG"/>
        </w:rPr>
        <w:t xml:space="preserve">, </w:t>
      </w:r>
      <w:r w:rsidR="00813225" w:rsidRPr="00FE6AC6">
        <w:rPr>
          <w:color w:val="000000"/>
          <w:szCs w:val="22"/>
          <w:lang w:val="bg-BG"/>
        </w:rPr>
        <w:t>вероятността за запазване на свободно от прогресия до фаза на акцелерация/бластна криза заболяване е била</w:t>
      </w:r>
      <w:r w:rsidR="00C065B5" w:rsidRPr="00FE6AC6">
        <w:rPr>
          <w:color w:val="000000"/>
          <w:szCs w:val="22"/>
          <w:lang w:val="bg-BG"/>
        </w:rPr>
        <w:t xml:space="preserve"> </w:t>
      </w:r>
      <w:r w:rsidR="00E615F4" w:rsidRPr="00FE6AC6">
        <w:rPr>
          <w:color w:val="000000"/>
          <w:szCs w:val="22"/>
          <w:lang w:val="bg-BG"/>
        </w:rPr>
        <w:t>99</w:t>
      </w:r>
      <w:r w:rsidR="00C065B5" w:rsidRPr="00FE6AC6">
        <w:rPr>
          <w:color w:val="000000"/>
          <w:szCs w:val="22"/>
          <w:lang w:val="bg-BG"/>
        </w:rPr>
        <w:t xml:space="preserve">% </w:t>
      </w:r>
      <w:r w:rsidR="00813225" w:rsidRPr="00FE6AC6">
        <w:rPr>
          <w:color w:val="000000"/>
          <w:szCs w:val="22"/>
          <w:lang w:val="bg-BG"/>
        </w:rPr>
        <w:t>на</w:t>
      </w:r>
      <w:r w:rsidR="00C065B5" w:rsidRPr="00FE6AC6">
        <w:rPr>
          <w:color w:val="000000"/>
          <w:szCs w:val="22"/>
          <w:lang w:val="bg-BG"/>
        </w:rPr>
        <w:t xml:space="preserve"> </w:t>
      </w:r>
      <w:r w:rsidR="00E615F4" w:rsidRPr="00FE6AC6">
        <w:rPr>
          <w:color w:val="000000"/>
          <w:szCs w:val="22"/>
          <w:lang w:val="bg-BG"/>
        </w:rPr>
        <w:t>84</w:t>
      </w:r>
      <w:r w:rsidR="00813225" w:rsidRPr="00FE6AC6">
        <w:rPr>
          <w:color w:val="000000"/>
          <w:szCs w:val="22"/>
          <w:lang w:val="bg-BG"/>
        </w:rPr>
        <w:t>-тия месец</w:t>
      </w:r>
      <w:r w:rsidR="00C065B5" w:rsidRPr="00FE6AC6">
        <w:rPr>
          <w:color w:val="000000"/>
          <w:szCs w:val="22"/>
          <w:lang w:val="bg-BG"/>
        </w:rPr>
        <w:t xml:space="preserve">. </w:t>
      </w:r>
      <w:r w:rsidR="00CD1E77" w:rsidRPr="00FE6AC6">
        <w:rPr>
          <w:color w:val="000000"/>
          <w:szCs w:val="22"/>
          <w:lang w:val="bg-BG"/>
        </w:rPr>
        <w:t xml:space="preserve">Подобни данни се установяват на базата на </w:t>
      </w:r>
      <w:r w:rsidR="00C065B5" w:rsidRPr="00FE6AC6">
        <w:rPr>
          <w:color w:val="000000"/>
          <w:szCs w:val="22"/>
          <w:lang w:val="bg-BG"/>
        </w:rPr>
        <w:t>18-</w:t>
      </w:r>
      <w:r w:rsidR="00CD1E77" w:rsidRPr="00FE6AC6">
        <w:rPr>
          <w:color w:val="000000"/>
          <w:szCs w:val="22"/>
          <w:lang w:val="bg-BG"/>
        </w:rPr>
        <w:t>месечен етапен анализ</w:t>
      </w:r>
      <w:r w:rsidR="00C065B5" w:rsidRPr="00FE6AC6">
        <w:rPr>
          <w:color w:val="000000"/>
          <w:lang w:val="bg-BG"/>
        </w:rPr>
        <w:t>.</w:t>
      </w:r>
    </w:p>
    <w:p w14:paraId="3E54FDD9" w14:textId="77777777" w:rsidR="00C065B5" w:rsidRPr="00FE6AC6" w:rsidRDefault="00C065B5" w:rsidP="0063575E">
      <w:pPr>
        <w:widowControl w:val="0"/>
        <w:spacing w:line="240" w:lineRule="auto"/>
        <w:rPr>
          <w:color w:val="000000"/>
          <w:lang w:val="bg-BG"/>
        </w:rPr>
      </w:pPr>
    </w:p>
    <w:p w14:paraId="3E54FDDA" w14:textId="77777777" w:rsidR="001636FA" w:rsidRPr="00FE6AC6" w:rsidRDefault="001636FA" w:rsidP="0063575E">
      <w:pPr>
        <w:widowControl w:val="0"/>
        <w:spacing w:line="240" w:lineRule="auto"/>
        <w:rPr>
          <w:color w:val="000000"/>
          <w:lang w:val="bg-BG"/>
        </w:rPr>
      </w:pPr>
      <w:r w:rsidRPr="00FE6AC6">
        <w:rPr>
          <w:color w:val="000000"/>
          <w:lang w:val="bg-BG"/>
        </w:rPr>
        <w:t>При това проучване е разрешено повишаване на дозата от</w:t>
      </w:r>
      <w:r w:rsidRPr="00FE6AC6">
        <w:rPr>
          <w:color w:val="000000"/>
          <w:lang w:val="en-US"/>
        </w:rPr>
        <w:t> </w:t>
      </w:r>
      <w:r w:rsidRPr="00FE6AC6">
        <w:rPr>
          <w:color w:val="000000"/>
          <w:lang w:val="bg-BG"/>
        </w:rPr>
        <w:t>400 mg дневно на</w:t>
      </w:r>
      <w:r w:rsidRPr="00FE6AC6">
        <w:rPr>
          <w:color w:val="000000"/>
          <w:lang w:val="en-US"/>
        </w:rPr>
        <w:t> </w:t>
      </w:r>
      <w:r w:rsidRPr="00FE6AC6">
        <w:rPr>
          <w:color w:val="000000"/>
          <w:lang w:val="bg-BG"/>
        </w:rPr>
        <w:t>600 mg дневно и след това от</w:t>
      </w:r>
      <w:r w:rsidRPr="00FE6AC6">
        <w:rPr>
          <w:color w:val="000000"/>
          <w:lang w:val="en-US"/>
        </w:rPr>
        <w:t> </w:t>
      </w:r>
      <w:r w:rsidRPr="00FE6AC6">
        <w:rPr>
          <w:color w:val="000000"/>
          <w:lang w:val="bg-BG"/>
        </w:rPr>
        <w:t>600 mg дневно на</w:t>
      </w:r>
      <w:r w:rsidRPr="00FE6AC6">
        <w:rPr>
          <w:color w:val="000000"/>
          <w:lang w:val="en-US"/>
        </w:rPr>
        <w:t> </w:t>
      </w:r>
      <w:r w:rsidRPr="00FE6AC6">
        <w:rPr>
          <w:color w:val="000000"/>
          <w:lang w:val="bg-BG"/>
        </w:rPr>
        <w:t>800 mg дневно. След</w:t>
      </w:r>
      <w:r w:rsidRPr="00FE6AC6">
        <w:rPr>
          <w:color w:val="000000"/>
          <w:lang w:val="en-US"/>
        </w:rPr>
        <w:t> </w:t>
      </w:r>
      <w:r w:rsidRPr="00FE6AC6">
        <w:rPr>
          <w:color w:val="000000"/>
          <w:lang w:val="bg-BG"/>
        </w:rPr>
        <w:t>42 месечно проследяване,</w:t>
      </w:r>
      <w:r w:rsidRPr="00FE6AC6">
        <w:rPr>
          <w:color w:val="000000"/>
          <w:lang w:val="en-US"/>
        </w:rPr>
        <w:t> </w:t>
      </w:r>
      <w:r w:rsidRPr="00FE6AC6">
        <w:rPr>
          <w:color w:val="000000"/>
          <w:lang w:val="bg-BG"/>
        </w:rPr>
        <w:t>11</w:t>
      </w:r>
      <w:r w:rsidRPr="00FE6AC6">
        <w:rPr>
          <w:color w:val="000000"/>
          <w:lang w:val="en-US"/>
        </w:rPr>
        <w:t> </w:t>
      </w:r>
      <w:r w:rsidRPr="00FE6AC6">
        <w:rPr>
          <w:color w:val="000000"/>
          <w:lang w:val="bg-BG"/>
        </w:rPr>
        <w:t>от пациентите имат потвърдена загуба (в рамките на</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седмици) на цитоге</w:t>
      </w:r>
      <w:r w:rsidR="00101306" w:rsidRPr="00FE6AC6">
        <w:rPr>
          <w:color w:val="000000"/>
          <w:lang w:val="bg-BG"/>
        </w:rPr>
        <w:t>н</w:t>
      </w:r>
      <w:r w:rsidRPr="00FE6AC6">
        <w:rPr>
          <w:color w:val="000000"/>
          <w:lang w:val="bg-BG"/>
        </w:rPr>
        <w:t>етичния отговор. От тези</w:t>
      </w:r>
      <w:r w:rsidRPr="00FE6AC6">
        <w:rPr>
          <w:color w:val="000000"/>
          <w:lang w:val="en-US"/>
        </w:rPr>
        <w:t> </w:t>
      </w:r>
      <w:r w:rsidRPr="00FE6AC6">
        <w:rPr>
          <w:color w:val="000000"/>
          <w:lang w:val="bg-BG"/>
        </w:rPr>
        <w:t>11 пациента</w:t>
      </w:r>
      <w:r w:rsidR="008201C2" w:rsidRPr="00FE6AC6">
        <w:rPr>
          <w:color w:val="000000"/>
          <w:lang w:val="bg-BG"/>
        </w:rPr>
        <w:t>,</w:t>
      </w:r>
      <w:r w:rsidRPr="00FE6AC6">
        <w:rPr>
          <w:color w:val="000000"/>
          <w:lang w:val="bg-BG"/>
        </w:rPr>
        <w:t xml:space="preserve"> при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 xml:space="preserve">дозата е </w:t>
      </w:r>
      <w:r w:rsidR="008201C2" w:rsidRPr="00FE6AC6">
        <w:rPr>
          <w:color w:val="000000"/>
          <w:lang w:val="bg-BG"/>
        </w:rPr>
        <w:t xml:space="preserve">била </w:t>
      </w:r>
      <w:r w:rsidRPr="00FE6AC6">
        <w:rPr>
          <w:color w:val="000000"/>
          <w:lang w:val="bg-BG"/>
        </w:rPr>
        <w:t>повишена до</w:t>
      </w:r>
      <w:r w:rsidRPr="00FE6AC6">
        <w:rPr>
          <w:color w:val="000000"/>
          <w:lang w:val="en-US"/>
        </w:rPr>
        <w:t> </w:t>
      </w:r>
      <w:r w:rsidRPr="00FE6AC6">
        <w:rPr>
          <w:color w:val="000000"/>
          <w:lang w:val="bg-BG"/>
        </w:rPr>
        <w:t>800 mg дневно, от които двама отново постигат цитогенетичен отговор (единият – частичен, а другият – пълен, като последният постига също молекулярен отговор), докато при</w:t>
      </w:r>
      <w:r w:rsidRPr="00FE6AC6">
        <w:rPr>
          <w:color w:val="000000"/>
          <w:lang w:val="en-US"/>
        </w:rPr>
        <w:t> </w:t>
      </w:r>
      <w:r w:rsidRPr="00FE6AC6">
        <w:rPr>
          <w:color w:val="000000"/>
          <w:lang w:val="bg-BG"/>
        </w:rPr>
        <w:t>7 пациенти, при които дозата не е повишена, само при един е постигнат пълен цитогенетичен отговор. Процентът на някои нежелани реакции е по-висок при пациентите, при които дозата е повишена на</w:t>
      </w:r>
      <w:r w:rsidRPr="00FE6AC6">
        <w:rPr>
          <w:color w:val="000000"/>
          <w:lang w:val="en-US"/>
        </w:rPr>
        <w:t> </w:t>
      </w:r>
      <w:r w:rsidRPr="00FE6AC6">
        <w:rPr>
          <w:color w:val="000000"/>
          <w:lang w:val="bg-BG"/>
        </w:rPr>
        <w:t xml:space="preserve">800 mg дневно, в сравнение с групата пациенти преди </w:t>
      </w:r>
      <w:r w:rsidR="008201C2" w:rsidRPr="00FE6AC6">
        <w:rPr>
          <w:color w:val="000000"/>
          <w:lang w:val="bg-BG"/>
        </w:rPr>
        <w:t xml:space="preserve">повишаването на </w:t>
      </w:r>
      <w:r w:rsidRPr="00FE6AC6">
        <w:rPr>
          <w:color w:val="000000"/>
          <w:lang w:val="bg-BG"/>
        </w:rPr>
        <w:t>дозата (n=551). Най-честите нежелани реакции включват гастро-интестинални кръвоизливи, конюнктивити и повишаване на трансаминазите или билирубина. Други нежелани реакции са описани с еднаква или по-ниска честота.</w:t>
      </w:r>
    </w:p>
    <w:p w14:paraId="3E54FDDB" w14:textId="77777777" w:rsidR="001636FA" w:rsidRPr="00FE6AC6" w:rsidRDefault="001636FA" w:rsidP="0063575E">
      <w:pPr>
        <w:widowControl w:val="0"/>
        <w:spacing w:line="240" w:lineRule="auto"/>
        <w:rPr>
          <w:color w:val="000000"/>
          <w:lang w:val="bg-BG"/>
        </w:rPr>
      </w:pPr>
    </w:p>
    <w:p w14:paraId="3E54FDDC" w14:textId="77777777" w:rsidR="001636FA" w:rsidRPr="00FE6AC6" w:rsidRDefault="001636FA" w:rsidP="0063575E">
      <w:pPr>
        <w:widowControl w:val="0"/>
        <w:spacing w:line="240" w:lineRule="auto"/>
        <w:rPr>
          <w:color w:val="000000"/>
          <w:lang w:val="bg-BG"/>
        </w:rPr>
      </w:pPr>
      <w:r w:rsidRPr="00FE6AC6">
        <w:rPr>
          <w:i/>
          <w:color w:val="000000"/>
          <w:lang w:val="bg-BG"/>
        </w:rPr>
        <w:t>Хронична фаза, неуспех от интерфероновата терапия</w:t>
      </w:r>
      <w:r w:rsidRPr="00FE6AC6">
        <w:rPr>
          <w:color w:val="000000"/>
          <w:lang w:val="bg-BG"/>
        </w:rPr>
        <w:t>: Лекувани са</w:t>
      </w:r>
      <w:r w:rsidRPr="00FE6AC6">
        <w:rPr>
          <w:color w:val="000000"/>
          <w:lang w:val="en-US"/>
        </w:rPr>
        <w:t> </w:t>
      </w:r>
      <w:r w:rsidRPr="00FE6AC6">
        <w:rPr>
          <w:color w:val="000000"/>
          <w:lang w:val="bg-BG"/>
        </w:rPr>
        <w:t>532 възрастни с начална доза от</w:t>
      </w:r>
      <w:r w:rsidRPr="00FE6AC6">
        <w:rPr>
          <w:color w:val="000000"/>
          <w:lang w:val="en-US"/>
        </w:rPr>
        <w:t> </w:t>
      </w:r>
      <w:r w:rsidRPr="00FE6AC6">
        <w:rPr>
          <w:color w:val="000000"/>
          <w:lang w:val="bg-BG"/>
        </w:rPr>
        <w:t xml:space="preserve">400 mg. Пациентите са </w:t>
      </w:r>
      <w:r w:rsidR="00891BA1" w:rsidRPr="00FE6AC6">
        <w:rPr>
          <w:color w:val="000000"/>
          <w:lang w:val="bg-BG"/>
        </w:rPr>
        <w:t xml:space="preserve">били </w:t>
      </w:r>
      <w:r w:rsidRPr="00FE6AC6">
        <w:rPr>
          <w:color w:val="000000"/>
          <w:lang w:val="bg-BG"/>
        </w:rPr>
        <w:t xml:space="preserve">разделени в три основни категории: хематологичен неуспех (29%), цитогенетичен неуспех (35%) или непоносимост към интерферона (36%). Пациентите са получавали </w:t>
      </w:r>
      <w:r w:rsidR="00891BA1" w:rsidRPr="00FE6AC6">
        <w:rPr>
          <w:color w:val="000000"/>
          <w:lang w:val="bg-BG"/>
        </w:rPr>
        <w:t xml:space="preserve">предхождаща IFN терапия с медиана на продължителност </w:t>
      </w:r>
      <w:r w:rsidRPr="00FE6AC6">
        <w:rPr>
          <w:color w:val="000000"/>
          <w:lang w:val="bg-BG"/>
        </w:rPr>
        <w:t>14 месеца в доза ≥25 x</w:t>
      </w:r>
      <w:r w:rsidRPr="00FE6AC6">
        <w:rPr>
          <w:color w:val="000000"/>
          <w:lang w:val="en-US"/>
        </w:rPr>
        <w:t> </w:t>
      </w:r>
      <w:r w:rsidRPr="00FE6AC6">
        <w:rPr>
          <w:color w:val="000000"/>
          <w:lang w:val="bg-BG"/>
        </w:rPr>
        <w:t>10</w:t>
      </w:r>
      <w:r w:rsidRPr="00FE6AC6">
        <w:rPr>
          <w:color w:val="000000"/>
          <w:vertAlign w:val="superscript"/>
          <w:lang w:val="bg-BG"/>
        </w:rPr>
        <w:t>6</w:t>
      </w:r>
      <w:r w:rsidRPr="00FE6AC6">
        <w:rPr>
          <w:color w:val="000000"/>
          <w:lang w:val="bg-BG"/>
        </w:rPr>
        <w:t>IU/седмично</w:t>
      </w:r>
      <w:r w:rsidR="00F56CF6" w:rsidRPr="00FE6AC6">
        <w:rPr>
          <w:color w:val="000000"/>
          <w:lang w:val="bg-BG"/>
        </w:rPr>
        <w:t>,</w:t>
      </w:r>
      <w:r w:rsidRPr="00FE6AC6">
        <w:rPr>
          <w:color w:val="000000"/>
          <w:lang w:val="bg-BG"/>
        </w:rPr>
        <w:t xml:space="preserve"> всички са били в късна хронична фаза, </w:t>
      </w:r>
      <w:r w:rsidR="00F56CF6" w:rsidRPr="00FE6AC6">
        <w:rPr>
          <w:color w:val="000000"/>
          <w:lang w:val="bg-BG"/>
        </w:rPr>
        <w:t xml:space="preserve">с медиана на периода </w:t>
      </w:r>
      <w:r w:rsidRPr="00FE6AC6">
        <w:rPr>
          <w:color w:val="000000"/>
          <w:lang w:val="bg-BG"/>
        </w:rPr>
        <w:t>след поставяне на диагнозата от</w:t>
      </w:r>
      <w:r w:rsidRPr="00FE6AC6">
        <w:rPr>
          <w:color w:val="000000"/>
          <w:lang w:val="en-US"/>
        </w:rPr>
        <w:t> </w:t>
      </w:r>
      <w:r w:rsidRPr="00FE6AC6">
        <w:rPr>
          <w:color w:val="000000"/>
          <w:lang w:val="bg-BG"/>
        </w:rPr>
        <w:t xml:space="preserve">32 месеца. </w:t>
      </w:r>
      <w:r w:rsidR="00A10FF9" w:rsidRPr="00FE6AC6">
        <w:rPr>
          <w:color w:val="000000"/>
          <w:lang w:val="bg-BG"/>
        </w:rPr>
        <w:t>Първичната крайна точка за</w:t>
      </w:r>
      <w:r w:rsidRPr="00FE6AC6">
        <w:rPr>
          <w:color w:val="000000"/>
          <w:lang w:val="bg-BG"/>
        </w:rPr>
        <w:t xml:space="preserve"> ефикасността на проучването е честотата на голям цитогенетичен отговор (пълен плюс частичен отговор,</w:t>
      </w:r>
      <w:r w:rsidRPr="00FE6AC6">
        <w:rPr>
          <w:color w:val="000000"/>
          <w:lang w:val="en-US"/>
        </w:rPr>
        <w:t> </w:t>
      </w:r>
      <w:r w:rsidRPr="00FE6AC6">
        <w:rPr>
          <w:color w:val="000000"/>
          <w:lang w:val="bg-BG"/>
        </w:rPr>
        <w:t>0 до</w:t>
      </w:r>
      <w:r w:rsidRPr="00FE6AC6">
        <w:rPr>
          <w:color w:val="000000"/>
          <w:lang w:val="en-US"/>
        </w:rPr>
        <w:t> </w:t>
      </w:r>
      <w:r w:rsidRPr="00FE6AC6">
        <w:rPr>
          <w:color w:val="000000"/>
          <w:lang w:val="bg-BG"/>
        </w:rPr>
        <w:t xml:space="preserve">35% Ph+ метафазни пластинки </w:t>
      </w:r>
      <w:r w:rsidR="00F91126" w:rsidRPr="00FE6AC6">
        <w:rPr>
          <w:color w:val="000000"/>
          <w:lang w:val="bg-BG"/>
        </w:rPr>
        <w:t>в</w:t>
      </w:r>
      <w:r w:rsidRPr="00FE6AC6">
        <w:rPr>
          <w:color w:val="000000"/>
          <w:lang w:val="bg-BG"/>
        </w:rPr>
        <w:t xml:space="preserve"> костния мозък).</w:t>
      </w:r>
    </w:p>
    <w:p w14:paraId="3E54FDDD" w14:textId="77777777" w:rsidR="001636FA" w:rsidRPr="00FE6AC6" w:rsidRDefault="001636FA" w:rsidP="0063575E">
      <w:pPr>
        <w:widowControl w:val="0"/>
        <w:spacing w:line="240" w:lineRule="auto"/>
        <w:rPr>
          <w:color w:val="000000"/>
          <w:lang w:val="bg-BG"/>
        </w:rPr>
      </w:pPr>
    </w:p>
    <w:p w14:paraId="3E54FDDE" w14:textId="77777777" w:rsidR="001636FA" w:rsidRPr="00FE6AC6" w:rsidRDefault="001636FA" w:rsidP="0063575E">
      <w:pPr>
        <w:widowControl w:val="0"/>
        <w:spacing w:line="240" w:lineRule="auto"/>
        <w:rPr>
          <w:color w:val="000000"/>
          <w:lang w:val="bg-BG"/>
        </w:rPr>
      </w:pPr>
      <w:r w:rsidRPr="00FE6AC6">
        <w:rPr>
          <w:color w:val="000000"/>
          <w:lang w:val="bg-BG"/>
        </w:rPr>
        <w:t>При това проучване</w:t>
      </w:r>
      <w:r w:rsidRPr="00FE6AC6">
        <w:rPr>
          <w:color w:val="000000"/>
          <w:lang w:val="en-US"/>
        </w:rPr>
        <w:t> </w:t>
      </w:r>
      <w:r w:rsidRPr="00FE6AC6">
        <w:rPr>
          <w:color w:val="000000"/>
          <w:lang w:val="bg-BG"/>
        </w:rPr>
        <w:t>65% от пациентите постигат голям цитогенетичен отговор, който е пълен при</w:t>
      </w:r>
      <w:r w:rsidRPr="00FE6AC6">
        <w:rPr>
          <w:color w:val="000000"/>
          <w:lang w:val="en-US"/>
        </w:rPr>
        <w:t> </w:t>
      </w:r>
      <w:r w:rsidRPr="00FE6AC6">
        <w:rPr>
          <w:color w:val="000000"/>
          <w:lang w:val="bg-BG"/>
        </w:rPr>
        <w:t>53% (потвърден в</w:t>
      </w:r>
      <w:r w:rsidRPr="00FE6AC6">
        <w:rPr>
          <w:color w:val="000000"/>
          <w:lang w:val="en-US"/>
        </w:rPr>
        <w:t> </w:t>
      </w:r>
      <w:r w:rsidRPr="00FE6AC6">
        <w:rPr>
          <w:color w:val="000000"/>
          <w:lang w:val="bg-BG"/>
        </w:rPr>
        <w:t>43%) от пациентите (Таблица</w:t>
      </w:r>
      <w:r w:rsidRPr="00FE6AC6">
        <w:rPr>
          <w:color w:val="000000"/>
          <w:lang w:val="en-US"/>
        </w:rPr>
        <w:t> </w:t>
      </w:r>
      <w:r w:rsidR="008C64DA" w:rsidRPr="00FE6AC6">
        <w:rPr>
          <w:color w:val="000000"/>
          <w:lang w:val="bg-BG"/>
        </w:rPr>
        <w:t>3</w:t>
      </w:r>
      <w:r w:rsidRPr="00FE6AC6">
        <w:rPr>
          <w:color w:val="000000"/>
          <w:lang w:val="bg-BG"/>
        </w:rPr>
        <w:t>). Пълен хематологичен отговор е постигнат при</w:t>
      </w:r>
      <w:r w:rsidRPr="00FE6AC6">
        <w:rPr>
          <w:color w:val="000000"/>
          <w:lang w:val="en-US"/>
        </w:rPr>
        <w:t> </w:t>
      </w:r>
      <w:r w:rsidRPr="00FE6AC6">
        <w:rPr>
          <w:color w:val="000000"/>
          <w:lang w:val="bg-BG"/>
        </w:rPr>
        <w:t>95% от пациентите.</w:t>
      </w:r>
    </w:p>
    <w:p w14:paraId="3E54FDDF" w14:textId="77777777" w:rsidR="001636FA" w:rsidRPr="00FE6AC6" w:rsidRDefault="001636FA" w:rsidP="0063575E">
      <w:pPr>
        <w:widowControl w:val="0"/>
        <w:spacing w:line="240" w:lineRule="auto"/>
        <w:rPr>
          <w:i/>
          <w:color w:val="000000"/>
          <w:lang w:val="bg-BG"/>
        </w:rPr>
      </w:pPr>
    </w:p>
    <w:p w14:paraId="3E54FDE0" w14:textId="77777777" w:rsidR="001636FA" w:rsidRPr="00FE6AC6" w:rsidRDefault="001636FA" w:rsidP="0063575E">
      <w:pPr>
        <w:widowControl w:val="0"/>
        <w:spacing w:line="240" w:lineRule="auto"/>
        <w:rPr>
          <w:color w:val="000000"/>
          <w:lang w:val="bg-BG"/>
        </w:rPr>
      </w:pPr>
      <w:r w:rsidRPr="00FE6AC6">
        <w:rPr>
          <w:i/>
          <w:color w:val="000000"/>
          <w:lang w:val="bg-BG"/>
        </w:rPr>
        <w:t>Фаза на акцелерация:</w:t>
      </w:r>
      <w:r w:rsidRPr="00FE6AC6">
        <w:rPr>
          <w:color w:val="000000"/>
          <w:lang w:val="bg-BG"/>
        </w:rPr>
        <w:t xml:space="preserve"> Включени са</w:t>
      </w:r>
      <w:r w:rsidRPr="00FE6AC6">
        <w:rPr>
          <w:color w:val="000000"/>
          <w:lang w:val="en-US"/>
        </w:rPr>
        <w:t> </w:t>
      </w:r>
      <w:r w:rsidRPr="00FE6AC6">
        <w:rPr>
          <w:color w:val="000000"/>
          <w:lang w:val="bg-BG"/>
        </w:rPr>
        <w:t>235 възрас</w:t>
      </w:r>
      <w:r w:rsidR="005F670B" w:rsidRPr="00FE6AC6">
        <w:rPr>
          <w:color w:val="000000"/>
          <w:lang w:val="bg-BG"/>
        </w:rPr>
        <w:t>т</w:t>
      </w:r>
      <w:r w:rsidRPr="00FE6AC6">
        <w:rPr>
          <w:color w:val="000000"/>
          <w:lang w:val="bg-BG"/>
        </w:rPr>
        <w:t>ни пациенти със заболяване във фаза на акцелерация. При първите</w:t>
      </w:r>
      <w:r w:rsidRPr="00FE6AC6">
        <w:rPr>
          <w:color w:val="000000"/>
          <w:lang w:val="en-US"/>
        </w:rPr>
        <w:t> </w:t>
      </w:r>
      <w:r w:rsidRPr="00FE6AC6">
        <w:rPr>
          <w:color w:val="000000"/>
          <w:lang w:val="bg-BG"/>
        </w:rPr>
        <w:t>77 пациенти лечението е започнато с</w:t>
      </w:r>
      <w:r w:rsidRPr="00FE6AC6">
        <w:rPr>
          <w:color w:val="000000"/>
          <w:lang w:val="en-US"/>
        </w:rPr>
        <w:t> </w:t>
      </w:r>
      <w:r w:rsidRPr="00FE6AC6">
        <w:rPr>
          <w:color w:val="000000"/>
          <w:lang w:val="bg-BG"/>
        </w:rPr>
        <w:t xml:space="preserve">400 mg, като впоследствие протоколът е променен, </w:t>
      </w:r>
      <w:r w:rsidR="005F670B" w:rsidRPr="00FE6AC6">
        <w:rPr>
          <w:color w:val="000000"/>
          <w:lang w:val="bg-BG"/>
        </w:rPr>
        <w:t>като</w:t>
      </w:r>
      <w:r w:rsidRPr="00FE6AC6">
        <w:rPr>
          <w:color w:val="000000"/>
          <w:lang w:val="bg-BG"/>
        </w:rPr>
        <w:t xml:space="preserve"> се позволят по-високи дози, </w:t>
      </w:r>
      <w:r w:rsidR="005F670B" w:rsidRPr="00FE6AC6">
        <w:rPr>
          <w:color w:val="000000"/>
          <w:lang w:val="bg-BG"/>
        </w:rPr>
        <w:t>така че</w:t>
      </w:r>
      <w:r w:rsidRPr="00FE6AC6">
        <w:rPr>
          <w:color w:val="000000"/>
          <w:lang w:val="bg-BG"/>
        </w:rPr>
        <w:t xml:space="preserve"> при останалите</w:t>
      </w:r>
      <w:r w:rsidRPr="00FE6AC6">
        <w:rPr>
          <w:color w:val="000000"/>
          <w:lang w:val="en-US"/>
        </w:rPr>
        <w:t> </w:t>
      </w:r>
      <w:r w:rsidRPr="00FE6AC6">
        <w:rPr>
          <w:color w:val="000000"/>
          <w:lang w:val="bg-BG"/>
        </w:rPr>
        <w:t>158 пациенти лечението е започнато с</w:t>
      </w:r>
      <w:r w:rsidRPr="00FE6AC6">
        <w:rPr>
          <w:color w:val="000000"/>
          <w:lang w:val="en-US"/>
        </w:rPr>
        <w:t> </w:t>
      </w:r>
      <w:r w:rsidRPr="00FE6AC6">
        <w:rPr>
          <w:color w:val="000000"/>
          <w:lang w:val="bg-BG"/>
        </w:rPr>
        <w:t>600 mg.</w:t>
      </w:r>
    </w:p>
    <w:p w14:paraId="3E54FDE1" w14:textId="77777777" w:rsidR="001636FA" w:rsidRPr="00FE6AC6" w:rsidRDefault="001636FA" w:rsidP="0063575E">
      <w:pPr>
        <w:widowControl w:val="0"/>
        <w:spacing w:line="240" w:lineRule="auto"/>
        <w:rPr>
          <w:color w:val="000000"/>
          <w:lang w:val="bg-BG"/>
        </w:rPr>
      </w:pPr>
    </w:p>
    <w:p w14:paraId="3E54FDE2" w14:textId="77777777" w:rsidR="001636FA" w:rsidRPr="00FE6AC6" w:rsidRDefault="003B7FE4" w:rsidP="0063575E">
      <w:pPr>
        <w:widowControl w:val="0"/>
        <w:spacing w:line="240" w:lineRule="auto"/>
        <w:rPr>
          <w:color w:val="000000"/>
          <w:lang w:val="bg-BG"/>
        </w:rPr>
      </w:pPr>
      <w:r w:rsidRPr="00FE6AC6">
        <w:rPr>
          <w:color w:val="000000"/>
          <w:lang w:val="bg-BG"/>
        </w:rPr>
        <w:t xml:space="preserve">Първичната крайна точка </w:t>
      </w:r>
      <w:r w:rsidR="00A64A54" w:rsidRPr="00FE6AC6">
        <w:rPr>
          <w:color w:val="000000"/>
          <w:lang w:val="bg-BG"/>
        </w:rPr>
        <w:t>за</w:t>
      </w:r>
      <w:r w:rsidR="001636FA" w:rsidRPr="00FE6AC6">
        <w:rPr>
          <w:color w:val="000000"/>
          <w:lang w:val="bg-BG"/>
        </w:rPr>
        <w:t xml:space="preserve"> ефикасността е </w:t>
      </w:r>
      <w:r w:rsidRPr="00FE6AC6">
        <w:rPr>
          <w:color w:val="000000"/>
          <w:lang w:val="bg-BG"/>
        </w:rPr>
        <w:t xml:space="preserve">била </w:t>
      </w:r>
      <w:r w:rsidR="001636FA" w:rsidRPr="00FE6AC6">
        <w:rPr>
          <w:color w:val="000000"/>
          <w:lang w:val="bg-BG"/>
        </w:rPr>
        <w:t>честотата на хематологичен отговор, докладван</w:t>
      </w:r>
      <w:r w:rsidRPr="00FE6AC6">
        <w:rPr>
          <w:color w:val="000000"/>
          <w:lang w:val="bg-BG"/>
        </w:rPr>
        <w:t>а</w:t>
      </w:r>
      <w:r w:rsidR="001636FA" w:rsidRPr="00FE6AC6">
        <w:rPr>
          <w:color w:val="000000"/>
          <w:lang w:val="bg-BG"/>
        </w:rPr>
        <w:t xml:space="preserve"> или като пълен хематологичен отговор, без данни за левкемия (т.е. изчистване на костния мозък и кръвта от бласти, но без пълно възстановяване нa периферната кръв както при пълния отговор) или преминаване отново в хроничната фаза на ХМЛ. Потвърден хематологичен отговор е постигнат при</w:t>
      </w:r>
      <w:r w:rsidR="001636FA" w:rsidRPr="00FE6AC6">
        <w:rPr>
          <w:color w:val="000000"/>
          <w:lang w:val="en-US"/>
        </w:rPr>
        <w:t> </w:t>
      </w:r>
      <w:r w:rsidR="001636FA" w:rsidRPr="00FE6AC6">
        <w:rPr>
          <w:color w:val="000000"/>
          <w:lang w:val="bg-BG"/>
        </w:rPr>
        <w:t>71,5% от пациентите (Таблица</w:t>
      </w:r>
      <w:r w:rsidR="001636FA" w:rsidRPr="00FE6AC6">
        <w:rPr>
          <w:color w:val="000000"/>
          <w:lang w:val="en-US"/>
        </w:rPr>
        <w:t> </w:t>
      </w:r>
      <w:r w:rsidR="008C64DA" w:rsidRPr="00FE6AC6">
        <w:rPr>
          <w:color w:val="000000"/>
          <w:lang w:val="bg-BG"/>
        </w:rPr>
        <w:t>3</w:t>
      </w:r>
      <w:r w:rsidR="001636FA" w:rsidRPr="00FE6AC6">
        <w:rPr>
          <w:color w:val="000000"/>
          <w:lang w:val="bg-BG"/>
        </w:rPr>
        <w:t>). Важно е да се отбележи, че</w:t>
      </w:r>
      <w:r w:rsidR="001636FA" w:rsidRPr="00FE6AC6">
        <w:rPr>
          <w:color w:val="000000"/>
          <w:lang w:val="en-US"/>
        </w:rPr>
        <w:t> </w:t>
      </w:r>
      <w:r w:rsidR="001636FA" w:rsidRPr="00FE6AC6">
        <w:rPr>
          <w:color w:val="000000"/>
          <w:lang w:val="bg-BG"/>
        </w:rPr>
        <w:t>27,7% от пациенти също постигат голям цитогенетичен отговор, който е бил пълен при</w:t>
      </w:r>
      <w:r w:rsidR="001636FA" w:rsidRPr="00FE6AC6">
        <w:rPr>
          <w:color w:val="000000"/>
          <w:lang w:val="en-US"/>
        </w:rPr>
        <w:t> </w:t>
      </w:r>
      <w:r w:rsidR="001636FA" w:rsidRPr="00FE6AC6">
        <w:rPr>
          <w:color w:val="000000"/>
          <w:lang w:val="bg-BG"/>
        </w:rPr>
        <w:t>20,4% (потвърден при</w:t>
      </w:r>
      <w:r w:rsidR="001636FA" w:rsidRPr="00FE6AC6">
        <w:rPr>
          <w:color w:val="000000"/>
          <w:lang w:val="en-US"/>
        </w:rPr>
        <w:t> </w:t>
      </w:r>
      <w:r w:rsidR="001636FA" w:rsidRPr="00FE6AC6">
        <w:rPr>
          <w:color w:val="000000"/>
          <w:lang w:val="bg-BG"/>
        </w:rPr>
        <w:t>16%) от пациентите. За пациентите лекувани с</w:t>
      </w:r>
      <w:r w:rsidR="001636FA" w:rsidRPr="00FE6AC6">
        <w:rPr>
          <w:color w:val="000000"/>
          <w:lang w:val="en-US"/>
        </w:rPr>
        <w:t> </w:t>
      </w:r>
      <w:r w:rsidR="001636FA" w:rsidRPr="00FE6AC6">
        <w:rPr>
          <w:color w:val="000000"/>
          <w:lang w:val="bg-BG"/>
        </w:rPr>
        <w:t xml:space="preserve">600 mg, </w:t>
      </w:r>
      <w:r w:rsidR="001636FA" w:rsidRPr="00FE6AC6">
        <w:rPr>
          <w:color w:val="000000"/>
          <w:lang w:val="bg-BG"/>
        </w:rPr>
        <w:lastRenderedPageBreak/>
        <w:t xml:space="preserve">текущите оценки за </w:t>
      </w:r>
      <w:r w:rsidR="00ED6B01" w:rsidRPr="00FE6AC6">
        <w:rPr>
          <w:color w:val="000000"/>
          <w:lang w:val="bg-BG"/>
        </w:rPr>
        <w:t>медианата на</w:t>
      </w:r>
      <w:r w:rsidR="001636FA" w:rsidRPr="00FE6AC6">
        <w:rPr>
          <w:color w:val="000000"/>
          <w:lang w:val="bg-BG"/>
        </w:rPr>
        <w:t xml:space="preserve"> преживяемост без прогреси</w:t>
      </w:r>
      <w:r w:rsidR="00A30CB4" w:rsidRPr="00FE6AC6">
        <w:rPr>
          <w:color w:val="000000"/>
          <w:lang w:val="bg-BG"/>
        </w:rPr>
        <w:t>я</w:t>
      </w:r>
      <w:r w:rsidR="001636FA" w:rsidRPr="00FE6AC6">
        <w:rPr>
          <w:color w:val="000000"/>
          <w:lang w:val="bg-BG"/>
        </w:rPr>
        <w:t xml:space="preserve"> и обща преживяемост са 22,9 и</w:t>
      </w:r>
      <w:r w:rsidR="001636FA" w:rsidRPr="00FE6AC6">
        <w:rPr>
          <w:color w:val="000000"/>
          <w:lang w:val="en-US"/>
        </w:rPr>
        <w:t> </w:t>
      </w:r>
      <w:r w:rsidR="001636FA" w:rsidRPr="00FE6AC6">
        <w:rPr>
          <w:color w:val="000000"/>
          <w:lang w:val="bg-BG"/>
        </w:rPr>
        <w:t>42,5 месеца</w:t>
      </w:r>
      <w:r w:rsidR="00ED6B01" w:rsidRPr="00FE6AC6">
        <w:rPr>
          <w:color w:val="000000"/>
          <w:lang w:val="bg-BG"/>
        </w:rPr>
        <w:t>, съответно</w:t>
      </w:r>
      <w:r w:rsidR="001636FA" w:rsidRPr="00FE6AC6">
        <w:rPr>
          <w:color w:val="000000"/>
          <w:lang w:val="bg-BG"/>
        </w:rPr>
        <w:t>.</w:t>
      </w:r>
    </w:p>
    <w:p w14:paraId="3E54FDE3" w14:textId="77777777" w:rsidR="001636FA" w:rsidRPr="00FE6AC6" w:rsidRDefault="001636FA" w:rsidP="0063575E">
      <w:pPr>
        <w:widowControl w:val="0"/>
        <w:spacing w:line="240" w:lineRule="auto"/>
        <w:rPr>
          <w:color w:val="000000"/>
          <w:lang w:val="bg-BG"/>
        </w:rPr>
      </w:pPr>
    </w:p>
    <w:p w14:paraId="3E54FDE4" w14:textId="77777777" w:rsidR="001636FA" w:rsidRPr="00FE6AC6" w:rsidRDefault="001636FA" w:rsidP="0063575E">
      <w:pPr>
        <w:widowControl w:val="0"/>
        <w:spacing w:line="240" w:lineRule="auto"/>
        <w:rPr>
          <w:color w:val="000000"/>
          <w:lang w:val="bg-BG"/>
        </w:rPr>
      </w:pPr>
      <w:r w:rsidRPr="00FE6AC6">
        <w:rPr>
          <w:i/>
          <w:color w:val="000000"/>
          <w:lang w:val="bg-BG"/>
        </w:rPr>
        <w:t>Миелоидна бластна криза:</w:t>
      </w:r>
      <w:r w:rsidRPr="00FE6AC6">
        <w:rPr>
          <w:color w:val="000000"/>
          <w:lang w:val="bg-BG"/>
        </w:rPr>
        <w:t xml:space="preserve"> Включени са</w:t>
      </w:r>
      <w:r w:rsidRPr="00FE6AC6">
        <w:rPr>
          <w:color w:val="000000"/>
          <w:lang w:val="en-US"/>
        </w:rPr>
        <w:t> </w:t>
      </w:r>
      <w:r w:rsidRPr="00FE6AC6">
        <w:rPr>
          <w:color w:val="000000"/>
          <w:lang w:val="bg-BG"/>
        </w:rPr>
        <w:t>260 пациенти с миелоидна бластна криза.</w:t>
      </w:r>
      <w:r w:rsidRPr="00FE6AC6">
        <w:rPr>
          <w:color w:val="000000"/>
          <w:lang w:val="en-US"/>
        </w:rPr>
        <w:t> </w:t>
      </w:r>
      <w:r w:rsidRPr="00FE6AC6">
        <w:rPr>
          <w:color w:val="000000"/>
          <w:lang w:val="ru-RU"/>
        </w:rPr>
        <w:t>9</w:t>
      </w:r>
      <w:r w:rsidRPr="00FE6AC6">
        <w:rPr>
          <w:color w:val="000000"/>
          <w:lang w:val="bg-BG"/>
        </w:rPr>
        <w:t xml:space="preserve">5 (37%) пациенти са получавали предхождаща химиотерапия за лечение </w:t>
      </w:r>
      <w:r w:rsidR="00221689" w:rsidRPr="00FE6AC6">
        <w:rPr>
          <w:color w:val="000000"/>
          <w:lang w:val="bg-BG"/>
        </w:rPr>
        <w:t xml:space="preserve">на </w:t>
      </w:r>
      <w:r w:rsidRPr="00FE6AC6">
        <w:rPr>
          <w:color w:val="000000"/>
          <w:lang w:val="bg-BG"/>
        </w:rPr>
        <w:t>фаза на акцелерация или бластна криза (“предварително лекувани пациенти”)</w:t>
      </w:r>
      <w:r w:rsidR="004C132B" w:rsidRPr="00FE6AC6">
        <w:rPr>
          <w:color w:val="000000"/>
          <w:lang w:val="bg-BG"/>
        </w:rPr>
        <w:t>,</w:t>
      </w:r>
      <w:r w:rsidRPr="00FE6AC6">
        <w:rPr>
          <w:color w:val="000000"/>
          <w:lang w:val="bg-BG"/>
        </w:rPr>
        <w:t xml:space="preserve"> докато останалите</w:t>
      </w:r>
      <w:r w:rsidRPr="00FE6AC6">
        <w:rPr>
          <w:color w:val="000000"/>
          <w:lang w:val="en-US"/>
        </w:rPr>
        <w:t> </w:t>
      </w:r>
      <w:r w:rsidRPr="00FE6AC6">
        <w:rPr>
          <w:color w:val="000000"/>
          <w:lang w:val="ru-RU"/>
        </w:rPr>
        <w:t>1</w:t>
      </w:r>
      <w:r w:rsidRPr="00FE6AC6">
        <w:rPr>
          <w:color w:val="000000"/>
          <w:lang w:val="bg-BG"/>
        </w:rPr>
        <w:t>65 (63%) не са получавали (“нелекувани пациенти”) лечение. Първите</w:t>
      </w:r>
      <w:r w:rsidRPr="00FE6AC6">
        <w:rPr>
          <w:color w:val="000000"/>
          <w:lang w:val="en-US"/>
        </w:rPr>
        <w:t> </w:t>
      </w:r>
      <w:r w:rsidRPr="00FE6AC6">
        <w:rPr>
          <w:color w:val="000000"/>
          <w:lang w:val="bg-BG"/>
        </w:rPr>
        <w:t>37 пациенти започват лечението</w:t>
      </w:r>
      <w:r w:rsidRPr="00FE6AC6">
        <w:rPr>
          <w:color w:val="000000"/>
          <w:lang w:val="en-US"/>
        </w:rPr>
        <w:t> </w:t>
      </w:r>
      <w:r w:rsidRPr="00FE6AC6">
        <w:rPr>
          <w:color w:val="000000"/>
          <w:lang w:val="bg-BG"/>
        </w:rPr>
        <w:t>400 mg</w:t>
      </w:r>
      <w:r w:rsidR="004C132B" w:rsidRPr="00FE6AC6">
        <w:rPr>
          <w:color w:val="000000"/>
          <w:lang w:val="bg-BG"/>
        </w:rPr>
        <w:t>,</w:t>
      </w:r>
      <w:r w:rsidRPr="00FE6AC6">
        <w:rPr>
          <w:color w:val="000000"/>
          <w:lang w:val="bg-BG"/>
        </w:rPr>
        <w:t xml:space="preserve"> като впоследствие протоколът е променен, така че да се </w:t>
      </w:r>
      <w:r w:rsidR="004C132B" w:rsidRPr="00FE6AC6">
        <w:rPr>
          <w:color w:val="000000"/>
          <w:lang w:val="bg-BG"/>
        </w:rPr>
        <w:t xml:space="preserve">позволят </w:t>
      </w:r>
      <w:r w:rsidRPr="00FE6AC6">
        <w:rPr>
          <w:color w:val="000000"/>
          <w:lang w:val="bg-BG"/>
        </w:rPr>
        <w:t>по-високи дози и при останалите</w:t>
      </w:r>
      <w:r w:rsidRPr="00FE6AC6">
        <w:rPr>
          <w:color w:val="000000"/>
          <w:lang w:val="en-US"/>
        </w:rPr>
        <w:t> </w:t>
      </w:r>
      <w:r w:rsidRPr="00FE6AC6">
        <w:rPr>
          <w:color w:val="000000"/>
          <w:lang w:val="bg-BG"/>
        </w:rPr>
        <w:t>223 пациенти лечението е започнато с 600 mg.</w:t>
      </w:r>
    </w:p>
    <w:p w14:paraId="3E54FDE5" w14:textId="77777777" w:rsidR="001636FA" w:rsidRPr="00FE6AC6" w:rsidRDefault="001636FA" w:rsidP="0063575E">
      <w:pPr>
        <w:widowControl w:val="0"/>
        <w:spacing w:line="240" w:lineRule="auto"/>
        <w:rPr>
          <w:color w:val="000000"/>
          <w:lang w:val="bg-BG"/>
        </w:rPr>
      </w:pPr>
    </w:p>
    <w:p w14:paraId="3E54FDE6" w14:textId="77777777" w:rsidR="001636FA" w:rsidRPr="00FE6AC6" w:rsidRDefault="00A10FF9" w:rsidP="0063575E">
      <w:pPr>
        <w:widowControl w:val="0"/>
        <w:spacing w:line="240" w:lineRule="auto"/>
        <w:rPr>
          <w:color w:val="000000"/>
          <w:lang w:val="bg-BG"/>
        </w:rPr>
      </w:pPr>
      <w:r w:rsidRPr="00FE6AC6">
        <w:rPr>
          <w:color w:val="000000"/>
          <w:lang w:val="bg-BG"/>
        </w:rPr>
        <w:t>Първичната крайна точка за</w:t>
      </w:r>
      <w:r w:rsidR="001636FA" w:rsidRPr="00FE6AC6">
        <w:rPr>
          <w:color w:val="000000"/>
          <w:lang w:val="bg-BG"/>
        </w:rPr>
        <w:t xml:space="preserve"> ефикасността е </w:t>
      </w:r>
      <w:r w:rsidR="00806CA0" w:rsidRPr="00FE6AC6">
        <w:rPr>
          <w:color w:val="000000"/>
          <w:lang w:val="bg-BG"/>
        </w:rPr>
        <w:t xml:space="preserve">била </w:t>
      </w:r>
      <w:r w:rsidR="001636FA" w:rsidRPr="00FE6AC6">
        <w:rPr>
          <w:color w:val="000000"/>
          <w:lang w:val="bg-BG"/>
        </w:rPr>
        <w:t>честотата на хематологичен отговор, докладван или като пълен хематологичен отговор, без данни за левкемия или преминаване отново в хроничната фаза на ХМЛ</w:t>
      </w:r>
      <w:r w:rsidR="00806CA0" w:rsidRPr="00FE6AC6">
        <w:rPr>
          <w:color w:val="000000"/>
          <w:lang w:val="bg-BG"/>
        </w:rPr>
        <w:t>,</w:t>
      </w:r>
      <w:r w:rsidR="001636FA" w:rsidRPr="00FE6AC6">
        <w:rPr>
          <w:color w:val="000000"/>
          <w:lang w:val="bg-BG"/>
        </w:rPr>
        <w:t xml:space="preserve"> като се използват същите критерии</w:t>
      </w:r>
      <w:r w:rsidR="00B16757" w:rsidRPr="00FE6AC6">
        <w:rPr>
          <w:color w:val="000000"/>
          <w:lang w:val="bg-BG"/>
        </w:rPr>
        <w:t>,</w:t>
      </w:r>
      <w:r w:rsidR="001636FA" w:rsidRPr="00FE6AC6">
        <w:rPr>
          <w:color w:val="000000"/>
          <w:lang w:val="bg-BG"/>
        </w:rPr>
        <w:t xml:space="preserve"> както при проучването във фазата на акцелерация. При това проучване 31% от пациентите постигат хематологичен отговор (36% от </w:t>
      </w:r>
      <w:r w:rsidR="00B16757" w:rsidRPr="00FE6AC6">
        <w:rPr>
          <w:color w:val="000000"/>
          <w:lang w:val="bg-BG"/>
        </w:rPr>
        <w:t>“</w:t>
      </w:r>
      <w:r w:rsidR="001636FA" w:rsidRPr="00FE6AC6">
        <w:rPr>
          <w:color w:val="000000"/>
          <w:lang w:val="bg-BG"/>
        </w:rPr>
        <w:t>предварително нелекуваните пациенти</w:t>
      </w:r>
      <w:r w:rsidR="00B16757" w:rsidRPr="00FE6AC6">
        <w:rPr>
          <w:color w:val="000000"/>
          <w:lang w:val="bg-BG"/>
        </w:rPr>
        <w:t>”</w:t>
      </w:r>
      <w:r w:rsidR="001636FA" w:rsidRPr="00FE6AC6">
        <w:rPr>
          <w:color w:val="000000"/>
          <w:lang w:val="bg-BG"/>
        </w:rPr>
        <w:t xml:space="preserve"> и 22% от </w:t>
      </w:r>
      <w:r w:rsidR="00B319D7" w:rsidRPr="00FE6AC6">
        <w:rPr>
          <w:color w:val="000000"/>
          <w:lang w:val="bg-BG"/>
        </w:rPr>
        <w:t>“</w:t>
      </w:r>
      <w:r w:rsidR="001636FA" w:rsidRPr="00FE6AC6">
        <w:rPr>
          <w:color w:val="000000"/>
          <w:lang w:val="bg-BG"/>
        </w:rPr>
        <w:t>предварително лекуваните пациенти</w:t>
      </w:r>
      <w:r w:rsidR="00B319D7" w:rsidRPr="00FE6AC6">
        <w:rPr>
          <w:color w:val="000000"/>
          <w:lang w:val="bg-BG"/>
        </w:rPr>
        <w:t>”</w:t>
      </w:r>
      <w:r w:rsidR="001636FA" w:rsidRPr="00FE6AC6">
        <w:rPr>
          <w:color w:val="000000"/>
          <w:lang w:val="bg-BG"/>
        </w:rPr>
        <w:t xml:space="preserve">). Честотата на отговор е </w:t>
      </w:r>
      <w:r w:rsidR="0064698B" w:rsidRPr="00FE6AC6">
        <w:rPr>
          <w:color w:val="000000"/>
          <w:lang w:val="bg-BG"/>
        </w:rPr>
        <w:t>била</w:t>
      </w:r>
      <w:r w:rsidR="001636FA" w:rsidRPr="00FE6AC6">
        <w:rPr>
          <w:color w:val="000000"/>
          <w:lang w:val="bg-BG"/>
        </w:rPr>
        <w:t xml:space="preserve"> по-висока при пациентите, лекувани с 600 mg (33%), в сравнение с тези, които са лекувани с 400 mg (16%, p=0,0220). Текущата оценка за </w:t>
      </w:r>
      <w:r w:rsidR="0064698B" w:rsidRPr="00FE6AC6">
        <w:rPr>
          <w:color w:val="000000"/>
          <w:lang w:val="bg-BG"/>
        </w:rPr>
        <w:t>медианата на</w:t>
      </w:r>
      <w:r w:rsidR="001636FA" w:rsidRPr="00FE6AC6">
        <w:rPr>
          <w:color w:val="000000"/>
          <w:lang w:val="bg-BG"/>
        </w:rPr>
        <w:t xml:space="preserve"> преживяемост на </w:t>
      </w:r>
      <w:r w:rsidR="0064698B" w:rsidRPr="00FE6AC6">
        <w:rPr>
          <w:color w:val="000000"/>
          <w:lang w:val="bg-BG"/>
        </w:rPr>
        <w:t>“</w:t>
      </w:r>
      <w:r w:rsidR="001636FA" w:rsidRPr="00FE6AC6">
        <w:rPr>
          <w:color w:val="000000"/>
          <w:lang w:val="bg-BG"/>
        </w:rPr>
        <w:t>предварително нелекуваните</w:t>
      </w:r>
      <w:r w:rsidR="0064698B" w:rsidRPr="00FE6AC6">
        <w:rPr>
          <w:color w:val="000000"/>
          <w:lang w:val="bg-BG"/>
        </w:rPr>
        <w:t>”</w:t>
      </w:r>
      <w:r w:rsidR="001636FA" w:rsidRPr="00FE6AC6">
        <w:rPr>
          <w:color w:val="000000"/>
          <w:lang w:val="bg-BG"/>
        </w:rPr>
        <w:t xml:space="preserve"> и </w:t>
      </w:r>
      <w:r w:rsidR="0064698B" w:rsidRPr="00FE6AC6">
        <w:rPr>
          <w:color w:val="000000"/>
          <w:lang w:val="bg-BG"/>
        </w:rPr>
        <w:t xml:space="preserve">“предварително </w:t>
      </w:r>
      <w:r w:rsidR="001636FA" w:rsidRPr="00FE6AC6">
        <w:rPr>
          <w:color w:val="000000"/>
          <w:lang w:val="bg-BG"/>
        </w:rPr>
        <w:t>лекуваните</w:t>
      </w:r>
      <w:r w:rsidR="0064698B" w:rsidRPr="00FE6AC6">
        <w:rPr>
          <w:color w:val="000000"/>
          <w:lang w:val="bg-BG"/>
        </w:rPr>
        <w:t>”</w:t>
      </w:r>
      <w:r w:rsidR="001636FA" w:rsidRPr="00FE6AC6">
        <w:rPr>
          <w:color w:val="000000"/>
          <w:lang w:val="bg-BG"/>
        </w:rPr>
        <w:t xml:space="preserve"> пациенти е съответно 7,7 и 4,7 месеца.</w:t>
      </w:r>
    </w:p>
    <w:p w14:paraId="3E54FDE7" w14:textId="77777777" w:rsidR="001636FA" w:rsidRPr="00FE6AC6" w:rsidRDefault="001636FA" w:rsidP="0063575E">
      <w:pPr>
        <w:widowControl w:val="0"/>
        <w:spacing w:line="240" w:lineRule="auto"/>
        <w:rPr>
          <w:color w:val="000000"/>
          <w:lang w:val="bg-BG"/>
        </w:rPr>
      </w:pPr>
    </w:p>
    <w:p w14:paraId="3E54FDE8" w14:textId="77777777" w:rsidR="001636FA" w:rsidRPr="00FE6AC6" w:rsidRDefault="001636FA" w:rsidP="0063575E">
      <w:pPr>
        <w:widowControl w:val="0"/>
        <w:spacing w:line="240" w:lineRule="auto"/>
        <w:rPr>
          <w:color w:val="000000"/>
          <w:lang w:val="bg-BG"/>
        </w:rPr>
      </w:pPr>
      <w:r w:rsidRPr="00FE6AC6">
        <w:rPr>
          <w:i/>
          <w:color w:val="000000"/>
          <w:lang w:val="bg-BG"/>
        </w:rPr>
        <w:t>Лимфобластна криза:</w:t>
      </w:r>
      <w:r w:rsidRPr="00FE6AC6">
        <w:rPr>
          <w:color w:val="000000"/>
          <w:lang w:val="bg-BG"/>
        </w:rPr>
        <w:t xml:space="preserve"> Включени са малък брой пациенти във фаза I проучвания (n=10). Честотата на хематологичен отговор е </w:t>
      </w:r>
      <w:r w:rsidR="008C1B4C" w:rsidRPr="00FE6AC6">
        <w:rPr>
          <w:color w:val="000000"/>
          <w:lang w:val="bg-BG"/>
        </w:rPr>
        <w:t xml:space="preserve">била </w:t>
      </w:r>
      <w:r w:rsidRPr="00FE6AC6">
        <w:rPr>
          <w:color w:val="000000"/>
          <w:lang w:val="bg-BG"/>
        </w:rPr>
        <w:t>70% с продължителност 2</w:t>
      </w:r>
      <w:r w:rsidRPr="00FE6AC6">
        <w:rPr>
          <w:color w:val="000000"/>
          <w:lang w:val="bg-BG"/>
        </w:rPr>
        <w:noBreakHyphen/>
        <w:t>3 месеца.</w:t>
      </w:r>
    </w:p>
    <w:p w14:paraId="3E54FDE9" w14:textId="77777777" w:rsidR="001636FA" w:rsidRPr="00FE6AC6" w:rsidRDefault="001636FA" w:rsidP="0063575E">
      <w:pPr>
        <w:widowControl w:val="0"/>
        <w:tabs>
          <w:tab w:val="clear" w:pos="567"/>
          <w:tab w:val="left" w:pos="1276"/>
        </w:tabs>
        <w:spacing w:line="240" w:lineRule="auto"/>
        <w:rPr>
          <w:b/>
          <w:color w:val="000000"/>
          <w:lang w:val="bg-BG"/>
        </w:rPr>
      </w:pPr>
    </w:p>
    <w:p w14:paraId="3E54FDEA" w14:textId="77777777" w:rsidR="001636FA" w:rsidRPr="00FE6AC6" w:rsidRDefault="001636FA" w:rsidP="0063575E">
      <w:pPr>
        <w:keepNext/>
        <w:keepLines/>
        <w:widowControl w:val="0"/>
        <w:tabs>
          <w:tab w:val="clear" w:pos="567"/>
          <w:tab w:val="left" w:pos="1134"/>
        </w:tabs>
        <w:spacing w:line="240" w:lineRule="auto"/>
        <w:rPr>
          <w:b/>
          <w:color w:val="000000"/>
          <w:lang w:val="bg-BG"/>
        </w:rPr>
      </w:pPr>
      <w:r w:rsidRPr="00FE6AC6">
        <w:rPr>
          <w:b/>
          <w:color w:val="000000"/>
          <w:lang w:val="bg-BG"/>
        </w:rPr>
        <w:t>Таблица </w:t>
      </w:r>
      <w:r w:rsidR="008C64DA" w:rsidRPr="00FE6AC6">
        <w:rPr>
          <w:b/>
          <w:color w:val="000000"/>
          <w:lang w:val="bg-BG"/>
        </w:rPr>
        <w:t>3</w:t>
      </w:r>
      <w:r w:rsidRPr="00FE6AC6">
        <w:rPr>
          <w:b/>
          <w:color w:val="000000"/>
          <w:lang w:val="bg-BG"/>
        </w:rPr>
        <w:tab/>
        <w:t>Отговор</w:t>
      </w:r>
      <w:r w:rsidR="008C1B4C" w:rsidRPr="00FE6AC6">
        <w:rPr>
          <w:b/>
          <w:color w:val="000000"/>
          <w:lang w:val="bg-BG"/>
        </w:rPr>
        <w:t>и</w:t>
      </w:r>
      <w:r w:rsidRPr="00FE6AC6">
        <w:rPr>
          <w:b/>
          <w:color w:val="000000"/>
          <w:lang w:val="bg-BG"/>
        </w:rPr>
        <w:t xml:space="preserve"> </w:t>
      </w:r>
      <w:r w:rsidR="006F3C74" w:rsidRPr="00FE6AC6">
        <w:rPr>
          <w:b/>
          <w:color w:val="000000"/>
          <w:lang w:val="bg-BG"/>
        </w:rPr>
        <w:t>в</w:t>
      </w:r>
      <w:r w:rsidRPr="00FE6AC6">
        <w:rPr>
          <w:b/>
          <w:color w:val="000000"/>
          <w:lang w:val="bg-BG"/>
        </w:rPr>
        <w:t xml:space="preserve"> проучвания на ХМЛ при възрастни</w:t>
      </w:r>
    </w:p>
    <w:p w14:paraId="3E54FDEB" w14:textId="77777777" w:rsidR="001636FA" w:rsidRPr="00FE6AC6" w:rsidRDefault="001636FA" w:rsidP="0063575E">
      <w:pPr>
        <w:keepNext/>
        <w:keepLines/>
        <w:widowControl w:val="0"/>
        <w:spacing w:line="240" w:lineRule="auto"/>
        <w:rPr>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1636FA" w:rsidRPr="00FE6AC6" w14:paraId="3E54FDFA" w14:textId="77777777" w:rsidTr="008143B1">
        <w:trPr>
          <w:cantSplit/>
        </w:trPr>
        <w:tc>
          <w:tcPr>
            <w:tcW w:w="3227" w:type="dxa"/>
            <w:tcBorders>
              <w:bottom w:val="nil"/>
            </w:tcBorders>
          </w:tcPr>
          <w:p w14:paraId="3E54FDEC" w14:textId="77777777" w:rsidR="001636FA" w:rsidRPr="00FE6AC6" w:rsidRDefault="001636FA" w:rsidP="008143B1">
            <w:pPr>
              <w:pStyle w:val="EndnoteText"/>
              <w:keepNext/>
              <w:widowControl w:val="0"/>
              <w:tabs>
                <w:tab w:val="clear" w:pos="567"/>
              </w:tabs>
              <w:rPr>
                <w:color w:val="000000"/>
                <w:lang w:val="ru-RU"/>
              </w:rPr>
            </w:pPr>
          </w:p>
        </w:tc>
        <w:tc>
          <w:tcPr>
            <w:tcW w:w="1898" w:type="dxa"/>
            <w:tcBorders>
              <w:bottom w:val="nil"/>
            </w:tcBorders>
          </w:tcPr>
          <w:p w14:paraId="3E54FDED"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Проучване 0110</w:t>
            </w:r>
          </w:p>
          <w:p w14:paraId="3E54FDEE" w14:textId="77777777" w:rsidR="0053034B" w:rsidRPr="00FE6AC6" w:rsidRDefault="0053034B" w:rsidP="008143B1">
            <w:pPr>
              <w:keepNext/>
              <w:widowControl w:val="0"/>
              <w:spacing w:line="240" w:lineRule="auto"/>
              <w:jc w:val="center"/>
              <w:rPr>
                <w:color w:val="000000"/>
                <w:lang w:val="bg-BG"/>
              </w:rPr>
            </w:pPr>
            <w:r w:rsidRPr="00FE6AC6">
              <w:rPr>
                <w:color w:val="000000"/>
                <w:lang w:val="bg-BG"/>
              </w:rPr>
              <w:t>37-месечни данни</w:t>
            </w:r>
          </w:p>
          <w:p w14:paraId="3E54FDEF"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Хронична фаза</w:t>
            </w:r>
          </w:p>
          <w:p w14:paraId="3E54FDF0"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Неуспех с интерферон</w:t>
            </w:r>
          </w:p>
          <w:p w14:paraId="3E54FDF1" w14:textId="77777777" w:rsidR="001636FA" w:rsidRPr="00FE6AC6" w:rsidRDefault="001636FA" w:rsidP="008143B1">
            <w:pPr>
              <w:pStyle w:val="EndnoteText"/>
              <w:keepNext/>
              <w:widowControl w:val="0"/>
              <w:tabs>
                <w:tab w:val="clear" w:pos="567"/>
              </w:tabs>
              <w:jc w:val="center"/>
              <w:rPr>
                <w:color w:val="000000"/>
                <w:lang w:val="bg-BG"/>
              </w:rPr>
            </w:pPr>
            <w:r w:rsidRPr="00FE6AC6">
              <w:rPr>
                <w:color w:val="000000"/>
                <w:lang w:val="bg-BG"/>
              </w:rPr>
              <w:t>(n=532)</w:t>
            </w:r>
          </w:p>
        </w:tc>
        <w:tc>
          <w:tcPr>
            <w:tcW w:w="1985" w:type="dxa"/>
            <w:tcBorders>
              <w:bottom w:val="nil"/>
            </w:tcBorders>
          </w:tcPr>
          <w:p w14:paraId="3E54FDF2"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Проучване 0109</w:t>
            </w:r>
          </w:p>
          <w:p w14:paraId="3E54FDF3" w14:textId="77777777" w:rsidR="0053034B" w:rsidRPr="00FE6AC6" w:rsidRDefault="0053034B" w:rsidP="008143B1">
            <w:pPr>
              <w:keepNext/>
              <w:widowControl w:val="0"/>
              <w:spacing w:line="240" w:lineRule="auto"/>
              <w:jc w:val="center"/>
              <w:rPr>
                <w:color w:val="000000"/>
                <w:lang w:val="bg-BG"/>
              </w:rPr>
            </w:pPr>
            <w:r w:rsidRPr="00FE6AC6">
              <w:rPr>
                <w:color w:val="000000"/>
                <w:lang w:val="bg-BG"/>
              </w:rPr>
              <w:t>40,5-месечни данни</w:t>
            </w:r>
          </w:p>
          <w:p w14:paraId="3E54FDF4"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Фаза на акцелерация</w:t>
            </w:r>
          </w:p>
          <w:p w14:paraId="3E54FDF5" w14:textId="77777777" w:rsidR="001636FA" w:rsidRPr="00FE6AC6" w:rsidRDefault="001636FA" w:rsidP="008143B1">
            <w:pPr>
              <w:pStyle w:val="EndnoteText"/>
              <w:keepNext/>
              <w:widowControl w:val="0"/>
              <w:tabs>
                <w:tab w:val="clear" w:pos="567"/>
              </w:tabs>
              <w:jc w:val="center"/>
              <w:rPr>
                <w:color w:val="000000"/>
              </w:rPr>
            </w:pPr>
            <w:r w:rsidRPr="00FE6AC6">
              <w:rPr>
                <w:color w:val="000000"/>
                <w:lang w:val="bg-BG"/>
              </w:rPr>
              <w:t>(n=235)</w:t>
            </w:r>
          </w:p>
        </w:tc>
        <w:tc>
          <w:tcPr>
            <w:tcW w:w="1929" w:type="dxa"/>
            <w:tcBorders>
              <w:bottom w:val="nil"/>
            </w:tcBorders>
          </w:tcPr>
          <w:p w14:paraId="3E54FDF6"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Проучване 0102</w:t>
            </w:r>
          </w:p>
          <w:p w14:paraId="3E54FDF7" w14:textId="77777777" w:rsidR="0053034B" w:rsidRPr="00FE6AC6" w:rsidRDefault="0053034B" w:rsidP="008143B1">
            <w:pPr>
              <w:keepNext/>
              <w:widowControl w:val="0"/>
              <w:spacing w:line="240" w:lineRule="auto"/>
              <w:jc w:val="center"/>
              <w:rPr>
                <w:color w:val="000000"/>
                <w:lang w:val="bg-BG"/>
              </w:rPr>
            </w:pPr>
            <w:r w:rsidRPr="00FE6AC6">
              <w:rPr>
                <w:color w:val="000000"/>
                <w:lang w:val="bg-BG"/>
              </w:rPr>
              <w:t>38-месечни данни</w:t>
            </w:r>
          </w:p>
          <w:p w14:paraId="3E54FDF8"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Миелобластна криза</w:t>
            </w:r>
          </w:p>
          <w:p w14:paraId="3E54FDF9" w14:textId="77777777" w:rsidR="001636FA" w:rsidRPr="00FE6AC6" w:rsidRDefault="001636FA" w:rsidP="008143B1">
            <w:pPr>
              <w:pStyle w:val="EndnoteText"/>
              <w:keepNext/>
              <w:widowControl w:val="0"/>
              <w:tabs>
                <w:tab w:val="clear" w:pos="567"/>
              </w:tabs>
              <w:jc w:val="center"/>
              <w:rPr>
                <w:color w:val="000000"/>
              </w:rPr>
            </w:pPr>
            <w:r w:rsidRPr="00FE6AC6">
              <w:rPr>
                <w:color w:val="000000"/>
                <w:lang w:val="bg-BG"/>
              </w:rPr>
              <w:t>(n=260)</w:t>
            </w:r>
          </w:p>
        </w:tc>
      </w:tr>
      <w:tr w:rsidR="001636FA" w:rsidRPr="00FE6AC6" w14:paraId="3E54FDFD" w14:textId="77777777" w:rsidTr="008143B1">
        <w:trPr>
          <w:cantSplit/>
        </w:trPr>
        <w:tc>
          <w:tcPr>
            <w:tcW w:w="3227" w:type="dxa"/>
            <w:tcBorders>
              <w:bottom w:val="nil"/>
            </w:tcBorders>
          </w:tcPr>
          <w:p w14:paraId="3E54FDFB" w14:textId="77777777" w:rsidR="001636FA" w:rsidRPr="00FE6AC6" w:rsidRDefault="001636FA" w:rsidP="008143B1">
            <w:pPr>
              <w:pStyle w:val="EndnoteText"/>
              <w:keepNext/>
              <w:widowControl w:val="0"/>
              <w:tabs>
                <w:tab w:val="clear" w:pos="567"/>
              </w:tabs>
              <w:rPr>
                <w:color w:val="000000"/>
              </w:rPr>
            </w:pPr>
          </w:p>
        </w:tc>
        <w:tc>
          <w:tcPr>
            <w:tcW w:w="5812" w:type="dxa"/>
            <w:gridSpan w:val="3"/>
            <w:tcBorders>
              <w:bottom w:val="nil"/>
            </w:tcBorders>
          </w:tcPr>
          <w:p w14:paraId="3E54FDFC" w14:textId="77777777" w:rsidR="001636FA" w:rsidRPr="00FE6AC6" w:rsidRDefault="001636FA" w:rsidP="008143B1">
            <w:pPr>
              <w:pStyle w:val="EndnoteText"/>
              <w:keepNext/>
              <w:widowControl w:val="0"/>
              <w:tabs>
                <w:tab w:val="clear" w:pos="567"/>
              </w:tabs>
              <w:jc w:val="center"/>
              <w:rPr>
                <w:color w:val="000000"/>
                <w:lang w:val="bg-BG"/>
              </w:rPr>
            </w:pPr>
            <w:r w:rsidRPr="00FE6AC6">
              <w:rPr>
                <w:color w:val="000000"/>
                <w:lang w:val="bg-BG"/>
              </w:rPr>
              <w:t>% на пациентите</w:t>
            </w:r>
            <w:r w:rsidR="004423D6" w:rsidRPr="00FE6AC6">
              <w:rPr>
                <w:color w:val="000000"/>
              </w:rPr>
              <w:t xml:space="preserve"> CI</w:t>
            </w:r>
            <w:r w:rsidR="004423D6" w:rsidRPr="00FE6AC6">
              <w:rPr>
                <w:color w:val="000000"/>
                <w:vertAlign w:val="subscript"/>
              </w:rPr>
              <w:t>95%</w:t>
            </w:r>
          </w:p>
        </w:tc>
      </w:tr>
      <w:tr w:rsidR="001636FA" w:rsidRPr="00FE6AC6" w14:paraId="3E54FE02" w14:textId="77777777" w:rsidTr="008143B1">
        <w:trPr>
          <w:cantSplit/>
        </w:trPr>
        <w:tc>
          <w:tcPr>
            <w:tcW w:w="3227" w:type="dxa"/>
            <w:tcBorders>
              <w:bottom w:val="nil"/>
            </w:tcBorders>
          </w:tcPr>
          <w:p w14:paraId="3E54FDFE" w14:textId="77777777" w:rsidR="001636FA" w:rsidRPr="00FE6AC6" w:rsidRDefault="001636FA" w:rsidP="008143B1">
            <w:pPr>
              <w:pStyle w:val="EndnoteText"/>
              <w:keepNext/>
              <w:widowControl w:val="0"/>
              <w:tabs>
                <w:tab w:val="clear" w:pos="567"/>
              </w:tabs>
              <w:rPr>
                <w:color w:val="000000"/>
              </w:rPr>
            </w:pPr>
            <w:r w:rsidRPr="00FE6AC6">
              <w:rPr>
                <w:color w:val="000000"/>
                <w:lang w:val="bg-BG"/>
              </w:rPr>
              <w:t>Хематологичен отговор¹</w:t>
            </w:r>
          </w:p>
        </w:tc>
        <w:tc>
          <w:tcPr>
            <w:tcW w:w="1898" w:type="dxa"/>
            <w:tcBorders>
              <w:bottom w:val="nil"/>
            </w:tcBorders>
          </w:tcPr>
          <w:p w14:paraId="3E54FDFF"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95% (92</w:t>
            </w:r>
            <w:r w:rsidRPr="00FE6AC6">
              <w:rPr>
                <w:color w:val="000000"/>
                <w:lang w:val="bg-BG"/>
              </w:rPr>
              <w:t>,</w:t>
            </w:r>
            <w:r w:rsidRPr="00FE6AC6">
              <w:rPr>
                <w:color w:val="000000"/>
              </w:rPr>
              <w:t>3–96</w:t>
            </w:r>
            <w:r w:rsidRPr="00FE6AC6">
              <w:rPr>
                <w:color w:val="000000"/>
                <w:lang w:val="bg-BG"/>
              </w:rPr>
              <w:t>,</w:t>
            </w:r>
            <w:r w:rsidRPr="00FE6AC6">
              <w:rPr>
                <w:color w:val="000000"/>
              </w:rPr>
              <w:t>3)</w:t>
            </w:r>
          </w:p>
        </w:tc>
        <w:tc>
          <w:tcPr>
            <w:tcW w:w="1985" w:type="dxa"/>
            <w:tcBorders>
              <w:bottom w:val="nil"/>
            </w:tcBorders>
          </w:tcPr>
          <w:p w14:paraId="3E54FE00"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71% (65</w:t>
            </w:r>
            <w:r w:rsidRPr="00FE6AC6">
              <w:rPr>
                <w:color w:val="000000"/>
                <w:lang w:val="bg-BG"/>
              </w:rPr>
              <w:t>,</w:t>
            </w:r>
            <w:r w:rsidRPr="00FE6AC6">
              <w:rPr>
                <w:color w:val="000000"/>
              </w:rPr>
              <w:t>3–77</w:t>
            </w:r>
            <w:r w:rsidRPr="00FE6AC6">
              <w:rPr>
                <w:color w:val="000000"/>
                <w:lang w:val="bg-BG"/>
              </w:rPr>
              <w:t>,</w:t>
            </w:r>
            <w:r w:rsidRPr="00FE6AC6">
              <w:rPr>
                <w:color w:val="000000"/>
              </w:rPr>
              <w:t>2)</w:t>
            </w:r>
          </w:p>
        </w:tc>
        <w:tc>
          <w:tcPr>
            <w:tcW w:w="1929" w:type="dxa"/>
            <w:tcBorders>
              <w:bottom w:val="nil"/>
            </w:tcBorders>
          </w:tcPr>
          <w:p w14:paraId="3E54FE01"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31% (25</w:t>
            </w:r>
            <w:r w:rsidRPr="00FE6AC6">
              <w:rPr>
                <w:color w:val="000000"/>
                <w:lang w:val="bg-BG"/>
              </w:rPr>
              <w:t>,</w:t>
            </w:r>
            <w:r w:rsidRPr="00FE6AC6">
              <w:rPr>
                <w:color w:val="000000"/>
              </w:rPr>
              <w:t>2–36</w:t>
            </w:r>
            <w:r w:rsidRPr="00FE6AC6">
              <w:rPr>
                <w:color w:val="000000"/>
                <w:lang w:val="bg-BG"/>
              </w:rPr>
              <w:t>,</w:t>
            </w:r>
            <w:r w:rsidRPr="00FE6AC6">
              <w:rPr>
                <w:color w:val="000000"/>
              </w:rPr>
              <w:t>8)</w:t>
            </w:r>
          </w:p>
        </w:tc>
      </w:tr>
      <w:tr w:rsidR="001636FA" w:rsidRPr="00FE6AC6" w14:paraId="3E54FE08" w14:textId="77777777" w:rsidTr="008143B1">
        <w:trPr>
          <w:cantSplit/>
        </w:trPr>
        <w:tc>
          <w:tcPr>
            <w:tcW w:w="3227" w:type="dxa"/>
            <w:tcBorders>
              <w:top w:val="nil"/>
              <w:bottom w:val="nil"/>
            </w:tcBorders>
          </w:tcPr>
          <w:p w14:paraId="3E54FE03" w14:textId="77777777" w:rsidR="001636FA" w:rsidRPr="00FE6AC6" w:rsidRDefault="001636FA" w:rsidP="008143B1">
            <w:pPr>
              <w:keepNext/>
              <w:widowControl w:val="0"/>
              <w:spacing w:line="240" w:lineRule="auto"/>
              <w:ind w:left="284"/>
              <w:rPr>
                <w:color w:val="000000"/>
                <w:lang w:val="bg-BG"/>
              </w:rPr>
            </w:pPr>
            <w:r w:rsidRPr="00FE6AC6">
              <w:rPr>
                <w:color w:val="000000"/>
                <w:lang w:val="bg-BG"/>
              </w:rPr>
              <w:t>Пълен хематологичен</w:t>
            </w:r>
          </w:p>
          <w:p w14:paraId="3E54FE04" w14:textId="77777777" w:rsidR="001636FA" w:rsidRPr="00FE6AC6" w:rsidRDefault="001636FA" w:rsidP="008143B1">
            <w:pPr>
              <w:pStyle w:val="EndnoteText"/>
              <w:keepNext/>
              <w:widowControl w:val="0"/>
              <w:tabs>
                <w:tab w:val="clear" w:pos="567"/>
              </w:tabs>
              <w:ind w:left="284"/>
              <w:rPr>
                <w:color w:val="000000"/>
              </w:rPr>
            </w:pPr>
            <w:r w:rsidRPr="00FE6AC6">
              <w:rPr>
                <w:color w:val="000000"/>
                <w:lang w:val="bg-BG"/>
              </w:rPr>
              <w:t xml:space="preserve">отговор </w:t>
            </w:r>
            <w:r w:rsidR="006B29F6" w:rsidRPr="00FE6AC6">
              <w:rPr>
                <w:color w:val="000000"/>
                <w:lang w:val="bg-BG"/>
              </w:rPr>
              <w:t>- ПХО(CHR)</w:t>
            </w:r>
          </w:p>
        </w:tc>
        <w:tc>
          <w:tcPr>
            <w:tcW w:w="1898" w:type="dxa"/>
            <w:tcBorders>
              <w:top w:val="nil"/>
              <w:bottom w:val="nil"/>
            </w:tcBorders>
          </w:tcPr>
          <w:p w14:paraId="3E54FE05"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95%</w:t>
            </w:r>
          </w:p>
        </w:tc>
        <w:tc>
          <w:tcPr>
            <w:tcW w:w="1985" w:type="dxa"/>
            <w:tcBorders>
              <w:top w:val="nil"/>
              <w:bottom w:val="nil"/>
            </w:tcBorders>
          </w:tcPr>
          <w:p w14:paraId="3E54FE06"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42%</w:t>
            </w:r>
          </w:p>
        </w:tc>
        <w:tc>
          <w:tcPr>
            <w:tcW w:w="1929" w:type="dxa"/>
            <w:tcBorders>
              <w:top w:val="nil"/>
              <w:bottom w:val="nil"/>
            </w:tcBorders>
          </w:tcPr>
          <w:p w14:paraId="3E54FE07"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8%</w:t>
            </w:r>
          </w:p>
        </w:tc>
      </w:tr>
      <w:tr w:rsidR="001636FA" w:rsidRPr="00FE6AC6" w14:paraId="3E54FE0D" w14:textId="77777777" w:rsidTr="008143B1">
        <w:trPr>
          <w:cantSplit/>
        </w:trPr>
        <w:tc>
          <w:tcPr>
            <w:tcW w:w="3227" w:type="dxa"/>
            <w:tcBorders>
              <w:top w:val="nil"/>
              <w:bottom w:val="nil"/>
            </w:tcBorders>
          </w:tcPr>
          <w:p w14:paraId="3E54FE09" w14:textId="77777777" w:rsidR="001636FA" w:rsidRPr="00FE6AC6" w:rsidRDefault="001636FA" w:rsidP="008143B1">
            <w:pPr>
              <w:keepNext/>
              <w:widowControl w:val="0"/>
              <w:spacing w:line="240" w:lineRule="auto"/>
              <w:ind w:left="284"/>
              <w:rPr>
                <w:color w:val="000000"/>
                <w:lang w:val="bg-BG"/>
              </w:rPr>
            </w:pPr>
            <w:r w:rsidRPr="00FE6AC6">
              <w:rPr>
                <w:color w:val="000000"/>
                <w:lang w:val="bg-BG"/>
              </w:rPr>
              <w:t xml:space="preserve">Без данни за левкемия </w:t>
            </w:r>
            <w:r w:rsidR="007962CD" w:rsidRPr="00FE6AC6">
              <w:rPr>
                <w:color w:val="000000"/>
                <w:lang w:val="bg-BG"/>
              </w:rPr>
              <w:t>БДЛ (</w:t>
            </w:r>
            <w:r w:rsidR="007962CD" w:rsidRPr="00FE6AC6">
              <w:rPr>
                <w:color w:val="000000"/>
                <w:lang w:val="en-US"/>
              </w:rPr>
              <w:t>NEL</w:t>
            </w:r>
            <w:r w:rsidR="007962CD" w:rsidRPr="00FE6AC6">
              <w:rPr>
                <w:color w:val="000000"/>
                <w:lang w:val="bg-BG"/>
              </w:rPr>
              <w:t>)</w:t>
            </w:r>
          </w:p>
        </w:tc>
        <w:tc>
          <w:tcPr>
            <w:tcW w:w="1898" w:type="dxa"/>
            <w:tcBorders>
              <w:top w:val="nil"/>
              <w:bottom w:val="nil"/>
            </w:tcBorders>
          </w:tcPr>
          <w:p w14:paraId="3E54FE0A" w14:textId="77777777" w:rsidR="001636FA" w:rsidRPr="00FE6AC6" w:rsidRDefault="001636FA" w:rsidP="008143B1">
            <w:pPr>
              <w:pStyle w:val="EndnoteText"/>
              <w:keepNext/>
              <w:widowControl w:val="0"/>
              <w:tabs>
                <w:tab w:val="clear" w:pos="567"/>
              </w:tabs>
              <w:jc w:val="center"/>
              <w:rPr>
                <w:color w:val="000000"/>
              </w:rPr>
            </w:pPr>
            <w:r w:rsidRPr="00FE6AC6">
              <w:rPr>
                <w:color w:val="000000"/>
                <w:lang w:val="bg-BG"/>
              </w:rPr>
              <w:t>Не е приложимо</w:t>
            </w:r>
          </w:p>
        </w:tc>
        <w:tc>
          <w:tcPr>
            <w:tcW w:w="1985" w:type="dxa"/>
            <w:tcBorders>
              <w:top w:val="nil"/>
              <w:bottom w:val="nil"/>
            </w:tcBorders>
          </w:tcPr>
          <w:p w14:paraId="3E54FE0B"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12%</w:t>
            </w:r>
          </w:p>
        </w:tc>
        <w:tc>
          <w:tcPr>
            <w:tcW w:w="1929" w:type="dxa"/>
            <w:tcBorders>
              <w:top w:val="nil"/>
              <w:bottom w:val="nil"/>
            </w:tcBorders>
          </w:tcPr>
          <w:p w14:paraId="3E54FE0C"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5%</w:t>
            </w:r>
          </w:p>
        </w:tc>
      </w:tr>
      <w:tr w:rsidR="001636FA" w:rsidRPr="00FE6AC6" w14:paraId="3E54FE12" w14:textId="77777777" w:rsidTr="008143B1">
        <w:trPr>
          <w:cantSplit/>
        </w:trPr>
        <w:tc>
          <w:tcPr>
            <w:tcW w:w="3227" w:type="dxa"/>
            <w:tcBorders>
              <w:top w:val="nil"/>
              <w:bottom w:val="nil"/>
            </w:tcBorders>
          </w:tcPr>
          <w:p w14:paraId="3E54FE0E" w14:textId="77777777" w:rsidR="001636FA" w:rsidRPr="00FE6AC6" w:rsidRDefault="001636FA" w:rsidP="008143B1">
            <w:pPr>
              <w:pStyle w:val="EndnoteText"/>
              <w:keepNext/>
              <w:widowControl w:val="0"/>
              <w:tabs>
                <w:tab w:val="clear" w:pos="567"/>
              </w:tabs>
              <w:ind w:left="284"/>
              <w:rPr>
                <w:color w:val="000000"/>
                <w:lang w:val="ru-RU"/>
              </w:rPr>
            </w:pPr>
            <w:r w:rsidRPr="00FE6AC6">
              <w:rPr>
                <w:color w:val="000000"/>
                <w:lang w:val="bg-BG"/>
              </w:rPr>
              <w:t xml:space="preserve">Връщане към хронична фаза </w:t>
            </w:r>
            <w:r w:rsidR="002169B2" w:rsidRPr="00FE6AC6">
              <w:rPr>
                <w:color w:val="000000"/>
                <w:lang w:val="en-US"/>
              </w:rPr>
              <w:t xml:space="preserve">– </w:t>
            </w:r>
            <w:r w:rsidR="002169B2" w:rsidRPr="00FE6AC6">
              <w:rPr>
                <w:color w:val="000000"/>
                <w:lang w:val="bg-BG"/>
              </w:rPr>
              <w:t>ВХФ (</w:t>
            </w:r>
            <w:r w:rsidR="002169B2" w:rsidRPr="00FE6AC6">
              <w:rPr>
                <w:color w:val="000000"/>
                <w:lang w:val="en-US"/>
              </w:rPr>
              <w:t>RTC</w:t>
            </w:r>
            <w:r w:rsidR="002169B2" w:rsidRPr="00FE6AC6">
              <w:rPr>
                <w:color w:val="000000"/>
                <w:lang w:val="bg-BG"/>
              </w:rPr>
              <w:t>)</w:t>
            </w:r>
          </w:p>
        </w:tc>
        <w:tc>
          <w:tcPr>
            <w:tcW w:w="1898" w:type="dxa"/>
            <w:tcBorders>
              <w:top w:val="nil"/>
              <w:bottom w:val="nil"/>
            </w:tcBorders>
          </w:tcPr>
          <w:p w14:paraId="3E54FE0F" w14:textId="77777777" w:rsidR="001636FA" w:rsidRPr="00FE6AC6" w:rsidRDefault="001636FA" w:rsidP="008143B1">
            <w:pPr>
              <w:pStyle w:val="EndnoteText"/>
              <w:keepNext/>
              <w:widowControl w:val="0"/>
              <w:tabs>
                <w:tab w:val="clear" w:pos="567"/>
              </w:tabs>
              <w:jc w:val="center"/>
              <w:rPr>
                <w:color w:val="000000"/>
              </w:rPr>
            </w:pPr>
            <w:r w:rsidRPr="00FE6AC6">
              <w:rPr>
                <w:color w:val="000000"/>
                <w:lang w:val="bg-BG"/>
              </w:rPr>
              <w:t>Не е приложимо</w:t>
            </w:r>
          </w:p>
        </w:tc>
        <w:tc>
          <w:tcPr>
            <w:tcW w:w="1985" w:type="dxa"/>
            <w:tcBorders>
              <w:top w:val="nil"/>
              <w:bottom w:val="nil"/>
            </w:tcBorders>
          </w:tcPr>
          <w:p w14:paraId="3E54FE10"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17%</w:t>
            </w:r>
          </w:p>
        </w:tc>
        <w:tc>
          <w:tcPr>
            <w:tcW w:w="1929" w:type="dxa"/>
            <w:tcBorders>
              <w:top w:val="nil"/>
              <w:bottom w:val="nil"/>
            </w:tcBorders>
          </w:tcPr>
          <w:p w14:paraId="3E54FE11"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18%</w:t>
            </w:r>
          </w:p>
        </w:tc>
      </w:tr>
      <w:tr w:rsidR="001636FA" w:rsidRPr="00FE6AC6" w14:paraId="3E54FE17" w14:textId="77777777" w:rsidTr="008143B1">
        <w:trPr>
          <w:cantSplit/>
        </w:trPr>
        <w:tc>
          <w:tcPr>
            <w:tcW w:w="3227" w:type="dxa"/>
            <w:tcBorders>
              <w:bottom w:val="nil"/>
            </w:tcBorders>
          </w:tcPr>
          <w:p w14:paraId="3E54FE13" w14:textId="77777777" w:rsidR="001636FA" w:rsidRPr="00FE6AC6" w:rsidRDefault="001636FA" w:rsidP="008143B1">
            <w:pPr>
              <w:pStyle w:val="EndnoteText"/>
              <w:keepNext/>
              <w:widowControl w:val="0"/>
              <w:tabs>
                <w:tab w:val="clear" w:pos="567"/>
              </w:tabs>
              <w:rPr>
                <w:color w:val="000000"/>
              </w:rPr>
            </w:pPr>
            <w:r w:rsidRPr="00FE6AC6">
              <w:rPr>
                <w:color w:val="000000"/>
                <w:lang w:val="bg-BG"/>
              </w:rPr>
              <w:t>Голям цитогенетичен отговор²</w:t>
            </w:r>
          </w:p>
        </w:tc>
        <w:tc>
          <w:tcPr>
            <w:tcW w:w="1898" w:type="dxa"/>
            <w:tcBorders>
              <w:bottom w:val="nil"/>
            </w:tcBorders>
          </w:tcPr>
          <w:p w14:paraId="3E54FE14"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65% (61</w:t>
            </w:r>
            <w:r w:rsidRPr="00FE6AC6">
              <w:rPr>
                <w:color w:val="000000"/>
                <w:lang w:val="bg-BG"/>
              </w:rPr>
              <w:t>,</w:t>
            </w:r>
            <w:r w:rsidRPr="00FE6AC6">
              <w:rPr>
                <w:color w:val="000000"/>
              </w:rPr>
              <w:t>2–69</w:t>
            </w:r>
            <w:r w:rsidRPr="00FE6AC6">
              <w:rPr>
                <w:color w:val="000000"/>
                <w:lang w:val="bg-BG"/>
              </w:rPr>
              <w:t>,</w:t>
            </w:r>
            <w:r w:rsidRPr="00FE6AC6">
              <w:rPr>
                <w:color w:val="000000"/>
              </w:rPr>
              <w:t>5)</w:t>
            </w:r>
          </w:p>
        </w:tc>
        <w:tc>
          <w:tcPr>
            <w:tcW w:w="1985" w:type="dxa"/>
            <w:tcBorders>
              <w:bottom w:val="nil"/>
            </w:tcBorders>
          </w:tcPr>
          <w:p w14:paraId="3E54FE15"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28% (22</w:t>
            </w:r>
            <w:r w:rsidRPr="00FE6AC6">
              <w:rPr>
                <w:color w:val="000000"/>
                <w:lang w:val="bg-BG"/>
              </w:rPr>
              <w:t>,</w:t>
            </w:r>
            <w:r w:rsidRPr="00FE6AC6">
              <w:rPr>
                <w:color w:val="000000"/>
              </w:rPr>
              <w:t>0–33</w:t>
            </w:r>
            <w:r w:rsidRPr="00FE6AC6">
              <w:rPr>
                <w:color w:val="000000"/>
                <w:lang w:val="bg-BG"/>
              </w:rPr>
              <w:t>,</w:t>
            </w:r>
            <w:r w:rsidRPr="00FE6AC6">
              <w:rPr>
                <w:color w:val="000000"/>
              </w:rPr>
              <w:t>9)</w:t>
            </w:r>
          </w:p>
        </w:tc>
        <w:tc>
          <w:tcPr>
            <w:tcW w:w="1929" w:type="dxa"/>
            <w:tcBorders>
              <w:bottom w:val="nil"/>
            </w:tcBorders>
          </w:tcPr>
          <w:p w14:paraId="3E54FE16"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15% (11</w:t>
            </w:r>
            <w:r w:rsidRPr="00FE6AC6">
              <w:rPr>
                <w:color w:val="000000"/>
                <w:lang w:val="bg-BG"/>
              </w:rPr>
              <w:t>,</w:t>
            </w:r>
            <w:r w:rsidRPr="00FE6AC6">
              <w:rPr>
                <w:color w:val="000000"/>
              </w:rPr>
              <w:t>2–20</w:t>
            </w:r>
            <w:r w:rsidRPr="00FE6AC6">
              <w:rPr>
                <w:color w:val="000000"/>
                <w:lang w:val="bg-BG"/>
              </w:rPr>
              <w:t>,</w:t>
            </w:r>
            <w:r w:rsidRPr="00FE6AC6">
              <w:rPr>
                <w:color w:val="000000"/>
              </w:rPr>
              <w:t>4)</w:t>
            </w:r>
          </w:p>
        </w:tc>
      </w:tr>
      <w:tr w:rsidR="001636FA" w:rsidRPr="00FE6AC6" w14:paraId="3E54FE1C" w14:textId="77777777" w:rsidTr="008143B1">
        <w:trPr>
          <w:cantSplit/>
        </w:trPr>
        <w:tc>
          <w:tcPr>
            <w:tcW w:w="3227" w:type="dxa"/>
            <w:tcBorders>
              <w:top w:val="nil"/>
              <w:bottom w:val="nil"/>
            </w:tcBorders>
          </w:tcPr>
          <w:p w14:paraId="3E54FE18" w14:textId="77777777" w:rsidR="001636FA" w:rsidRPr="00FE6AC6" w:rsidRDefault="001636FA" w:rsidP="008143B1">
            <w:pPr>
              <w:pStyle w:val="EndnoteText"/>
              <w:keepNext/>
              <w:widowControl w:val="0"/>
              <w:tabs>
                <w:tab w:val="clear" w:pos="567"/>
              </w:tabs>
              <w:ind w:left="284"/>
              <w:rPr>
                <w:color w:val="000000"/>
                <w:lang w:val="bg-BG"/>
              </w:rPr>
            </w:pPr>
            <w:r w:rsidRPr="00FE6AC6">
              <w:rPr>
                <w:color w:val="000000"/>
                <w:lang w:val="bg-BG"/>
              </w:rPr>
              <w:t>Пълен</w:t>
            </w:r>
          </w:p>
        </w:tc>
        <w:tc>
          <w:tcPr>
            <w:tcW w:w="1898" w:type="dxa"/>
            <w:tcBorders>
              <w:top w:val="nil"/>
              <w:bottom w:val="nil"/>
            </w:tcBorders>
          </w:tcPr>
          <w:p w14:paraId="3E54FE19"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53%</w:t>
            </w:r>
          </w:p>
        </w:tc>
        <w:tc>
          <w:tcPr>
            <w:tcW w:w="1985" w:type="dxa"/>
            <w:tcBorders>
              <w:top w:val="nil"/>
              <w:bottom w:val="nil"/>
            </w:tcBorders>
          </w:tcPr>
          <w:p w14:paraId="3E54FE1A"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20%</w:t>
            </w:r>
          </w:p>
        </w:tc>
        <w:tc>
          <w:tcPr>
            <w:tcW w:w="1929" w:type="dxa"/>
            <w:tcBorders>
              <w:top w:val="nil"/>
              <w:bottom w:val="nil"/>
            </w:tcBorders>
          </w:tcPr>
          <w:p w14:paraId="3E54FE1B"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7%</w:t>
            </w:r>
          </w:p>
        </w:tc>
      </w:tr>
      <w:tr w:rsidR="001636FA" w:rsidRPr="00FE6AC6" w14:paraId="3E54FE21" w14:textId="77777777" w:rsidTr="008143B1">
        <w:trPr>
          <w:cantSplit/>
        </w:trPr>
        <w:tc>
          <w:tcPr>
            <w:tcW w:w="3227" w:type="dxa"/>
            <w:tcBorders>
              <w:top w:val="nil"/>
              <w:bottom w:val="nil"/>
            </w:tcBorders>
          </w:tcPr>
          <w:p w14:paraId="3E54FE1D" w14:textId="77777777" w:rsidR="001636FA" w:rsidRPr="00FE6AC6" w:rsidRDefault="001636FA" w:rsidP="008143B1">
            <w:pPr>
              <w:pStyle w:val="EndnoteText"/>
              <w:keepNext/>
              <w:widowControl w:val="0"/>
              <w:tabs>
                <w:tab w:val="clear" w:pos="567"/>
              </w:tabs>
              <w:ind w:left="284"/>
              <w:rPr>
                <w:color w:val="000000"/>
              </w:rPr>
            </w:pPr>
            <w:r w:rsidRPr="00FE6AC6">
              <w:rPr>
                <w:color w:val="000000"/>
                <w:lang w:val="bg-BG"/>
              </w:rPr>
              <w:t>(Потвърден³)</w:t>
            </w:r>
            <w:r w:rsidRPr="00FE6AC6">
              <w:rPr>
                <w:color w:val="000000"/>
              </w:rPr>
              <w:t xml:space="preserve"> [95% </w:t>
            </w:r>
            <w:r w:rsidR="002169B2" w:rsidRPr="00FE6AC6">
              <w:rPr>
                <w:color w:val="000000"/>
                <w:lang w:val="en-US"/>
              </w:rPr>
              <w:t>CI</w:t>
            </w:r>
            <w:r w:rsidRPr="00FE6AC6">
              <w:rPr>
                <w:color w:val="000000"/>
              </w:rPr>
              <w:t>]</w:t>
            </w:r>
          </w:p>
        </w:tc>
        <w:tc>
          <w:tcPr>
            <w:tcW w:w="1898" w:type="dxa"/>
            <w:tcBorders>
              <w:top w:val="nil"/>
              <w:bottom w:val="nil"/>
            </w:tcBorders>
          </w:tcPr>
          <w:p w14:paraId="3E54FE1E"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(43%) [38</w:t>
            </w:r>
            <w:r w:rsidRPr="00FE6AC6">
              <w:rPr>
                <w:color w:val="000000"/>
                <w:lang w:val="bg-BG"/>
              </w:rPr>
              <w:t>,</w:t>
            </w:r>
            <w:r w:rsidRPr="00FE6AC6">
              <w:rPr>
                <w:color w:val="000000"/>
              </w:rPr>
              <w:t>6–47</w:t>
            </w:r>
            <w:r w:rsidRPr="00FE6AC6">
              <w:rPr>
                <w:color w:val="000000"/>
                <w:lang w:val="bg-BG"/>
              </w:rPr>
              <w:t>,</w:t>
            </w:r>
            <w:r w:rsidRPr="00FE6AC6">
              <w:rPr>
                <w:color w:val="000000"/>
              </w:rPr>
              <w:t>2]</w:t>
            </w:r>
          </w:p>
        </w:tc>
        <w:tc>
          <w:tcPr>
            <w:tcW w:w="1985" w:type="dxa"/>
            <w:tcBorders>
              <w:top w:val="nil"/>
              <w:bottom w:val="nil"/>
            </w:tcBorders>
          </w:tcPr>
          <w:p w14:paraId="3E54FE1F"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(16%) [11</w:t>
            </w:r>
            <w:r w:rsidRPr="00FE6AC6">
              <w:rPr>
                <w:color w:val="000000"/>
                <w:lang w:val="bg-BG"/>
              </w:rPr>
              <w:t>,</w:t>
            </w:r>
            <w:r w:rsidRPr="00FE6AC6">
              <w:rPr>
                <w:color w:val="000000"/>
              </w:rPr>
              <w:t>3–21</w:t>
            </w:r>
            <w:r w:rsidRPr="00FE6AC6">
              <w:rPr>
                <w:color w:val="000000"/>
                <w:lang w:val="bg-BG"/>
              </w:rPr>
              <w:t>,</w:t>
            </w:r>
            <w:r w:rsidRPr="00FE6AC6">
              <w:rPr>
                <w:color w:val="000000"/>
              </w:rPr>
              <w:t>0]</w:t>
            </w:r>
          </w:p>
        </w:tc>
        <w:tc>
          <w:tcPr>
            <w:tcW w:w="1929" w:type="dxa"/>
            <w:tcBorders>
              <w:top w:val="nil"/>
              <w:bottom w:val="nil"/>
            </w:tcBorders>
          </w:tcPr>
          <w:p w14:paraId="3E54FE20"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(2%) [0</w:t>
            </w:r>
            <w:r w:rsidRPr="00FE6AC6">
              <w:rPr>
                <w:color w:val="000000"/>
                <w:lang w:val="bg-BG"/>
              </w:rPr>
              <w:t>,</w:t>
            </w:r>
            <w:r w:rsidRPr="00FE6AC6">
              <w:rPr>
                <w:color w:val="000000"/>
              </w:rPr>
              <w:t>6–4</w:t>
            </w:r>
            <w:r w:rsidRPr="00FE6AC6">
              <w:rPr>
                <w:color w:val="000000"/>
                <w:lang w:val="bg-BG"/>
              </w:rPr>
              <w:t>,</w:t>
            </w:r>
            <w:r w:rsidRPr="00FE6AC6">
              <w:rPr>
                <w:color w:val="000000"/>
              </w:rPr>
              <w:t>4]</w:t>
            </w:r>
          </w:p>
        </w:tc>
      </w:tr>
      <w:tr w:rsidR="001636FA" w:rsidRPr="00FE6AC6" w14:paraId="3E54FE26" w14:textId="77777777" w:rsidTr="008143B1">
        <w:trPr>
          <w:cantSplit/>
        </w:trPr>
        <w:tc>
          <w:tcPr>
            <w:tcW w:w="3227" w:type="dxa"/>
            <w:tcBorders>
              <w:top w:val="nil"/>
              <w:bottom w:val="nil"/>
            </w:tcBorders>
          </w:tcPr>
          <w:p w14:paraId="3E54FE22" w14:textId="77777777" w:rsidR="001636FA" w:rsidRPr="00FE6AC6" w:rsidRDefault="001636FA" w:rsidP="008143B1">
            <w:pPr>
              <w:pStyle w:val="EndnoteText"/>
              <w:keepNext/>
              <w:widowControl w:val="0"/>
              <w:tabs>
                <w:tab w:val="clear" w:pos="567"/>
              </w:tabs>
              <w:ind w:left="284"/>
              <w:rPr>
                <w:color w:val="000000"/>
              </w:rPr>
            </w:pPr>
            <w:r w:rsidRPr="00FE6AC6">
              <w:rPr>
                <w:color w:val="000000"/>
                <w:lang w:val="bg-BG"/>
              </w:rPr>
              <w:t>Частичен</w:t>
            </w:r>
          </w:p>
        </w:tc>
        <w:tc>
          <w:tcPr>
            <w:tcW w:w="1898" w:type="dxa"/>
            <w:tcBorders>
              <w:top w:val="nil"/>
              <w:bottom w:val="nil"/>
            </w:tcBorders>
          </w:tcPr>
          <w:p w14:paraId="3E54FE23"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12%</w:t>
            </w:r>
          </w:p>
        </w:tc>
        <w:tc>
          <w:tcPr>
            <w:tcW w:w="1985" w:type="dxa"/>
            <w:tcBorders>
              <w:top w:val="nil"/>
              <w:bottom w:val="nil"/>
            </w:tcBorders>
          </w:tcPr>
          <w:p w14:paraId="3E54FE24"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7%</w:t>
            </w:r>
          </w:p>
        </w:tc>
        <w:tc>
          <w:tcPr>
            <w:tcW w:w="1929" w:type="dxa"/>
            <w:tcBorders>
              <w:top w:val="nil"/>
              <w:bottom w:val="nil"/>
            </w:tcBorders>
          </w:tcPr>
          <w:p w14:paraId="3E54FE25"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8%</w:t>
            </w:r>
          </w:p>
        </w:tc>
      </w:tr>
      <w:tr w:rsidR="001636FA" w:rsidRPr="004015AA" w14:paraId="3E54FE2F" w14:textId="77777777" w:rsidTr="008143B1">
        <w:trPr>
          <w:cantSplit/>
        </w:trPr>
        <w:tc>
          <w:tcPr>
            <w:tcW w:w="9039" w:type="dxa"/>
            <w:gridSpan w:val="4"/>
            <w:tcBorders>
              <w:top w:val="single" w:sz="4" w:space="0" w:color="auto"/>
              <w:bottom w:val="single" w:sz="4" w:space="0" w:color="auto"/>
            </w:tcBorders>
          </w:tcPr>
          <w:p w14:paraId="3E54FE27" w14:textId="77777777" w:rsidR="001636FA" w:rsidRPr="00FE6AC6" w:rsidRDefault="001636FA" w:rsidP="008143B1">
            <w:pPr>
              <w:widowControl w:val="0"/>
              <w:spacing w:line="240" w:lineRule="auto"/>
              <w:rPr>
                <w:color w:val="000000"/>
                <w:lang w:val="bg-BG"/>
              </w:rPr>
            </w:pPr>
            <w:r w:rsidRPr="00FE6AC6">
              <w:rPr>
                <w:b/>
                <w:color w:val="000000"/>
                <w:lang w:val="bg-BG"/>
              </w:rPr>
              <w:t>¹Критерии за хематологичен отговор ( всички отговори трябва се потвърдят след ≥4 седмици):</w:t>
            </w:r>
          </w:p>
          <w:p w14:paraId="3E54FE28" w14:textId="77777777" w:rsidR="001636FA" w:rsidRPr="00FE6AC6" w:rsidRDefault="001636FA" w:rsidP="008143B1">
            <w:pPr>
              <w:widowControl w:val="0"/>
              <w:spacing w:line="240" w:lineRule="auto"/>
              <w:ind w:left="567" w:hanging="567"/>
              <w:rPr>
                <w:color w:val="000000"/>
                <w:lang w:val="bg-BG"/>
              </w:rPr>
            </w:pPr>
            <w:r w:rsidRPr="00FE6AC6">
              <w:rPr>
                <w:color w:val="000000"/>
                <w:lang w:val="bg-BG"/>
              </w:rPr>
              <w:t>ПХО</w:t>
            </w:r>
            <w:r w:rsidR="00E94FA9" w:rsidRPr="00FE6AC6">
              <w:rPr>
                <w:color w:val="000000"/>
                <w:lang w:val="bg-BG"/>
              </w:rPr>
              <w:t xml:space="preserve"> (CHR)</w:t>
            </w:r>
            <w:r w:rsidR="00EA3314" w:rsidRPr="00FE6AC6">
              <w:rPr>
                <w:color w:val="000000"/>
                <w:lang w:val="bg-BG"/>
              </w:rPr>
              <w:t xml:space="preserve">: </w:t>
            </w:r>
            <w:r w:rsidRPr="00FE6AC6">
              <w:rPr>
                <w:color w:val="000000"/>
                <w:lang w:val="bg-BG"/>
              </w:rPr>
              <w:t>Проучване 0110 [брой на левкоцити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тромбоцити &lt;450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 xml:space="preserve">/l, миелоцити + метамиелоцити &lt;5% в кръвта, без бласти и промиелоцити в кръвта, базофили &lt;20%, без екстрамедуларно засягане] и </w:t>
            </w:r>
            <w:r w:rsidR="00E94FA9" w:rsidRPr="00FE6AC6">
              <w:rPr>
                <w:color w:val="000000"/>
                <w:lang w:val="bg-BG"/>
              </w:rPr>
              <w:t xml:space="preserve">в </w:t>
            </w:r>
            <w:r w:rsidRPr="00FE6AC6">
              <w:rPr>
                <w:color w:val="000000"/>
                <w:lang w:val="bg-BG"/>
              </w:rPr>
              <w:t>проучвания</w:t>
            </w:r>
            <w:r w:rsidR="00E94FA9" w:rsidRPr="00FE6AC6">
              <w:rPr>
                <w:color w:val="000000"/>
                <w:lang w:val="bg-BG"/>
              </w:rPr>
              <w:t>та</w:t>
            </w:r>
            <w:r w:rsidRPr="00FE6AC6">
              <w:rPr>
                <w:color w:val="000000"/>
                <w:lang w:val="en-US"/>
              </w:rPr>
              <w:t> </w:t>
            </w:r>
            <w:r w:rsidRPr="00FE6AC6">
              <w:rPr>
                <w:color w:val="000000"/>
                <w:lang w:val="bg-BG"/>
              </w:rPr>
              <w:t>0102 и</w:t>
            </w:r>
            <w:r w:rsidRPr="00FE6AC6">
              <w:rPr>
                <w:color w:val="000000"/>
                <w:lang w:val="en-US"/>
              </w:rPr>
              <w:t> </w:t>
            </w:r>
            <w:r w:rsidR="00E94FA9" w:rsidRPr="00FE6AC6">
              <w:rPr>
                <w:color w:val="000000"/>
                <w:lang w:val="bg-BG"/>
              </w:rPr>
              <w:t>0109 [ANC</w:t>
            </w:r>
            <w:r w:rsidRPr="00FE6AC6">
              <w:rPr>
                <w:color w:val="000000"/>
                <w:lang w:val="bg-BG"/>
              </w:rPr>
              <w:t xml:space="preserve"> ≥1,5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тромбоцити ≥100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 xml:space="preserve">/l, без бласти в </w:t>
            </w:r>
            <w:r w:rsidR="00E94FA9" w:rsidRPr="00FE6AC6">
              <w:rPr>
                <w:color w:val="000000"/>
                <w:lang w:val="bg-BG"/>
              </w:rPr>
              <w:t xml:space="preserve">кръвта, бласти в </w:t>
            </w:r>
            <w:r w:rsidRPr="00FE6AC6">
              <w:rPr>
                <w:color w:val="000000"/>
                <w:lang w:val="bg-BG"/>
              </w:rPr>
              <w:t>КМ &lt;5% и без екстрамедуларно засягане]</w:t>
            </w:r>
          </w:p>
          <w:p w14:paraId="3E54FE29" w14:textId="77777777" w:rsidR="001636FA" w:rsidRPr="00FE6AC6" w:rsidRDefault="001636FA" w:rsidP="008143B1">
            <w:pPr>
              <w:widowControl w:val="0"/>
              <w:tabs>
                <w:tab w:val="clear" w:pos="567"/>
                <w:tab w:val="left" w:pos="540"/>
                <w:tab w:val="right" w:pos="9815"/>
              </w:tabs>
              <w:spacing w:line="240" w:lineRule="auto"/>
              <w:ind w:left="567" w:hanging="567"/>
              <w:rPr>
                <w:color w:val="000000"/>
                <w:lang w:val="bg-BG"/>
              </w:rPr>
            </w:pPr>
            <w:r w:rsidRPr="00FE6AC6">
              <w:rPr>
                <w:color w:val="000000"/>
                <w:lang w:val="bg-BG"/>
              </w:rPr>
              <w:t>БДЛ</w:t>
            </w:r>
            <w:r w:rsidR="00EA3314" w:rsidRPr="00FE6AC6">
              <w:rPr>
                <w:color w:val="000000"/>
                <w:lang w:val="bg-BG"/>
              </w:rPr>
              <w:t xml:space="preserve"> (NEL)</w:t>
            </w:r>
            <w:r w:rsidR="003615BF" w:rsidRPr="00FE6AC6">
              <w:rPr>
                <w:color w:val="000000"/>
                <w:lang w:val="bg-BG"/>
              </w:rPr>
              <w:t xml:space="preserve">: </w:t>
            </w:r>
            <w:r w:rsidRPr="00FE6AC6">
              <w:rPr>
                <w:color w:val="000000"/>
                <w:lang w:val="bg-BG"/>
              </w:rPr>
              <w:t xml:space="preserve">Същите критерии както за </w:t>
            </w:r>
            <w:r w:rsidR="00EA3314" w:rsidRPr="00FE6AC6">
              <w:rPr>
                <w:color w:val="000000"/>
                <w:lang w:val="bg-BG"/>
              </w:rPr>
              <w:t>CHR</w:t>
            </w:r>
            <w:r w:rsidRPr="00FE6AC6">
              <w:rPr>
                <w:color w:val="000000"/>
                <w:lang w:val="bg-BG"/>
              </w:rPr>
              <w:t xml:space="preserve">, но </w:t>
            </w:r>
            <w:r w:rsidR="00EA3314" w:rsidRPr="00FE6AC6">
              <w:rPr>
                <w:color w:val="000000"/>
                <w:lang w:val="bg-BG"/>
              </w:rPr>
              <w:t>ANC</w:t>
            </w:r>
            <w:r w:rsidRPr="00FE6AC6">
              <w:rPr>
                <w:color w:val="000000"/>
                <w:lang w:val="bg-BG"/>
              </w:rPr>
              <w:t xml:space="preserve"> ≥1,0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тромбоцити ≥20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(само за</w:t>
            </w:r>
            <w:r w:rsidRPr="00FE6AC6">
              <w:rPr>
                <w:color w:val="000000"/>
                <w:lang w:val="en-US"/>
              </w:rPr>
              <w:t> </w:t>
            </w:r>
            <w:r w:rsidRPr="00FE6AC6">
              <w:rPr>
                <w:color w:val="000000"/>
                <w:lang w:val="bg-BG"/>
              </w:rPr>
              <w:t>0102 и</w:t>
            </w:r>
            <w:r w:rsidRPr="00FE6AC6">
              <w:rPr>
                <w:color w:val="000000"/>
                <w:lang w:val="en-US"/>
              </w:rPr>
              <w:t> </w:t>
            </w:r>
            <w:r w:rsidRPr="00FE6AC6">
              <w:rPr>
                <w:color w:val="000000"/>
                <w:lang w:val="bg-BG"/>
              </w:rPr>
              <w:t>0109)</w:t>
            </w:r>
          </w:p>
          <w:p w14:paraId="3E54FE2A" w14:textId="77777777" w:rsidR="001636FA" w:rsidRPr="00FE6AC6" w:rsidRDefault="006022FC" w:rsidP="008143B1">
            <w:pPr>
              <w:widowControl w:val="0"/>
              <w:tabs>
                <w:tab w:val="right" w:pos="9815"/>
              </w:tabs>
              <w:spacing w:line="240" w:lineRule="auto"/>
              <w:ind w:left="567" w:hanging="567"/>
              <w:rPr>
                <w:color w:val="000000"/>
                <w:lang w:val="bg-BG"/>
              </w:rPr>
            </w:pPr>
            <w:r w:rsidRPr="00FE6AC6">
              <w:rPr>
                <w:color w:val="000000"/>
                <w:lang w:val="bg-BG"/>
              </w:rPr>
              <w:t xml:space="preserve">ВХФ (RTC): </w:t>
            </w:r>
            <w:r w:rsidR="001636FA" w:rsidRPr="00FE6AC6">
              <w:rPr>
                <w:color w:val="000000"/>
                <w:lang w:val="bg-BG"/>
              </w:rPr>
              <w:t>&lt;15% бласти в КМ и ПК, &lt;30% бласти + промиелоцити в КМ и ПК, &lt;20% базофили в ПК,</w:t>
            </w:r>
            <w:r w:rsidR="00284434" w:rsidRPr="00FE6AC6">
              <w:rPr>
                <w:color w:val="000000"/>
                <w:lang w:val="bg-BG"/>
              </w:rPr>
              <w:t xml:space="preserve"> </w:t>
            </w:r>
            <w:r w:rsidR="001636FA" w:rsidRPr="00FE6AC6">
              <w:rPr>
                <w:color w:val="000000"/>
                <w:lang w:val="bg-BG"/>
              </w:rPr>
              <w:t>без друго екстрамедуларно засягане</w:t>
            </w:r>
            <w:r w:rsidRPr="00FE6AC6">
              <w:rPr>
                <w:color w:val="000000"/>
                <w:lang w:val="bg-BG"/>
              </w:rPr>
              <w:t>,</w:t>
            </w:r>
            <w:r w:rsidR="001636FA" w:rsidRPr="00FE6AC6">
              <w:rPr>
                <w:color w:val="000000"/>
                <w:lang w:val="bg-BG"/>
              </w:rPr>
              <w:t xml:space="preserve"> освен слезка и черен дроб (само за</w:t>
            </w:r>
            <w:r w:rsidR="001636FA" w:rsidRPr="00FE6AC6">
              <w:rPr>
                <w:color w:val="000000"/>
                <w:lang w:val="en-US"/>
              </w:rPr>
              <w:t> </w:t>
            </w:r>
            <w:r w:rsidR="001636FA" w:rsidRPr="00FE6AC6">
              <w:rPr>
                <w:color w:val="000000"/>
                <w:lang w:val="bg-BG"/>
              </w:rPr>
              <w:t>0102 и 0109).</w:t>
            </w:r>
          </w:p>
          <w:p w14:paraId="3E54FE2B" w14:textId="77777777" w:rsidR="001636FA" w:rsidRPr="00FE6AC6" w:rsidRDefault="001636FA" w:rsidP="008143B1">
            <w:pPr>
              <w:widowControl w:val="0"/>
              <w:tabs>
                <w:tab w:val="right" w:pos="9815"/>
              </w:tabs>
              <w:spacing w:line="240" w:lineRule="auto"/>
              <w:rPr>
                <w:color w:val="000000"/>
                <w:lang w:val="bg-BG"/>
              </w:rPr>
            </w:pPr>
            <w:r w:rsidRPr="00FE6AC6">
              <w:rPr>
                <w:color w:val="000000"/>
                <w:lang w:val="bg-BG"/>
              </w:rPr>
              <w:t>КМ = костен мозък, ПК = периферна кръв</w:t>
            </w:r>
          </w:p>
          <w:p w14:paraId="3E54FE2C" w14:textId="77777777" w:rsidR="001636FA" w:rsidRPr="00FE6AC6" w:rsidRDefault="001636FA" w:rsidP="008143B1">
            <w:pPr>
              <w:widowControl w:val="0"/>
              <w:tabs>
                <w:tab w:val="right" w:pos="9815"/>
              </w:tabs>
              <w:spacing w:line="240" w:lineRule="auto"/>
              <w:rPr>
                <w:b/>
                <w:color w:val="000000"/>
                <w:lang w:val="bg-BG"/>
              </w:rPr>
            </w:pPr>
            <w:r w:rsidRPr="00FE6AC6">
              <w:rPr>
                <w:b/>
                <w:color w:val="000000"/>
                <w:lang w:val="bg-BG"/>
              </w:rPr>
              <w:t>²Критерии за цитогенетичен отговор:</w:t>
            </w:r>
          </w:p>
          <w:p w14:paraId="3E54FE2D" w14:textId="77777777" w:rsidR="001636FA" w:rsidRPr="00FE6AC6" w:rsidRDefault="001636FA" w:rsidP="008143B1">
            <w:pPr>
              <w:widowControl w:val="0"/>
              <w:tabs>
                <w:tab w:val="right" w:pos="9815"/>
              </w:tabs>
              <w:spacing w:line="240" w:lineRule="auto"/>
              <w:rPr>
                <w:color w:val="000000"/>
                <w:lang w:val="bg-BG"/>
              </w:rPr>
            </w:pPr>
            <w:r w:rsidRPr="00FE6AC6">
              <w:rPr>
                <w:color w:val="000000"/>
                <w:lang w:val="bg-BG"/>
              </w:rPr>
              <w:t xml:space="preserve">Големият отговор </w:t>
            </w:r>
            <w:r w:rsidR="00071825" w:rsidRPr="00FE6AC6">
              <w:rPr>
                <w:color w:val="000000"/>
                <w:lang w:val="bg-BG"/>
              </w:rPr>
              <w:t>включва</w:t>
            </w:r>
            <w:r w:rsidRPr="00FE6AC6">
              <w:rPr>
                <w:color w:val="000000"/>
                <w:lang w:val="bg-BG"/>
              </w:rPr>
              <w:t xml:space="preserve"> едновременно пълния (0% Ph+ метафазни пластинки) и частичния (1</w:t>
            </w:r>
            <w:r w:rsidRPr="00FE6AC6">
              <w:rPr>
                <w:color w:val="000000"/>
                <w:lang w:val="bg-BG"/>
              </w:rPr>
              <w:noBreakHyphen/>
              <w:t>35%) отговор</w:t>
            </w:r>
          </w:p>
          <w:p w14:paraId="3E54FE2E" w14:textId="77777777" w:rsidR="001636FA" w:rsidRPr="00FE6AC6" w:rsidRDefault="001636FA" w:rsidP="008143B1">
            <w:pPr>
              <w:pStyle w:val="EndnoteText"/>
              <w:widowControl w:val="0"/>
              <w:tabs>
                <w:tab w:val="clear" w:pos="567"/>
              </w:tabs>
              <w:rPr>
                <w:color w:val="000000"/>
                <w:lang w:val="bg-BG"/>
              </w:rPr>
            </w:pPr>
            <w:r w:rsidRPr="00FE6AC6">
              <w:rPr>
                <w:color w:val="000000"/>
                <w:lang w:val="bg-BG"/>
              </w:rPr>
              <w:t>³Пъл</w:t>
            </w:r>
            <w:r w:rsidR="00071825" w:rsidRPr="00FE6AC6">
              <w:rPr>
                <w:color w:val="000000"/>
                <w:lang w:val="bg-BG"/>
              </w:rPr>
              <w:t>е</w:t>
            </w:r>
            <w:r w:rsidRPr="00FE6AC6">
              <w:rPr>
                <w:color w:val="000000"/>
                <w:lang w:val="bg-BG"/>
              </w:rPr>
              <w:t>н цитогенетичен отговор, потвърден от второ цитогенетично изследване на костен мозък, извършено най-малко един месец след първоначалното изследване на костния мозък.</w:t>
            </w:r>
          </w:p>
        </w:tc>
      </w:tr>
    </w:tbl>
    <w:p w14:paraId="3E54FE30" w14:textId="77777777" w:rsidR="001636FA" w:rsidRPr="00FE6AC6" w:rsidRDefault="001636FA" w:rsidP="0063575E">
      <w:pPr>
        <w:widowControl w:val="0"/>
        <w:spacing w:line="240" w:lineRule="auto"/>
        <w:rPr>
          <w:color w:val="000000"/>
          <w:lang w:val="bg-BG"/>
        </w:rPr>
      </w:pPr>
    </w:p>
    <w:p w14:paraId="3E54FE31" w14:textId="77777777" w:rsidR="001636FA" w:rsidRPr="00FE6AC6" w:rsidRDefault="00CD6414" w:rsidP="0063575E">
      <w:pPr>
        <w:widowControl w:val="0"/>
        <w:spacing w:line="240" w:lineRule="auto"/>
        <w:rPr>
          <w:color w:val="000000"/>
          <w:lang w:val="bg-BG"/>
        </w:rPr>
      </w:pPr>
      <w:r w:rsidRPr="00FE6AC6">
        <w:rPr>
          <w:i/>
          <w:color w:val="000000"/>
          <w:lang w:val="bg-BG"/>
        </w:rPr>
        <w:t>Педиатрични пациенти</w:t>
      </w:r>
      <w:r w:rsidR="001636FA" w:rsidRPr="00FE6AC6">
        <w:rPr>
          <w:i/>
          <w:color w:val="000000"/>
          <w:lang w:val="bg-BG"/>
        </w:rPr>
        <w:t>:</w:t>
      </w:r>
      <w:r w:rsidR="001636FA" w:rsidRPr="00FE6AC6">
        <w:rPr>
          <w:color w:val="000000"/>
          <w:lang w:val="bg-BG"/>
        </w:rPr>
        <w:t xml:space="preserve"> Общо 26 пациенти на възраст &lt;18 години в хронична фаза на ХМЛ (n=11) или </w:t>
      </w:r>
      <w:r w:rsidR="00382790" w:rsidRPr="00FE6AC6">
        <w:rPr>
          <w:color w:val="000000"/>
          <w:lang w:val="bg-BG"/>
        </w:rPr>
        <w:t xml:space="preserve">ХМЛ </w:t>
      </w:r>
      <w:r w:rsidR="001636FA" w:rsidRPr="00FE6AC6">
        <w:rPr>
          <w:color w:val="000000"/>
          <w:lang w:val="bg-BG"/>
        </w:rPr>
        <w:t xml:space="preserve">в бластна криза или с остри Ph+ левкемии </w:t>
      </w:r>
      <w:r w:rsidR="00382790" w:rsidRPr="00FE6AC6">
        <w:rPr>
          <w:color w:val="000000"/>
          <w:lang w:val="bg-BG"/>
        </w:rPr>
        <w:t xml:space="preserve">(n=15) </w:t>
      </w:r>
      <w:r w:rsidR="001636FA" w:rsidRPr="00FE6AC6">
        <w:rPr>
          <w:color w:val="000000"/>
          <w:lang w:val="bg-BG"/>
        </w:rPr>
        <w:t xml:space="preserve">са </w:t>
      </w:r>
      <w:r w:rsidR="00382790" w:rsidRPr="00FE6AC6">
        <w:rPr>
          <w:color w:val="000000"/>
          <w:lang w:val="bg-BG"/>
        </w:rPr>
        <w:t xml:space="preserve">били </w:t>
      </w:r>
      <w:r w:rsidR="001636FA" w:rsidRPr="00FE6AC6">
        <w:rPr>
          <w:color w:val="000000"/>
          <w:lang w:val="bg-BG"/>
        </w:rPr>
        <w:t xml:space="preserve">включени във фаза I проучване с ескалация на дозата. Това </w:t>
      </w:r>
      <w:r w:rsidR="00382790" w:rsidRPr="00FE6AC6">
        <w:rPr>
          <w:color w:val="000000"/>
          <w:lang w:val="bg-BG"/>
        </w:rPr>
        <w:t>са били</w:t>
      </w:r>
      <w:r w:rsidR="001636FA" w:rsidRPr="00FE6AC6">
        <w:rPr>
          <w:color w:val="000000"/>
          <w:lang w:val="bg-BG"/>
        </w:rPr>
        <w:t xml:space="preserve"> пациенти, претърпели интензивна предхождаща терапия, като 46% от тях са били подложени преди това на костно-мозъчна трансплантация (КМТ), а 73% са били на полихимиотерапия. Пациентите са лекувани с дози на Glivec от 260 mg/m²/ден (n=5), 340 mg/m²/ден (n=9), 440 mg/m²/ден (n=7) и 570 mg/m²/ден (n=5). От 9 пациента с хронична фаза на ХМЛ с налична цитогенетика, 4 (44%) и 3 (33%) постигат съответно пълен и частичен цитогенетичен отговор</w:t>
      </w:r>
      <w:r w:rsidR="00382790" w:rsidRPr="00FE6AC6">
        <w:rPr>
          <w:color w:val="000000"/>
          <w:lang w:val="bg-BG"/>
        </w:rPr>
        <w:t>,</w:t>
      </w:r>
      <w:r w:rsidR="001636FA" w:rsidRPr="00FE6AC6">
        <w:rPr>
          <w:color w:val="000000"/>
          <w:lang w:val="bg-BG"/>
        </w:rPr>
        <w:t xml:space="preserve"> с честота на ГЦО </w:t>
      </w:r>
      <w:r w:rsidR="00382790" w:rsidRPr="00FE6AC6">
        <w:rPr>
          <w:color w:val="000000"/>
          <w:lang w:val="bg-BG"/>
        </w:rPr>
        <w:t>(MСyR)</w:t>
      </w:r>
      <w:r w:rsidR="00382790" w:rsidRPr="00FE6AC6" w:rsidDel="00597A88">
        <w:rPr>
          <w:color w:val="000000"/>
          <w:lang w:val="bg-BG"/>
        </w:rPr>
        <w:t xml:space="preserve"> </w:t>
      </w:r>
      <w:r w:rsidR="001636FA" w:rsidRPr="00FE6AC6">
        <w:rPr>
          <w:color w:val="000000"/>
          <w:lang w:val="bg-BG"/>
        </w:rPr>
        <w:t>от 77%.</w:t>
      </w:r>
    </w:p>
    <w:p w14:paraId="3E54FE32" w14:textId="77777777" w:rsidR="001636FA" w:rsidRPr="00FE6AC6" w:rsidRDefault="001636FA" w:rsidP="0063575E">
      <w:pPr>
        <w:widowControl w:val="0"/>
        <w:spacing w:line="240" w:lineRule="auto"/>
        <w:rPr>
          <w:color w:val="000000"/>
          <w:lang w:val="bg-BG"/>
        </w:rPr>
      </w:pPr>
    </w:p>
    <w:p w14:paraId="3E54FE33" w14:textId="77777777" w:rsidR="001636FA" w:rsidRPr="00FE6AC6" w:rsidRDefault="001636FA" w:rsidP="0063575E">
      <w:pPr>
        <w:widowControl w:val="0"/>
        <w:spacing w:line="240" w:lineRule="auto"/>
        <w:rPr>
          <w:color w:val="000000"/>
          <w:lang w:val="bg-BG"/>
        </w:rPr>
      </w:pPr>
      <w:r w:rsidRPr="00FE6AC6">
        <w:rPr>
          <w:color w:val="000000"/>
          <w:lang w:val="bg-BG"/>
        </w:rPr>
        <w:t>Общо 51 пациента в детска възраст с новодиагностицирана и нелекувана ХМЛ в хронична фаза, са включени в отворено, мултицентрово, с едно терапевтично рамо проучване във фаза </w:t>
      </w:r>
      <w:r w:rsidRPr="00FE6AC6">
        <w:rPr>
          <w:color w:val="000000"/>
          <w:lang w:val="de-CH"/>
        </w:rPr>
        <w:t>II</w:t>
      </w:r>
      <w:r w:rsidRPr="00FE6AC6">
        <w:rPr>
          <w:color w:val="000000"/>
          <w:lang w:val="bg-BG"/>
        </w:rPr>
        <w:t xml:space="preserve">. Пациентите са лекувани с </w:t>
      </w:r>
      <w:r w:rsidRPr="00FE6AC6">
        <w:rPr>
          <w:color w:val="000000"/>
          <w:lang w:val="en-US"/>
        </w:rPr>
        <w:t>Glivec</w:t>
      </w:r>
      <w:r w:rsidRPr="00FE6AC6">
        <w:rPr>
          <w:color w:val="000000"/>
          <w:lang w:val="bg-BG"/>
        </w:rPr>
        <w:t> 340 </w:t>
      </w:r>
      <w:r w:rsidRPr="00FE6AC6">
        <w:rPr>
          <w:color w:val="000000"/>
        </w:rPr>
        <w:t>mg</w:t>
      </w:r>
      <w:r w:rsidRPr="00FE6AC6">
        <w:rPr>
          <w:color w:val="000000"/>
          <w:lang w:val="ru-RU"/>
        </w:rPr>
        <w:t>/</w:t>
      </w:r>
      <w:r w:rsidRPr="00FE6AC6">
        <w:rPr>
          <w:color w:val="000000"/>
        </w:rPr>
        <w:t>m</w:t>
      </w:r>
      <w:r w:rsidRPr="00FE6AC6">
        <w:rPr>
          <w:color w:val="000000"/>
          <w:vertAlign w:val="superscript"/>
          <w:lang w:val="ru-RU"/>
        </w:rPr>
        <w:t>2</w:t>
      </w:r>
      <w:r w:rsidRPr="00FE6AC6">
        <w:rPr>
          <w:color w:val="000000"/>
          <w:lang w:val="ru-RU"/>
        </w:rPr>
        <w:t>/</w:t>
      </w:r>
      <w:r w:rsidRPr="00FE6AC6">
        <w:rPr>
          <w:color w:val="000000"/>
          <w:lang w:val="bg-BG"/>
        </w:rPr>
        <w:t>ден без прекъсване</w:t>
      </w:r>
      <w:r w:rsidR="00382790" w:rsidRPr="00FE6AC6">
        <w:rPr>
          <w:color w:val="000000"/>
          <w:lang w:val="bg-BG"/>
        </w:rPr>
        <w:t>,</w:t>
      </w:r>
      <w:r w:rsidRPr="00FE6AC6">
        <w:rPr>
          <w:color w:val="000000"/>
          <w:lang w:val="bg-BG"/>
        </w:rPr>
        <w:t xml:space="preserve"> при липса на доз</w:t>
      </w:r>
      <w:r w:rsidR="00382790" w:rsidRPr="00FE6AC6">
        <w:rPr>
          <w:color w:val="000000"/>
          <w:lang w:val="bg-BG"/>
        </w:rPr>
        <w:t>о</w:t>
      </w:r>
      <w:r w:rsidRPr="00FE6AC6">
        <w:rPr>
          <w:color w:val="000000"/>
          <w:lang w:val="bg-BG"/>
        </w:rPr>
        <w:t>-лимитира</w:t>
      </w:r>
      <w:r w:rsidR="00382790" w:rsidRPr="00FE6AC6">
        <w:rPr>
          <w:color w:val="000000"/>
          <w:lang w:val="bg-BG"/>
        </w:rPr>
        <w:t>ща</w:t>
      </w:r>
      <w:r w:rsidRPr="00FE6AC6">
        <w:rPr>
          <w:color w:val="000000"/>
          <w:lang w:val="bg-BG"/>
        </w:rPr>
        <w:t xml:space="preserve"> токсичност. Лечението с </w:t>
      </w:r>
      <w:r w:rsidRPr="00FE6AC6">
        <w:rPr>
          <w:color w:val="000000"/>
          <w:lang w:val="en-US"/>
        </w:rPr>
        <w:t>Glivec</w:t>
      </w:r>
      <w:r w:rsidRPr="00FE6AC6">
        <w:rPr>
          <w:color w:val="000000"/>
          <w:lang w:val="bg-BG"/>
        </w:rPr>
        <w:t xml:space="preserve"> </w:t>
      </w:r>
      <w:r w:rsidR="00382790" w:rsidRPr="00FE6AC6">
        <w:rPr>
          <w:color w:val="000000"/>
          <w:lang w:val="bg-BG"/>
        </w:rPr>
        <w:t xml:space="preserve">води до </w:t>
      </w:r>
      <w:r w:rsidRPr="00FE6AC6">
        <w:rPr>
          <w:color w:val="000000"/>
          <w:lang w:val="bg-BG"/>
        </w:rPr>
        <w:t xml:space="preserve">бърз отговор при новодиагностицирани педиатрични пациенти с ХМЛ, с ПХО </w:t>
      </w:r>
      <w:r w:rsidR="00382790" w:rsidRPr="00FE6AC6">
        <w:rPr>
          <w:color w:val="000000"/>
          <w:lang w:val="bg-BG"/>
        </w:rPr>
        <w:t xml:space="preserve">(CHR) </w:t>
      </w:r>
      <w:r w:rsidRPr="00FE6AC6">
        <w:rPr>
          <w:color w:val="000000"/>
          <w:lang w:val="bg-BG"/>
        </w:rPr>
        <w:t xml:space="preserve">от 78% след 8 седмици лечение. Високата честота на ПХО </w:t>
      </w:r>
      <w:r w:rsidR="00382790" w:rsidRPr="00FE6AC6">
        <w:rPr>
          <w:color w:val="000000"/>
          <w:lang w:val="bg-BG"/>
        </w:rPr>
        <w:t xml:space="preserve">(CHR) </w:t>
      </w:r>
      <w:r w:rsidRPr="00FE6AC6">
        <w:rPr>
          <w:color w:val="000000"/>
          <w:lang w:val="bg-BG"/>
        </w:rPr>
        <w:t xml:space="preserve">е съпроводена с </w:t>
      </w:r>
      <w:r w:rsidR="00382790" w:rsidRPr="00FE6AC6">
        <w:rPr>
          <w:color w:val="000000"/>
          <w:lang w:val="bg-BG"/>
        </w:rPr>
        <w:t xml:space="preserve">достигане </w:t>
      </w:r>
      <w:r w:rsidRPr="00FE6AC6">
        <w:rPr>
          <w:color w:val="000000"/>
          <w:lang w:val="bg-BG"/>
        </w:rPr>
        <w:t xml:space="preserve">на пълен цитогенетичен отговор ПЦО </w:t>
      </w:r>
      <w:r w:rsidR="00382790" w:rsidRPr="00FE6AC6">
        <w:rPr>
          <w:color w:val="000000"/>
          <w:lang w:val="bg-BG"/>
        </w:rPr>
        <w:t>(</w:t>
      </w:r>
      <w:r w:rsidR="00382790" w:rsidRPr="00FE6AC6">
        <w:rPr>
          <w:color w:val="000000"/>
          <w:lang w:val="en-US"/>
        </w:rPr>
        <w:t>CCgR</w:t>
      </w:r>
      <w:r w:rsidR="00382790" w:rsidRPr="00FE6AC6">
        <w:rPr>
          <w:color w:val="000000"/>
          <w:lang w:val="bg-BG"/>
        </w:rPr>
        <w:t xml:space="preserve">) </w:t>
      </w:r>
      <w:r w:rsidRPr="00FE6AC6">
        <w:rPr>
          <w:color w:val="000000"/>
          <w:lang w:val="bg-BG"/>
        </w:rPr>
        <w:t xml:space="preserve">от 65%, който е сравним с резултатите, наблюдавани при възрастни. В допълнение, частичен цитогенетичен отговор ЧЦО </w:t>
      </w:r>
      <w:r w:rsidR="00382790" w:rsidRPr="00FE6AC6">
        <w:rPr>
          <w:color w:val="000000"/>
          <w:lang w:val="bg-BG"/>
        </w:rPr>
        <w:t xml:space="preserve">(PСyR) </w:t>
      </w:r>
      <w:r w:rsidRPr="00FE6AC6">
        <w:rPr>
          <w:color w:val="000000"/>
          <w:lang w:val="bg-BG"/>
        </w:rPr>
        <w:t xml:space="preserve">е наблюдаван при 16% </w:t>
      </w:r>
      <w:r w:rsidR="00382790" w:rsidRPr="00FE6AC6">
        <w:rPr>
          <w:color w:val="000000"/>
          <w:lang w:val="bg-BG"/>
        </w:rPr>
        <w:t>при</w:t>
      </w:r>
      <w:r w:rsidRPr="00FE6AC6">
        <w:rPr>
          <w:color w:val="000000"/>
          <w:lang w:val="bg-BG"/>
        </w:rPr>
        <w:t xml:space="preserve"> честота на големия цитогенетичен отговор ГЦО </w:t>
      </w:r>
      <w:r w:rsidR="007E4AF3" w:rsidRPr="00FE6AC6">
        <w:rPr>
          <w:color w:val="000000"/>
          <w:lang w:val="bg-BG"/>
        </w:rPr>
        <w:t xml:space="preserve">(MСyR) </w:t>
      </w:r>
      <w:r w:rsidRPr="00FE6AC6">
        <w:rPr>
          <w:color w:val="000000"/>
          <w:lang w:val="bg-BG"/>
        </w:rPr>
        <w:t>от 81%. По-голяма част от пациентите, които постигат ПЦО</w:t>
      </w:r>
      <w:r w:rsidR="007E4AF3" w:rsidRPr="00FE6AC6">
        <w:rPr>
          <w:color w:val="000000"/>
          <w:lang w:val="bg-BG"/>
        </w:rPr>
        <w:t xml:space="preserve"> (CCgR), го достигат </w:t>
      </w:r>
      <w:r w:rsidRPr="00FE6AC6">
        <w:rPr>
          <w:color w:val="000000"/>
          <w:lang w:val="bg-BG"/>
        </w:rPr>
        <w:t>между 3 и 10 месец</w:t>
      </w:r>
      <w:r w:rsidR="007E4AF3" w:rsidRPr="00FE6AC6">
        <w:rPr>
          <w:color w:val="000000"/>
          <w:lang w:val="bg-BG"/>
        </w:rPr>
        <w:t>,</w:t>
      </w:r>
      <w:r w:rsidRPr="00FE6AC6">
        <w:rPr>
          <w:color w:val="000000"/>
          <w:lang w:val="bg-BG"/>
        </w:rPr>
        <w:t xml:space="preserve"> </w:t>
      </w:r>
      <w:r w:rsidR="007E4AF3" w:rsidRPr="00FE6AC6">
        <w:rPr>
          <w:color w:val="000000"/>
          <w:lang w:val="bg-BG"/>
        </w:rPr>
        <w:t xml:space="preserve">с медиана на </w:t>
      </w:r>
      <w:r w:rsidRPr="00FE6AC6">
        <w:rPr>
          <w:color w:val="000000"/>
          <w:lang w:val="bg-BG"/>
        </w:rPr>
        <w:t>време до отговора</w:t>
      </w:r>
      <w:r w:rsidR="007E4AF3" w:rsidRPr="00FE6AC6">
        <w:rPr>
          <w:color w:val="000000"/>
          <w:lang w:val="bg-BG"/>
        </w:rPr>
        <w:t xml:space="preserve"> от 5,6 месеца</w:t>
      </w:r>
      <w:r w:rsidRPr="00FE6AC6">
        <w:rPr>
          <w:color w:val="000000"/>
          <w:lang w:val="bg-BG"/>
        </w:rPr>
        <w:t>, основано на изчисление</w:t>
      </w:r>
      <w:r w:rsidR="007E4AF3" w:rsidRPr="00FE6AC6">
        <w:rPr>
          <w:color w:val="000000"/>
          <w:lang w:val="bg-BG"/>
        </w:rPr>
        <w:t xml:space="preserve"> по</w:t>
      </w:r>
      <w:r w:rsidRPr="00FE6AC6">
        <w:rPr>
          <w:color w:val="000000"/>
          <w:lang w:val="bg-BG"/>
        </w:rPr>
        <w:t xml:space="preserve"> </w:t>
      </w:r>
      <w:r w:rsidRPr="00FE6AC6">
        <w:rPr>
          <w:color w:val="000000"/>
        </w:rPr>
        <w:t>Kaplan</w:t>
      </w:r>
      <w:r w:rsidRPr="00FE6AC6">
        <w:rPr>
          <w:color w:val="000000"/>
          <w:lang w:val="ru-RU"/>
        </w:rPr>
        <w:t>-</w:t>
      </w:r>
      <w:r w:rsidRPr="00FE6AC6">
        <w:rPr>
          <w:color w:val="000000"/>
        </w:rPr>
        <w:t>Meier</w:t>
      </w:r>
      <w:r w:rsidRPr="00FE6AC6">
        <w:rPr>
          <w:color w:val="000000"/>
          <w:lang w:val="bg-BG"/>
        </w:rPr>
        <w:t>.</w:t>
      </w:r>
    </w:p>
    <w:p w14:paraId="3E54FE34" w14:textId="77777777" w:rsidR="003F1EC9" w:rsidRPr="00FE6AC6" w:rsidRDefault="003F1EC9" w:rsidP="0063575E">
      <w:pPr>
        <w:widowControl w:val="0"/>
        <w:spacing w:line="240" w:lineRule="auto"/>
        <w:rPr>
          <w:rFonts w:eastAsia="SimSun"/>
          <w:szCs w:val="22"/>
          <w:lang w:val="bg-BG" w:eastAsia="zh-CN"/>
        </w:rPr>
      </w:pPr>
    </w:p>
    <w:p w14:paraId="3E54FE35" w14:textId="77777777" w:rsidR="001636FA" w:rsidRPr="00FE6AC6" w:rsidRDefault="003F1EC9" w:rsidP="0063575E">
      <w:pPr>
        <w:widowControl w:val="0"/>
        <w:spacing w:line="240" w:lineRule="auto"/>
        <w:rPr>
          <w:rFonts w:eastAsia="SimSun"/>
          <w:szCs w:val="22"/>
          <w:lang w:val="ru-RU" w:eastAsia="zh-CN"/>
        </w:rPr>
      </w:pPr>
      <w:r w:rsidRPr="00FE6AC6">
        <w:rPr>
          <w:rFonts w:eastAsia="SimSun"/>
          <w:szCs w:val="22"/>
          <w:lang w:val="bg-BG" w:eastAsia="zh-CN"/>
        </w:rPr>
        <w:t xml:space="preserve">Европейската агенция по лекарствата освобождава от задължението за предоставяне на резултатите от проучванията с </w:t>
      </w:r>
      <w:r w:rsidRPr="00FE6AC6">
        <w:rPr>
          <w:rFonts w:eastAsia="SimSun"/>
          <w:szCs w:val="22"/>
          <w:lang w:val="en-US" w:eastAsia="zh-CN"/>
        </w:rPr>
        <w:t>Glivec</w:t>
      </w:r>
      <w:r w:rsidRPr="00FE6AC6">
        <w:rPr>
          <w:rFonts w:eastAsia="SimSun"/>
          <w:szCs w:val="22"/>
          <w:lang w:val="ru-RU" w:eastAsia="zh-CN"/>
        </w:rPr>
        <w:t xml:space="preserve"> </w:t>
      </w:r>
      <w:r w:rsidRPr="00FE6AC6">
        <w:rPr>
          <w:rFonts w:eastAsia="SimSun"/>
          <w:szCs w:val="22"/>
          <w:lang w:val="bg-BG" w:eastAsia="zh-CN"/>
        </w:rPr>
        <w:t xml:space="preserve">във всички подгрупи на педиатричната популация при </w:t>
      </w:r>
      <w:r w:rsidR="00CB7C8D" w:rsidRPr="00FE6AC6">
        <w:rPr>
          <w:color w:val="000000"/>
          <w:lang w:val="bg-BG"/>
        </w:rPr>
        <w:t xml:space="preserve">положителна за Филаделфийска хромозома </w:t>
      </w:r>
      <w:r w:rsidR="004544A2" w:rsidRPr="00FE6AC6">
        <w:rPr>
          <w:color w:val="000000"/>
          <w:lang w:val="bg-BG"/>
        </w:rPr>
        <w:t>(</w:t>
      </w:r>
      <w:r w:rsidR="00127057" w:rsidRPr="00FE6AC6">
        <w:rPr>
          <w:color w:val="000000"/>
          <w:lang w:val="en-US"/>
        </w:rPr>
        <w:t>b</w:t>
      </w:r>
      <w:r w:rsidR="004544A2" w:rsidRPr="00FE6AC6">
        <w:rPr>
          <w:color w:val="000000"/>
          <w:lang w:val="bg-BG"/>
        </w:rPr>
        <w:t xml:space="preserve">cr-аbl транслокация) </w:t>
      </w:r>
      <w:r w:rsidR="00CB7C8D" w:rsidRPr="00FE6AC6">
        <w:rPr>
          <w:color w:val="000000"/>
          <w:lang w:val="bg-BG"/>
        </w:rPr>
        <w:t xml:space="preserve">хронична миелоидна левкемия </w:t>
      </w:r>
      <w:r w:rsidRPr="00FE6AC6">
        <w:rPr>
          <w:rFonts w:eastAsia="SimSun"/>
          <w:szCs w:val="22"/>
          <w:lang w:val="ru-RU" w:eastAsia="zh-CN"/>
        </w:rPr>
        <w:t>(</w:t>
      </w:r>
      <w:r w:rsidRPr="00FE6AC6">
        <w:rPr>
          <w:rFonts w:eastAsia="SimSun"/>
          <w:szCs w:val="22"/>
          <w:lang w:val="bg-BG" w:eastAsia="zh-CN"/>
        </w:rPr>
        <w:t xml:space="preserve">вж. точка </w:t>
      </w:r>
      <w:r w:rsidRPr="00FE6AC6">
        <w:rPr>
          <w:rFonts w:eastAsia="SimSun"/>
          <w:szCs w:val="22"/>
          <w:lang w:val="ru-RU" w:eastAsia="zh-CN"/>
        </w:rPr>
        <w:t xml:space="preserve">4.2 </w:t>
      </w:r>
      <w:r w:rsidRPr="00FE6AC6">
        <w:rPr>
          <w:rFonts w:eastAsia="SimSun"/>
          <w:szCs w:val="22"/>
          <w:lang w:val="bg-BG" w:eastAsia="zh-CN"/>
        </w:rPr>
        <w:t>за информация относно употреба в педиатрията</w:t>
      </w:r>
      <w:r w:rsidR="00246672" w:rsidRPr="00FE6AC6">
        <w:rPr>
          <w:rFonts w:eastAsia="SimSun"/>
          <w:szCs w:val="22"/>
          <w:lang w:val="ru-RU" w:eastAsia="zh-CN"/>
        </w:rPr>
        <w:t>).</w:t>
      </w:r>
    </w:p>
    <w:p w14:paraId="3E54FE36" w14:textId="77777777" w:rsidR="00246672" w:rsidRPr="00FE6AC6" w:rsidRDefault="00246672" w:rsidP="0063575E">
      <w:pPr>
        <w:widowControl w:val="0"/>
        <w:spacing w:line="240" w:lineRule="auto"/>
        <w:rPr>
          <w:color w:val="000000"/>
          <w:lang w:val="ru-RU"/>
        </w:rPr>
      </w:pPr>
    </w:p>
    <w:p w14:paraId="3E54FE37"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 xml:space="preserve">Клинични проучвания при </w:t>
      </w:r>
      <w:r w:rsidRPr="00FE6AC6">
        <w:rPr>
          <w:color w:val="000000"/>
          <w:u w:val="single"/>
          <w:lang w:val="en-US"/>
        </w:rPr>
        <w:t>Ph</w:t>
      </w:r>
      <w:r w:rsidRPr="00FE6AC6">
        <w:rPr>
          <w:color w:val="000000"/>
          <w:u w:val="single"/>
          <w:lang w:val="ru-RU"/>
        </w:rPr>
        <w:t>+</w:t>
      </w:r>
      <w:r w:rsidRPr="00FE6AC6">
        <w:rPr>
          <w:color w:val="000000"/>
          <w:u w:val="single"/>
          <w:lang w:val="bg-BG"/>
        </w:rPr>
        <w:t>ОЛЛ</w:t>
      </w:r>
    </w:p>
    <w:p w14:paraId="3E54FE38" w14:textId="77777777" w:rsidR="001636FA" w:rsidRPr="00FE6AC6" w:rsidRDefault="001636FA" w:rsidP="0063575E">
      <w:pPr>
        <w:widowControl w:val="0"/>
        <w:spacing w:line="240" w:lineRule="auto"/>
        <w:rPr>
          <w:color w:val="000000"/>
          <w:lang w:val="bg-BG"/>
        </w:rPr>
      </w:pPr>
      <w:r w:rsidRPr="00FE6AC6">
        <w:rPr>
          <w:i/>
          <w:color w:val="000000"/>
          <w:lang w:val="bg-BG"/>
        </w:rPr>
        <w:t xml:space="preserve">Новодиагностицирани случаи на </w:t>
      </w:r>
      <w:r w:rsidRPr="00FE6AC6">
        <w:rPr>
          <w:i/>
          <w:color w:val="000000"/>
          <w:lang w:val="en-US"/>
        </w:rPr>
        <w:t>Ph</w:t>
      </w:r>
      <w:r w:rsidRPr="00FE6AC6">
        <w:rPr>
          <w:i/>
          <w:color w:val="000000"/>
          <w:lang w:val="ru-RU"/>
        </w:rPr>
        <w:t>+</w:t>
      </w:r>
      <w:r w:rsidRPr="00FE6AC6">
        <w:rPr>
          <w:i/>
          <w:color w:val="000000"/>
          <w:lang w:val="bg-BG"/>
        </w:rPr>
        <w:t>ОЛЛ:</w:t>
      </w:r>
      <w:r w:rsidRPr="00FE6AC6">
        <w:rPr>
          <w:color w:val="000000"/>
          <w:lang w:val="bg-BG"/>
        </w:rPr>
        <w:t xml:space="preserve"> При контролирано проучване (</w:t>
      </w:r>
      <w:r w:rsidRPr="00FE6AC6">
        <w:rPr>
          <w:color w:val="000000"/>
          <w:lang w:val="en-US"/>
        </w:rPr>
        <w:t>ADE</w:t>
      </w:r>
      <w:r w:rsidRPr="00FE6AC6">
        <w:rPr>
          <w:color w:val="000000"/>
          <w:lang w:val="ru-RU"/>
        </w:rPr>
        <w:t xml:space="preserve">10) </w:t>
      </w:r>
      <w:r w:rsidRPr="00FE6AC6">
        <w:rPr>
          <w:color w:val="000000"/>
          <w:lang w:val="bg-BG"/>
        </w:rPr>
        <w:t>на</w:t>
      </w:r>
      <w:r w:rsidRPr="00FE6AC6">
        <w:rPr>
          <w:color w:val="000000"/>
          <w:lang w:val="ru-RU"/>
        </w:rPr>
        <w:t xml:space="preserve"> </w:t>
      </w:r>
      <w:r w:rsidRPr="00FE6AC6">
        <w:rPr>
          <w:color w:val="000000"/>
          <w:lang w:val="bg-BG"/>
        </w:rPr>
        <w:t xml:space="preserve">иматиниб спрямо химиотерапевтична индукция при 55 новодиагностицрани пациенти на възраст </w:t>
      </w:r>
      <w:r w:rsidR="00A65D75" w:rsidRPr="00FE6AC6">
        <w:rPr>
          <w:color w:val="000000"/>
          <w:lang w:val="bg-BG"/>
        </w:rPr>
        <w:t xml:space="preserve">на и </w:t>
      </w:r>
      <w:r w:rsidRPr="00FE6AC6">
        <w:rPr>
          <w:color w:val="000000"/>
          <w:lang w:val="bg-BG"/>
        </w:rPr>
        <w:t xml:space="preserve">над 55 години, иматиниб, използван като самостоятелно средство, предизвиква значимо по-висока честота на пълен </w:t>
      </w:r>
      <w:r w:rsidR="00A65D75" w:rsidRPr="00FE6AC6">
        <w:rPr>
          <w:color w:val="000000"/>
          <w:lang w:val="bg-BG"/>
        </w:rPr>
        <w:t>хематологичен</w:t>
      </w:r>
      <w:r w:rsidRPr="00FE6AC6">
        <w:rPr>
          <w:color w:val="000000"/>
          <w:lang w:val="bg-BG"/>
        </w:rPr>
        <w:t xml:space="preserve"> отговор</w:t>
      </w:r>
      <w:r w:rsidR="00A65D75" w:rsidRPr="00FE6AC6">
        <w:rPr>
          <w:color w:val="000000"/>
          <w:lang w:val="bg-BG"/>
        </w:rPr>
        <w:t>,</w:t>
      </w:r>
      <w:r w:rsidRPr="00FE6AC6">
        <w:rPr>
          <w:color w:val="000000"/>
          <w:lang w:val="bg-BG"/>
        </w:rPr>
        <w:t xml:space="preserve"> в сравнение с химиотерапията (</w:t>
      </w:r>
      <w:r w:rsidRPr="00FE6AC6">
        <w:rPr>
          <w:color w:val="000000"/>
          <w:lang w:val="ru-RU"/>
        </w:rPr>
        <w:t xml:space="preserve">96,3% </w:t>
      </w:r>
      <w:r w:rsidRPr="00FE6AC6">
        <w:rPr>
          <w:color w:val="000000"/>
          <w:lang w:val="bg-BG"/>
        </w:rPr>
        <w:t>спр.</w:t>
      </w:r>
      <w:r w:rsidRPr="00FE6AC6">
        <w:rPr>
          <w:color w:val="000000"/>
          <w:lang w:val="ru-RU"/>
        </w:rPr>
        <w:t xml:space="preserve"> 50%; </w:t>
      </w:r>
      <w:r w:rsidRPr="00FE6AC6">
        <w:rPr>
          <w:color w:val="000000"/>
        </w:rPr>
        <w:t>p</w:t>
      </w:r>
      <w:r w:rsidRPr="00FE6AC6">
        <w:rPr>
          <w:color w:val="000000"/>
          <w:lang w:val="ru-RU"/>
        </w:rPr>
        <w:t xml:space="preserve">=0,0001). Прилагането на спасителна терапия с иматимиб при пациенти, които не са отговорили или които отговарят лошо на химиотерапията, води до постигане на пълен хематологичен отговор при 9 от 11 пациента (81,8%). Този клиничен отговор </w:t>
      </w:r>
      <w:r w:rsidR="00A65D75" w:rsidRPr="00FE6AC6">
        <w:rPr>
          <w:color w:val="000000"/>
          <w:lang w:val="ru-RU"/>
        </w:rPr>
        <w:t>е бил свързан и с</w:t>
      </w:r>
      <w:r w:rsidRPr="00FE6AC6">
        <w:rPr>
          <w:color w:val="000000"/>
          <w:lang w:val="ru-RU"/>
        </w:rPr>
        <w:t xml:space="preserve"> по-високата редукция на </w:t>
      </w:r>
      <w:r w:rsidRPr="00FE6AC6">
        <w:rPr>
          <w:color w:val="000000"/>
          <w:lang w:val="en-US"/>
        </w:rPr>
        <w:t>bcr</w:t>
      </w:r>
      <w:r w:rsidRPr="00FE6AC6">
        <w:rPr>
          <w:color w:val="000000"/>
          <w:lang w:val="ru-RU"/>
        </w:rPr>
        <w:t>-</w:t>
      </w:r>
      <w:r w:rsidRPr="00FE6AC6">
        <w:rPr>
          <w:color w:val="000000"/>
          <w:lang w:val="en-US"/>
        </w:rPr>
        <w:t>abl</w:t>
      </w:r>
      <w:r w:rsidRPr="00FE6AC6">
        <w:rPr>
          <w:color w:val="000000"/>
          <w:lang w:val="ru-RU"/>
        </w:rPr>
        <w:t xml:space="preserve"> транскриптите при лекуваните с иматиниб пациенти</w:t>
      </w:r>
      <w:r w:rsidR="00127057" w:rsidRPr="00FE6AC6">
        <w:rPr>
          <w:color w:val="000000"/>
          <w:lang w:val="ru-RU"/>
        </w:rPr>
        <w:t>,</w:t>
      </w:r>
      <w:r w:rsidRPr="00FE6AC6">
        <w:rPr>
          <w:color w:val="000000"/>
          <w:lang w:val="ru-RU"/>
        </w:rPr>
        <w:t xml:space="preserve"> в сравнение с тези, лекувани с химиотерапия, след 2 седмици лечение (р=0,02). Всички пациенти получават иматиниб и консолидационна химиотерапия (вж</w:t>
      </w:r>
      <w:r w:rsidRPr="00FE6AC6">
        <w:rPr>
          <w:color w:val="000000"/>
          <w:lang w:val="bg-BG"/>
        </w:rPr>
        <w:t>.</w:t>
      </w:r>
      <w:r w:rsidRPr="00FE6AC6">
        <w:rPr>
          <w:color w:val="000000"/>
          <w:lang w:val="ru-RU"/>
        </w:rPr>
        <w:t xml:space="preserve"> Таблица </w:t>
      </w:r>
      <w:r w:rsidR="008C64DA" w:rsidRPr="00FE6AC6">
        <w:rPr>
          <w:color w:val="000000"/>
          <w:lang w:val="ru-RU"/>
        </w:rPr>
        <w:t>4</w:t>
      </w:r>
      <w:r w:rsidRPr="00FE6AC6">
        <w:rPr>
          <w:color w:val="000000"/>
          <w:lang w:val="ru-RU"/>
        </w:rPr>
        <w:t>) след индукцията</w:t>
      </w:r>
      <w:r w:rsidR="00D94BC3" w:rsidRPr="00FE6AC6">
        <w:rPr>
          <w:color w:val="000000"/>
          <w:lang w:val="ru-RU"/>
        </w:rPr>
        <w:t>,</w:t>
      </w:r>
      <w:r w:rsidRPr="00FE6AC6">
        <w:rPr>
          <w:color w:val="000000"/>
          <w:lang w:val="ru-RU"/>
        </w:rPr>
        <w:t xml:space="preserve"> като нивата на </w:t>
      </w:r>
      <w:r w:rsidRPr="00FE6AC6">
        <w:rPr>
          <w:color w:val="000000"/>
          <w:lang w:val="en-US"/>
        </w:rPr>
        <w:t>bcr</w:t>
      </w:r>
      <w:r w:rsidRPr="00FE6AC6">
        <w:rPr>
          <w:color w:val="000000"/>
          <w:lang w:val="ru-RU"/>
        </w:rPr>
        <w:t>-</w:t>
      </w:r>
      <w:r w:rsidRPr="00FE6AC6">
        <w:rPr>
          <w:color w:val="000000"/>
          <w:lang w:val="en-US"/>
        </w:rPr>
        <w:t>abl</w:t>
      </w:r>
      <w:r w:rsidRPr="00FE6AC6">
        <w:rPr>
          <w:color w:val="000000"/>
          <w:lang w:val="bg-BG"/>
        </w:rPr>
        <w:t xml:space="preserve"> транскриптите са идентични в двете рамена </w:t>
      </w:r>
      <w:r w:rsidR="00D94BC3" w:rsidRPr="00FE6AC6">
        <w:rPr>
          <w:color w:val="000000"/>
          <w:lang w:val="bg-BG"/>
        </w:rPr>
        <w:t xml:space="preserve">на </w:t>
      </w:r>
      <w:r w:rsidRPr="00FE6AC6">
        <w:rPr>
          <w:color w:val="000000"/>
          <w:lang w:val="bg-BG"/>
        </w:rPr>
        <w:t>8</w:t>
      </w:r>
      <w:r w:rsidR="00D94BC3" w:rsidRPr="00FE6AC6">
        <w:rPr>
          <w:color w:val="000000"/>
          <w:lang w:val="bg-BG"/>
        </w:rPr>
        <w:noBreakHyphen/>
        <w:t>ма</w:t>
      </w:r>
      <w:r w:rsidRPr="00FE6AC6">
        <w:rPr>
          <w:color w:val="000000"/>
          <w:lang w:val="bg-BG"/>
        </w:rPr>
        <w:t> седмиц</w:t>
      </w:r>
      <w:r w:rsidR="00D94BC3" w:rsidRPr="00FE6AC6">
        <w:rPr>
          <w:color w:val="000000"/>
          <w:lang w:val="bg-BG"/>
        </w:rPr>
        <w:t>а</w:t>
      </w:r>
      <w:r w:rsidRPr="00FE6AC6">
        <w:rPr>
          <w:color w:val="000000"/>
          <w:lang w:val="bg-BG"/>
        </w:rPr>
        <w:t xml:space="preserve">. Както се очаква, въз основа на дизайна на проучването, не се наблюдава разлика в продължителността на ремисията, преживяемостта без заболяване и общата преживяемост, въпреки че пациентите с пълен молекулярен отговор и </w:t>
      </w:r>
      <w:r w:rsidR="00D94BC3" w:rsidRPr="00FE6AC6">
        <w:rPr>
          <w:color w:val="000000"/>
          <w:lang w:val="bg-BG"/>
        </w:rPr>
        <w:t>показващи</w:t>
      </w:r>
      <w:r w:rsidRPr="00FE6AC6">
        <w:rPr>
          <w:color w:val="000000"/>
          <w:lang w:val="bg-BG"/>
        </w:rPr>
        <w:t xml:space="preserve"> минималната резидуална болест имат по-добър изход по отношение</w:t>
      </w:r>
      <w:r w:rsidR="00D94BC3" w:rsidRPr="00FE6AC6">
        <w:rPr>
          <w:color w:val="000000"/>
          <w:lang w:val="bg-BG"/>
        </w:rPr>
        <w:t>,</w:t>
      </w:r>
      <w:r w:rsidRPr="00FE6AC6">
        <w:rPr>
          <w:color w:val="000000"/>
          <w:lang w:val="bg-BG"/>
        </w:rPr>
        <w:t xml:space="preserve"> както на продължителността на ремисията (р=0,01), така и на преживяемостта без заболяване (р=0,02).</w:t>
      </w:r>
    </w:p>
    <w:p w14:paraId="3E54FE39" w14:textId="77777777" w:rsidR="001636FA" w:rsidRPr="00FE6AC6" w:rsidRDefault="001636FA" w:rsidP="0063575E">
      <w:pPr>
        <w:widowControl w:val="0"/>
        <w:spacing w:line="240" w:lineRule="auto"/>
        <w:rPr>
          <w:color w:val="000000"/>
          <w:lang w:val="bg-BG"/>
        </w:rPr>
      </w:pPr>
    </w:p>
    <w:p w14:paraId="3E54FE3A" w14:textId="77777777" w:rsidR="001636FA" w:rsidRPr="00FE6AC6" w:rsidRDefault="001636FA" w:rsidP="0063575E">
      <w:pPr>
        <w:widowControl w:val="0"/>
        <w:spacing w:line="240" w:lineRule="auto"/>
        <w:rPr>
          <w:color w:val="000000"/>
          <w:lang w:val="ru-RU"/>
        </w:rPr>
      </w:pPr>
      <w:r w:rsidRPr="00FE6AC6">
        <w:rPr>
          <w:color w:val="000000"/>
          <w:lang w:val="bg-BG"/>
        </w:rPr>
        <w:t xml:space="preserve">Резултатите, наблюдавани в група от 211 новодиагностицирани пациенти с </w:t>
      </w:r>
      <w:r w:rsidRPr="00FE6AC6">
        <w:rPr>
          <w:color w:val="000000"/>
          <w:lang w:val="en-US"/>
        </w:rPr>
        <w:t>Ph</w:t>
      </w:r>
      <w:r w:rsidRPr="00FE6AC6">
        <w:rPr>
          <w:color w:val="000000"/>
          <w:lang w:val="ru-RU"/>
        </w:rPr>
        <w:t>+ОЛЛ</w:t>
      </w:r>
      <w:r w:rsidRPr="00FE6AC6">
        <w:rPr>
          <w:color w:val="000000"/>
          <w:lang w:val="bg-BG"/>
        </w:rPr>
        <w:t xml:space="preserve"> в четири неконтролирани клинични проучвания </w:t>
      </w:r>
      <w:r w:rsidRPr="00FE6AC6">
        <w:rPr>
          <w:color w:val="000000"/>
          <w:lang w:val="ru-RU"/>
        </w:rPr>
        <w:t>(</w:t>
      </w:r>
      <w:r w:rsidRPr="00FE6AC6">
        <w:rPr>
          <w:color w:val="000000"/>
        </w:rPr>
        <w:t>AAU</w:t>
      </w:r>
      <w:r w:rsidRPr="00FE6AC6">
        <w:rPr>
          <w:color w:val="000000"/>
          <w:lang w:val="ru-RU"/>
        </w:rPr>
        <w:t xml:space="preserve">02, </w:t>
      </w:r>
      <w:r w:rsidRPr="00FE6AC6">
        <w:rPr>
          <w:color w:val="000000"/>
        </w:rPr>
        <w:t>ADE</w:t>
      </w:r>
      <w:r w:rsidRPr="00FE6AC6">
        <w:rPr>
          <w:color w:val="000000"/>
          <w:lang w:val="ru-RU"/>
        </w:rPr>
        <w:t xml:space="preserve">04, </w:t>
      </w:r>
      <w:r w:rsidRPr="00FE6AC6">
        <w:rPr>
          <w:color w:val="000000"/>
        </w:rPr>
        <w:t>AJP</w:t>
      </w:r>
      <w:r w:rsidRPr="00FE6AC6">
        <w:rPr>
          <w:color w:val="000000"/>
          <w:lang w:val="ru-RU"/>
        </w:rPr>
        <w:t>01 </w:t>
      </w:r>
      <w:r w:rsidRPr="00FE6AC6">
        <w:rPr>
          <w:color w:val="000000"/>
          <w:lang w:val="bg-BG"/>
        </w:rPr>
        <w:t xml:space="preserve">и </w:t>
      </w:r>
      <w:r w:rsidRPr="00FE6AC6">
        <w:rPr>
          <w:color w:val="000000"/>
        </w:rPr>
        <w:t>AUS</w:t>
      </w:r>
      <w:r w:rsidRPr="00FE6AC6">
        <w:rPr>
          <w:color w:val="000000"/>
          <w:lang w:val="ru-RU"/>
        </w:rPr>
        <w:t>01), отговарят на описаните по-горе резултати. Иматиниб в комбинация с химиотерапевтична индукция (вж. Таблица</w:t>
      </w:r>
      <w:r w:rsidR="00673472" w:rsidRPr="00FE6AC6">
        <w:rPr>
          <w:color w:val="000000"/>
          <w:lang w:val="de-CH"/>
        </w:rPr>
        <w:t> </w:t>
      </w:r>
      <w:r w:rsidR="008C64DA" w:rsidRPr="00FE6AC6">
        <w:rPr>
          <w:color w:val="000000"/>
          <w:lang w:val="ru-RU"/>
        </w:rPr>
        <w:t>4</w:t>
      </w:r>
      <w:r w:rsidRPr="00FE6AC6">
        <w:rPr>
          <w:color w:val="000000"/>
          <w:lang w:val="ru-RU"/>
        </w:rPr>
        <w:t xml:space="preserve">) води до честота на пълен хематологичен отговор от 93% (147 от 158 оценявани пациенти) и честота на голям цитогенетичен отговор от 90% ( 19 от 21 оценявани пациенти). Честотата на пълен молекулярен отговор е 48% (49 от 102 оценявани пациенти). Преживяемостта без заболяване </w:t>
      </w:r>
      <w:r w:rsidR="00E51F3D" w:rsidRPr="00FE6AC6">
        <w:rPr>
          <w:color w:val="000000"/>
          <w:lang w:val="ru-RU"/>
        </w:rPr>
        <w:t xml:space="preserve">- </w:t>
      </w:r>
      <w:r w:rsidRPr="00FE6AC6">
        <w:rPr>
          <w:color w:val="000000"/>
          <w:lang w:val="ru-RU"/>
        </w:rPr>
        <w:t>(ПБЗ)</w:t>
      </w:r>
      <w:r w:rsidR="00E51F3D" w:rsidRPr="00FE6AC6">
        <w:rPr>
          <w:color w:val="000000"/>
          <w:lang w:val="ru-RU"/>
        </w:rPr>
        <w:t xml:space="preserve"> (</w:t>
      </w:r>
      <w:r w:rsidR="00E51F3D" w:rsidRPr="00FE6AC6">
        <w:rPr>
          <w:color w:val="000000"/>
          <w:lang w:val="en-US"/>
        </w:rPr>
        <w:t>DFS</w:t>
      </w:r>
      <w:r w:rsidR="00E51F3D" w:rsidRPr="00FE6AC6">
        <w:rPr>
          <w:color w:val="000000"/>
          <w:lang w:val="ru-RU"/>
        </w:rPr>
        <w:t>)</w:t>
      </w:r>
      <w:r w:rsidRPr="00FE6AC6">
        <w:rPr>
          <w:color w:val="000000"/>
          <w:lang w:val="ru-RU"/>
        </w:rPr>
        <w:t xml:space="preserve"> и общата преживяемост </w:t>
      </w:r>
      <w:r w:rsidR="00E51F3D" w:rsidRPr="00FE6AC6">
        <w:rPr>
          <w:color w:val="000000"/>
          <w:lang w:val="ru-RU"/>
        </w:rPr>
        <w:t xml:space="preserve">- </w:t>
      </w:r>
      <w:r w:rsidRPr="00FE6AC6">
        <w:rPr>
          <w:color w:val="000000"/>
          <w:lang w:val="ru-RU"/>
        </w:rPr>
        <w:t xml:space="preserve">(ОП) </w:t>
      </w:r>
      <w:r w:rsidR="00E51F3D" w:rsidRPr="00FE6AC6">
        <w:rPr>
          <w:color w:val="000000"/>
          <w:lang w:val="ru-RU"/>
        </w:rPr>
        <w:t>(</w:t>
      </w:r>
      <w:r w:rsidR="00E51F3D" w:rsidRPr="00FE6AC6">
        <w:rPr>
          <w:color w:val="000000"/>
          <w:lang w:val="en-US"/>
        </w:rPr>
        <w:t>OS</w:t>
      </w:r>
      <w:r w:rsidR="00E51F3D" w:rsidRPr="00FE6AC6">
        <w:rPr>
          <w:color w:val="000000"/>
          <w:lang w:val="ru-RU"/>
        </w:rPr>
        <w:t xml:space="preserve">) </w:t>
      </w:r>
      <w:r w:rsidRPr="00FE6AC6">
        <w:rPr>
          <w:color w:val="000000"/>
          <w:lang w:val="ru-RU"/>
        </w:rPr>
        <w:t>трайно надвишават 1 година и са по-добри</w:t>
      </w:r>
      <w:r w:rsidR="00E51F3D" w:rsidRPr="00FE6AC6">
        <w:rPr>
          <w:color w:val="000000"/>
          <w:lang w:val="ru-RU"/>
        </w:rPr>
        <w:t>, в сравнение с</w:t>
      </w:r>
      <w:r w:rsidRPr="00FE6AC6">
        <w:rPr>
          <w:color w:val="000000"/>
          <w:lang w:val="ru-RU"/>
        </w:rPr>
        <w:t xml:space="preserve"> хистологичния контрол (</w:t>
      </w:r>
      <w:r w:rsidR="00E51F3D" w:rsidRPr="00FE6AC6">
        <w:rPr>
          <w:color w:val="000000"/>
          <w:lang w:val="en-US"/>
        </w:rPr>
        <w:t>DFS</w:t>
      </w:r>
      <w:r w:rsidRPr="00FE6AC6">
        <w:rPr>
          <w:color w:val="000000"/>
          <w:lang w:val="ru-RU"/>
        </w:rPr>
        <w:t xml:space="preserve"> </w:t>
      </w:r>
      <w:r w:rsidRPr="00FE6AC6">
        <w:rPr>
          <w:color w:val="000000"/>
        </w:rPr>
        <w:t>p</w:t>
      </w:r>
      <w:r w:rsidRPr="00FE6AC6">
        <w:rPr>
          <w:color w:val="000000"/>
          <w:lang w:val="ru-RU"/>
        </w:rPr>
        <w:t xml:space="preserve">&lt;0,001; </w:t>
      </w:r>
      <w:r w:rsidR="00E51F3D" w:rsidRPr="00FE6AC6">
        <w:rPr>
          <w:color w:val="000000"/>
        </w:rPr>
        <w:t>OS</w:t>
      </w:r>
      <w:r w:rsidRPr="00FE6AC6">
        <w:rPr>
          <w:color w:val="000000"/>
          <w:lang w:val="bg-BG"/>
        </w:rPr>
        <w:t> </w:t>
      </w:r>
      <w:r w:rsidRPr="00FE6AC6">
        <w:rPr>
          <w:color w:val="000000"/>
        </w:rPr>
        <w:t>p</w:t>
      </w:r>
      <w:r w:rsidRPr="00FE6AC6">
        <w:rPr>
          <w:color w:val="000000"/>
          <w:lang w:val="ru-RU"/>
        </w:rPr>
        <w:t>&lt;0,0001) в две проучвания (</w:t>
      </w:r>
      <w:r w:rsidRPr="00FE6AC6">
        <w:rPr>
          <w:color w:val="000000"/>
        </w:rPr>
        <w:t>AJP</w:t>
      </w:r>
      <w:r w:rsidRPr="00FE6AC6">
        <w:rPr>
          <w:color w:val="000000"/>
          <w:lang w:val="ru-RU"/>
        </w:rPr>
        <w:t>01 </w:t>
      </w:r>
      <w:r w:rsidRPr="00FE6AC6">
        <w:rPr>
          <w:color w:val="000000"/>
          <w:lang w:val="bg-BG"/>
        </w:rPr>
        <w:t xml:space="preserve">и </w:t>
      </w:r>
      <w:r w:rsidRPr="00FE6AC6">
        <w:rPr>
          <w:color w:val="000000"/>
        </w:rPr>
        <w:t>AUS</w:t>
      </w:r>
      <w:r w:rsidRPr="00FE6AC6">
        <w:rPr>
          <w:color w:val="000000"/>
          <w:lang w:val="ru-RU"/>
        </w:rPr>
        <w:t>01).</w:t>
      </w:r>
    </w:p>
    <w:p w14:paraId="3E54FE3B" w14:textId="77777777" w:rsidR="001636FA" w:rsidRPr="00FE6AC6" w:rsidRDefault="001636FA" w:rsidP="0063575E">
      <w:pPr>
        <w:widowControl w:val="0"/>
        <w:spacing w:line="240" w:lineRule="auto"/>
        <w:rPr>
          <w:color w:val="000000"/>
          <w:lang w:val="ru-RU"/>
        </w:rPr>
      </w:pPr>
    </w:p>
    <w:p w14:paraId="3E54FE3C" w14:textId="77777777" w:rsidR="001636FA" w:rsidRPr="00FE6AC6" w:rsidRDefault="001636FA" w:rsidP="0063575E">
      <w:pPr>
        <w:pStyle w:val="EndnoteText"/>
        <w:keepNext/>
        <w:keepLines/>
        <w:widowControl w:val="0"/>
        <w:tabs>
          <w:tab w:val="clear" w:pos="567"/>
          <w:tab w:val="left" w:pos="1134"/>
        </w:tabs>
        <w:rPr>
          <w:b/>
          <w:color w:val="000000"/>
          <w:lang w:val="ru-RU"/>
        </w:rPr>
      </w:pPr>
      <w:r w:rsidRPr="00FE6AC6">
        <w:rPr>
          <w:b/>
          <w:color w:val="000000"/>
          <w:lang w:val="bg-BG"/>
        </w:rPr>
        <w:t>Таблица</w:t>
      </w:r>
      <w:r w:rsidRPr="00FE6AC6">
        <w:rPr>
          <w:b/>
          <w:color w:val="000000"/>
        </w:rPr>
        <w:t> </w:t>
      </w:r>
      <w:r w:rsidR="008C64DA" w:rsidRPr="00FE6AC6">
        <w:rPr>
          <w:b/>
          <w:color w:val="000000"/>
          <w:lang w:val="ru-RU"/>
        </w:rPr>
        <w:t>4</w:t>
      </w:r>
      <w:r w:rsidRPr="00FE6AC6">
        <w:rPr>
          <w:b/>
          <w:color w:val="000000"/>
          <w:lang w:val="bg-BG"/>
        </w:rPr>
        <w:tab/>
        <w:t>Химиотерапевтична схема използвана в комбинация с иматиниб</w:t>
      </w:r>
    </w:p>
    <w:p w14:paraId="3E54FE3D" w14:textId="77777777" w:rsidR="001636FA" w:rsidRPr="00FE6AC6" w:rsidRDefault="001636FA" w:rsidP="0063575E">
      <w:pPr>
        <w:pStyle w:val="EndnoteText"/>
        <w:keepNext/>
        <w:keepLines/>
        <w:widowControl w:val="0"/>
        <w:rPr>
          <w:color w:val="000000"/>
          <w:lang w:val="ru-RU"/>
        </w:rPr>
      </w:pPr>
    </w:p>
    <w:tbl>
      <w:tblPr>
        <w:tblW w:w="0" w:type="auto"/>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1636FA" w:rsidRPr="00FE6AC6" w14:paraId="3E54FE40" w14:textId="77777777" w:rsidTr="00F40727">
        <w:trPr>
          <w:cantSplit/>
        </w:trPr>
        <w:tc>
          <w:tcPr>
            <w:tcW w:w="2148" w:type="dxa"/>
            <w:tcBorders>
              <w:top w:val="single" w:sz="4" w:space="0" w:color="auto"/>
              <w:bottom w:val="single" w:sz="4" w:space="0" w:color="auto"/>
            </w:tcBorders>
          </w:tcPr>
          <w:p w14:paraId="3E54FE3E"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b/>
                <w:color w:val="000000"/>
                <w:sz w:val="22"/>
                <w:lang w:val="bg-BG"/>
              </w:rPr>
              <w:t>Проучване</w:t>
            </w:r>
            <w:r w:rsidRPr="00FE6AC6">
              <w:rPr>
                <w:rFonts w:ascii="Times New Roman" w:hAnsi="Times New Roman"/>
                <w:b/>
                <w:color w:val="000000"/>
                <w:sz w:val="22"/>
              </w:rPr>
              <w:t xml:space="preserve"> ADE10</w:t>
            </w:r>
          </w:p>
        </w:tc>
        <w:tc>
          <w:tcPr>
            <w:tcW w:w="6732" w:type="dxa"/>
            <w:gridSpan w:val="4"/>
            <w:tcBorders>
              <w:top w:val="single" w:sz="4" w:space="0" w:color="auto"/>
              <w:bottom w:val="single" w:sz="4" w:space="0" w:color="auto"/>
            </w:tcBorders>
          </w:tcPr>
          <w:p w14:paraId="3E54FE3F" w14:textId="77777777" w:rsidR="001636FA" w:rsidRPr="00FE6AC6" w:rsidRDefault="001636FA" w:rsidP="008143B1">
            <w:pPr>
              <w:pStyle w:val="Table"/>
              <w:keepLines w:val="0"/>
              <w:widowControl w:val="0"/>
              <w:spacing w:before="0" w:after="0"/>
              <w:rPr>
                <w:rFonts w:ascii="Times New Roman" w:hAnsi="Times New Roman"/>
                <w:color w:val="000000"/>
                <w:sz w:val="22"/>
              </w:rPr>
            </w:pPr>
          </w:p>
        </w:tc>
      </w:tr>
      <w:tr w:rsidR="001636FA" w:rsidRPr="00FE6AC6" w14:paraId="3E54FE45" w14:textId="77777777" w:rsidTr="00F40727">
        <w:trPr>
          <w:cantSplit/>
        </w:trPr>
        <w:tc>
          <w:tcPr>
            <w:tcW w:w="2148" w:type="dxa"/>
            <w:tcBorders>
              <w:top w:val="single" w:sz="4" w:space="0" w:color="auto"/>
              <w:bottom w:val="single" w:sz="4" w:space="0" w:color="auto"/>
            </w:tcBorders>
          </w:tcPr>
          <w:p w14:paraId="3E54FE41"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Префаза</w:t>
            </w:r>
          </w:p>
        </w:tc>
        <w:tc>
          <w:tcPr>
            <w:tcW w:w="6732" w:type="dxa"/>
            <w:gridSpan w:val="4"/>
            <w:tcBorders>
              <w:top w:val="single" w:sz="4" w:space="0" w:color="auto"/>
              <w:bottom w:val="single" w:sz="4" w:space="0" w:color="auto"/>
            </w:tcBorders>
          </w:tcPr>
          <w:p w14:paraId="3E54FE42" w14:textId="77777777" w:rsidR="00070147"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4FE43" w14:textId="77777777" w:rsidR="00070147"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CP 200 mg/m</w:t>
            </w:r>
            <w:r w:rsidRPr="00FE6AC6">
              <w:rPr>
                <w:rFonts w:ascii="Times New Roman" w:hAnsi="Times New Roman"/>
                <w:color w:val="000000"/>
                <w:sz w:val="22"/>
                <w:vertAlign w:val="superscript"/>
              </w:rPr>
              <w:t>2 </w:t>
            </w:r>
            <w:r w:rsidRPr="00FE6AC6">
              <w:rPr>
                <w:rFonts w:ascii="Times New Roman" w:hAnsi="Times New Roman"/>
                <w:color w:val="000000"/>
                <w:sz w:val="22"/>
              </w:rPr>
              <w:t xml:space="preserve">i.v., </w:t>
            </w:r>
            <w:r w:rsidRPr="00FE6AC6">
              <w:rPr>
                <w:rFonts w:ascii="Times New Roman" w:hAnsi="Times New Roman"/>
                <w:color w:val="000000"/>
                <w:sz w:val="22"/>
                <w:lang w:val="bg-BG"/>
              </w:rPr>
              <w:t>дни</w:t>
            </w:r>
            <w:r w:rsidRPr="00FE6AC6">
              <w:rPr>
                <w:rFonts w:ascii="Times New Roman" w:hAnsi="Times New Roman"/>
                <w:color w:val="000000"/>
                <w:sz w:val="22"/>
              </w:rPr>
              <w:t> 3, 4, 5;</w:t>
            </w:r>
          </w:p>
          <w:p w14:paraId="3E54FE44"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 xml:space="preserve">MTX 12 mg </w:t>
            </w:r>
            <w:r w:rsidRPr="00FE6AC6">
              <w:rPr>
                <w:rFonts w:ascii="Times New Roman" w:hAnsi="Times New Roman"/>
                <w:color w:val="000000"/>
                <w:sz w:val="22"/>
                <w:lang w:val="bg-BG"/>
              </w:rPr>
              <w:t>интратекално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ден</w:t>
            </w:r>
            <w:r w:rsidRPr="00FE6AC6">
              <w:rPr>
                <w:rFonts w:ascii="Times New Roman" w:hAnsi="Times New Roman"/>
                <w:color w:val="000000"/>
                <w:sz w:val="22"/>
              </w:rPr>
              <w:t> 1</w:t>
            </w:r>
          </w:p>
        </w:tc>
      </w:tr>
      <w:tr w:rsidR="001636FA" w:rsidRPr="00FE6AC6" w14:paraId="3E54FE4C" w14:textId="77777777" w:rsidTr="00F40727">
        <w:trPr>
          <w:cantSplit/>
        </w:trPr>
        <w:tc>
          <w:tcPr>
            <w:tcW w:w="2148" w:type="dxa"/>
            <w:tcBorders>
              <w:top w:val="single" w:sz="4" w:space="0" w:color="auto"/>
              <w:bottom w:val="single" w:sz="4" w:space="0" w:color="auto"/>
            </w:tcBorders>
          </w:tcPr>
          <w:p w14:paraId="3E54FE46"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Индукция на ремисията</w:t>
            </w:r>
          </w:p>
        </w:tc>
        <w:tc>
          <w:tcPr>
            <w:tcW w:w="6732" w:type="dxa"/>
            <w:gridSpan w:val="4"/>
            <w:tcBorders>
              <w:top w:val="single" w:sz="4" w:space="0" w:color="auto"/>
              <w:bottom w:val="single" w:sz="4" w:space="0" w:color="auto"/>
            </w:tcBorders>
          </w:tcPr>
          <w:p w14:paraId="3E54FE47" w14:textId="77777777" w:rsidR="00070147"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6-7, 13-16;</w:t>
            </w:r>
          </w:p>
          <w:p w14:paraId="3E54FE48" w14:textId="77777777" w:rsidR="00070147"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 xml:space="preserve">VCR 1 mg i.v., </w:t>
            </w:r>
            <w:r w:rsidRPr="00FE6AC6">
              <w:rPr>
                <w:rFonts w:ascii="Times New Roman" w:hAnsi="Times New Roman"/>
                <w:color w:val="000000"/>
                <w:sz w:val="22"/>
                <w:lang w:val="bg-BG"/>
              </w:rPr>
              <w:t>дни</w:t>
            </w:r>
            <w:r w:rsidRPr="00FE6AC6">
              <w:rPr>
                <w:rFonts w:ascii="Times New Roman" w:hAnsi="Times New Roman"/>
                <w:color w:val="000000"/>
                <w:sz w:val="22"/>
              </w:rPr>
              <w:t> 7, 14;</w:t>
            </w:r>
          </w:p>
          <w:p w14:paraId="3E54FE49" w14:textId="77777777" w:rsidR="00070147"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IDA 8 mg/m</w:t>
            </w:r>
            <w:r w:rsidRPr="00FE6AC6">
              <w:rPr>
                <w:rFonts w:ascii="Times New Roman" w:hAnsi="Times New Roman"/>
                <w:color w:val="000000"/>
                <w:sz w:val="22"/>
                <w:vertAlign w:val="superscript"/>
              </w:rPr>
              <w:t>2 </w:t>
            </w:r>
            <w:r w:rsidRPr="00FE6AC6">
              <w:rPr>
                <w:rFonts w:ascii="Times New Roman" w:hAnsi="Times New Roman"/>
                <w:color w:val="000000"/>
                <w:sz w:val="22"/>
              </w:rPr>
              <w:t>i.v. (0</w:t>
            </w:r>
            <w:r w:rsidRPr="00FE6AC6">
              <w:rPr>
                <w:rFonts w:ascii="Times New Roman" w:hAnsi="Times New Roman"/>
                <w:color w:val="000000"/>
                <w:sz w:val="22"/>
                <w:lang w:val="bg-BG"/>
              </w:rPr>
              <w:t>,</w:t>
            </w:r>
            <w:r w:rsidRPr="00FE6AC6">
              <w:rPr>
                <w:rFonts w:ascii="Times New Roman" w:hAnsi="Times New Roman"/>
                <w:color w:val="000000"/>
                <w:sz w:val="22"/>
              </w:rPr>
              <w:t>5 </w:t>
            </w:r>
            <w:r w:rsidRPr="00FE6AC6">
              <w:rPr>
                <w:rFonts w:ascii="Times New Roman" w:hAnsi="Times New Roman"/>
                <w:color w:val="000000"/>
                <w:sz w:val="22"/>
                <w:lang w:val="bg-BG"/>
              </w:rPr>
              <w:t>часа</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7, 8, 14, 15;</w:t>
            </w:r>
          </w:p>
          <w:p w14:paraId="3E54FE4A" w14:textId="77777777" w:rsidR="00070147"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CP 500 mg/m</w:t>
            </w:r>
            <w:r w:rsidRPr="00FE6AC6">
              <w:rPr>
                <w:rFonts w:ascii="Times New Roman" w:hAnsi="Times New Roman"/>
                <w:color w:val="000000"/>
                <w:sz w:val="22"/>
                <w:vertAlign w:val="superscript"/>
              </w:rPr>
              <w:t>2 </w:t>
            </w:r>
            <w:r w:rsidRPr="00FE6AC6">
              <w:rPr>
                <w:rFonts w:ascii="Times New Roman" w:hAnsi="Times New Roman"/>
                <w:color w:val="000000"/>
                <w:sz w:val="22"/>
              </w:rPr>
              <w:t>i.v.(1 </w:t>
            </w:r>
            <w:r w:rsidRPr="00FE6AC6">
              <w:rPr>
                <w:rFonts w:ascii="Times New Roman" w:hAnsi="Times New Roman"/>
                <w:color w:val="000000"/>
                <w:sz w:val="22"/>
                <w:lang w:val="bg-BG"/>
              </w:rPr>
              <w:t>час)</w:t>
            </w:r>
            <w:r w:rsidRPr="00FE6AC6">
              <w:rPr>
                <w:rFonts w:ascii="Times New Roman" w:hAnsi="Times New Roman"/>
                <w:color w:val="000000"/>
                <w:sz w:val="22"/>
              </w:rPr>
              <w:t xml:space="preserve"> </w:t>
            </w:r>
            <w:r w:rsidRPr="00FE6AC6">
              <w:rPr>
                <w:rFonts w:ascii="Times New Roman" w:hAnsi="Times New Roman"/>
                <w:color w:val="000000"/>
                <w:sz w:val="22"/>
                <w:lang w:val="bg-BG"/>
              </w:rPr>
              <w:t>ден</w:t>
            </w:r>
            <w:r w:rsidRPr="00FE6AC6">
              <w:rPr>
                <w:rFonts w:ascii="Times New Roman" w:hAnsi="Times New Roman"/>
                <w:color w:val="000000"/>
                <w:sz w:val="22"/>
              </w:rPr>
              <w:t> 1;</w:t>
            </w:r>
          </w:p>
          <w:p w14:paraId="3E54FE4B"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Ara-C 60 mg/m</w:t>
            </w:r>
            <w:r w:rsidRPr="00FE6AC6">
              <w:rPr>
                <w:rFonts w:ascii="Times New Roman" w:hAnsi="Times New Roman"/>
                <w:color w:val="000000"/>
                <w:sz w:val="22"/>
                <w:vertAlign w:val="superscript"/>
              </w:rPr>
              <w:t>2 </w:t>
            </w:r>
            <w:r w:rsidRPr="00FE6AC6">
              <w:rPr>
                <w:rFonts w:ascii="Times New Roman" w:hAnsi="Times New Roman"/>
                <w:color w:val="000000"/>
                <w:sz w:val="22"/>
              </w:rPr>
              <w:t xml:space="preserve">i.v., </w:t>
            </w:r>
            <w:r w:rsidRPr="00FE6AC6">
              <w:rPr>
                <w:rFonts w:ascii="Times New Roman" w:hAnsi="Times New Roman"/>
                <w:color w:val="000000"/>
                <w:sz w:val="22"/>
                <w:lang w:val="bg-BG"/>
              </w:rPr>
              <w:t>дни</w:t>
            </w:r>
            <w:r w:rsidRPr="00FE6AC6">
              <w:rPr>
                <w:rFonts w:ascii="Times New Roman" w:hAnsi="Times New Roman"/>
                <w:color w:val="000000"/>
                <w:sz w:val="22"/>
              </w:rPr>
              <w:t> 22-25, 29-32</w:t>
            </w:r>
          </w:p>
        </w:tc>
      </w:tr>
      <w:tr w:rsidR="001636FA" w:rsidRPr="004015AA" w14:paraId="3E54FE50" w14:textId="77777777" w:rsidTr="00F40727">
        <w:trPr>
          <w:cantSplit/>
        </w:trPr>
        <w:tc>
          <w:tcPr>
            <w:tcW w:w="2148" w:type="dxa"/>
            <w:tcBorders>
              <w:top w:val="single" w:sz="4" w:space="0" w:color="auto"/>
              <w:bottom w:val="single" w:sz="4" w:space="0" w:color="auto"/>
            </w:tcBorders>
          </w:tcPr>
          <w:p w14:paraId="3E54FE4D" w14:textId="77777777" w:rsidR="001636FA"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Консолидационна терапия</w:t>
            </w:r>
            <w:r w:rsidRPr="00FE6AC6">
              <w:rPr>
                <w:rFonts w:ascii="Times New Roman" w:hAnsi="Times New Roman"/>
                <w:color w:val="000000"/>
                <w:sz w:val="22"/>
                <w:lang w:val="ru-RU"/>
              </w:rPr>
              <w:t xml:space="preserve"> </w:t>
            </w:r>
            <w:r w:rsidRPr="00FE6AC6">
              <w:rPr>
                <w:rFonts w:ascii="Times New Roman" w:hAnsi="Times New Roman"/>
                <w:color w:val="000000"/>
                <w:sz w:val="22"/>
              </w:rPr>
              <w:t>I</w:t>
            </w:r>
            <w:r w:rsidRPr="00FE6AC6">
              <w:rPr>
                <w:rFonts w:ascii="Times New Roman" w:hAnsi="Times New Roman"/>
                <w:color w:val="000000"/>
                <w:sz w:val="22"/>
                <w:lang w:val="ru-RU"/>
              </w:rPr>
              <w:t xml:space="preserve">, </w:t>
            </w:r>
            <w:r w:rsidRPr="00FE6AC6">
              <w:rPr>
                <w:rFonts w:ascii="Times New Roman" w:hAnsi="Times New Roman"/>
                <w:color w:val="000000"/>
                <w:sz w:val="22"/>
              </w:rPr>
              <w:t>III</w:t>
            </w:r>
            <w:r w:rsidRPr="00FE6AC6">
              <w:rPr>
                <w:rFonts w:ascii="Times New Roman" w:hAnsi="Times New Roman"/>
                <w:color w:val="000000"/>
                <w:sz w:val="22"/>
                <w:lang w:val="ru-RU"/>
              </w:rPr>
              <w:t xml:space="preserve">, </w:t>
            </w:r>
            <w:r w:rsidRPr="00FE6AC6">
              <w:rPr>
                <w:rFonts w:ascii="Times New Roman" w:hAnsi="Times New Roman"/>
                <w:color w:val="000000"/>
                <w:sz w:val="22"/>
              </w:rPr>
              <w:t>V</w:t>
            </w:r>
          </w:p>
        </w:tc>
        <w:tc>
          <w:tcPr>
            <w:tcW w:w="6732" w:type="dxa"/>
            <w:gridSpan w:val="4"/>
            <w:tcBorders>
              <w:top w:val="single" w:sz="4" w:space="0" w:color="auto"/>
              <w:bottom w:val="single" w:sz="4" w:space="0" w:color="auto"/>
            </w:tcBorders>
          </w:tcPr>
          <w:p w14:paraId="3E54FE4E" w14:textId="77777777" w:rsidR="00070147"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MTX</w:t>
            </w:r>
            <w:r w:rsidRPr="00FE6AC6">
              <w:rPr>
                <w:rFonts w:ascii="Times New Roman" w:hAnsi="Times New Roman"/>
                <w:color w:val="000000"/>
                <w:sz w:val="22"/>
                <w:lang w:val="ru-RU"/>
              </w:rPr>
              <w:t> 500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(24 </w:t>
            </w:r>
            <w:r w:rsidRPr="00FE6AC6">
              <w:rPr>
                <w:rFonts w:ascii="Times New Roman" w:hAnsi="Times New Roman"/>
                <w:color w:val="000000"/>
                <w:sz w:val="22"/>
                <w:lang w:val="bg-BG"/>
              </w:rPr>
              <w:t>часа</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w:t>
            </w:r>
            <w:r w:rsidRPr="00FE6AC6">
              <w:rPr>
                <w:rFonts w:ascii="Times New Roman" w:hAnsi="Times New Roman"/>
                <w:color w:val="000000"/>
                <w:sz w:val="22"/>
                <w:lang w:val="ru-RU"/>
              </w:rPr>
              <w:t>1, 15;</w:t>
            </w:r>
          </w:p>
          <w:p w14:paraId="3E54FE4F" w14:textId="77777777" w:rsidR="001636FA"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ru-RU"/>
              </w:rPr>
              <w:t>6-</w:t>
            </w:r>
            <w:r w:rsidRPr="00FE6AC6">
              <w:rPr>
                <w:rFonts w:ascii="Times New Roman" w:hAnsi="Times New Roman"/>
                <w:color w:val="000000"/>
                <w:sz w:val="22"/>
              </w:rPr>
              <w:t>MP</w:t>
            </w:r>
            <w:r w:rsidRPr="00FE6AC6">
              <w:rPr>
                <w:rFonts w:ascii="Times New Roman" w:hAnsi="Times New Roman"/>
                <w:color w:val="000000"/>
                <w:sz w:val="22"/>
                <w:lang w:val="ru-RU"/>
              </w:rPr>
              <w:t> 25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lang w:val="bg-BG"/>
              </w:rPr>
              <w:t>перорално</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w:t>
            </w:r>
            <w:r w:rsidRPr="00FE6AC6">
              <w:rPr>
                <w:rFonts w:ascii="Times New Roman" w:hAnsi="Times New Roman"/>
                <w:color w:val="000000"/>
                <w:sz w:val="22"/>
                <w:lang w:val="ru-RU"/>
              </w:rPr>
              <w:t>1-20</w:t>
            </w:r>
          </w:p>
        </w:tc>
      </w:tr>
      <w:tr w:rsidR="001636FA" w:rsidRPr="00FE6AC6" w14:paraId="3E54FE54" w14:textId="77777777" w:rsidTr="00F40727">
        <w:trPr>
          <w:cantSplit/>
        </w:trPr>
        <w:tc>
          <w:tcPr>
            <w:tcW w:w="2148" w:type="dxa"/>
            <w:tcBorders>
              <w:top w:val="single" w:sz="4" w:space="0" w:color="auto"/>
              <w:bottom w:val="single" w:sz="4" w:space="0" w:color="auto"/>
            </w:tcBorders>
          </w:tcPr>
          <w:p w14:paraId="3E54FE51" w14:textId="77777777" w:rsidR="001636FA" w:rsidRPr="00FE6AC6" w:rsidRDefault="001636FA" w:rsidP="008143B1">
            <w:pPr>
              <w:pStyle w:val="Table"/>
              <w:keepNext w:val="0"/>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Консолидационна терапия</w:t>
            </w:r>
            <w:r w:rsidRPr="00FE6AC6">
              <w:rPr>
                <w:rFonts w:ascii="Times New Roman" w:hAnsi="Times New Roman"/>
                <w:color w:val="000000"/>
                <w:sz w:val="22"/>
              </w:rPr>
              <w:t xml:space="preserve"> II, IV</w:t>
            </w:r>
          </w:p>
        </w:tc>
        <w:tc>
          <w:tcPr>
            <w:tcW w:w="6732" w:type="dxa"/>
            <w:gridSpan w:val="4"/>
            <w:tcBorders>
              <w:top w:val="single" w:sz="4" w:space="0" w:color="auto"/>
              <w:bottom w:val="single" w:sz="4" w:space="0" w:color="auto"/>
            </w:tcBorders>
          </w:tcPr>
          <w:p w14:paraId="3E54FE52" w14:textId="77777777" w:rsidR="00070147" w:rsidRPr="00FE6AC6" w:rsidRDefault="001636FA" w:rsidP="008143B1">
            <w:pPr>
              <w:pStyle w:val="Table"/>
              <w:keepNext w:val="0"/>
              <w:keepLines w:val="0"/>
              <w:widowControl w:val="0"/>
              <w:spacing w:before="0" w:after="0"/>
              <w:rPr>
                <w:rFonts w:ascii="Times New Roman" w:hAnsi="Times New Roman"/>
                <w:color w:val="000000"/>
                <w:sz w:val="22"/>
              </w:rPr>
            </w:pPr>
            <w:r w:rsidRPr="00FE6AC6">
              <w:rPr>
                <w:rFonts w:ascii="Times New Roman" w:hAnsi="Times New Roman"/>
                <w:color w:val="000000"/>
                <w:sz w:val="22"/>
              </w:rPr>
              <w:t>Ara-C 75 mg/m</w:t>
            </w:r>
            <w:r w:rsidRPr="00FE6AC6">
              <w:rPr>
                <w:rFonts w:ascii="Times New Roman" w:hAnsi="Times New Roman"/>
                <w:color w:val="000000"/>
                <w:sz w:val="22"/>
                <w:vertAlign w:val="superscript"/>
              </w:rPr>
              <w:t>2 </w:t>
            </w:r>
            <w:r w:rsidRPr="00FE6AC6">
              <w:rPr>
                <w:rFonts w:ascii="Times New Roman" w:hAnsi="Times New Roman"/>
                <w:color w:val="000000"/>
                <w:sz w:val="22"/>
              </w:rPr>
              <w:t>i.v. (1 </w:t>
            </w:r>
            <w:r w:rsidRPr="00FE6AC6">
              <w:rPr>
                <w:rFonts w:ascii="Times New Roman" w:hAnsi="Times New Roman"/>
                <w:color w:val="000000"/>
                <w:sz w:val="22"/>
                <w:lang w:val="bg-BG"/>
              </w:rPr>
              <w:t>час)</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4FE53" w14:textId="77777777" w:rsidR="001636FA" w:rsidRPr="00FE6AC6" w:rsidRDefault="001636FA" w:rsidP="008143B1">
            <w:pPr>
              <w:pStyle w:val="Table"/>
              <w:keepNext w:val="0"/>
              <w:keepLines w:val="0"/>
              <w:widowControl w:val="0"/>
              <w:spacing w:before="0" w:after="0"/>
              <w:rPr>
                <w:rFonts w:ascii="Times New Roman" w:hAnsi="Times New Roman"/>
                <w:color w:val="000000"/>
                <w:sz w:val="22"/>
              </w:rPr>
            </w:pPr>
            <w:r w:rsidRPr="00FE6AC6">
              <w:rPr>
                <w:rFonts w:ascii="Times New Roman" w:hAnsi="Times New Roman"/>
                <w:color w:val="000000"/>
                <w:sz w:val="22"/>
              </w:rPr>
              <w:t>VM26 60 mg/m</w:t>
            </w:r>
            <w:r w:rsidRPr="00FE6AC6">
              <w:rPr>
                <w:rFonts w:ascii="Times New Roman" w:hAnsi="Times New Roman"/>
                <w:color w:val="000000"/>
                <w:sz w:val="22"/>
                <w:vertAlign w:val="superscript"/>
              </w:rPr>
              <w:t>2 </w:t>
            </w:r>
            <w:r w:rsidRPr="00FE6AC6">
              <w:rPr>
                <w:rFonts w:ascii="Times New Roman" w:hAnsi="Times New Roman"/>
                <w:color w:val="000000"/>
                <w:sz w:val="22"/>
              </w:rPr>
              <w:t>i.v. (1 </w:t>
            </w:r>
            <w:r w:rsidRPr="00FE6AC6">
              <w:rPr>
                <w:rFonts w:ascii="Times New Roman" w:hAnsi="Times New Roman"/>
                <w:color w:val="000000"/>
                <w:sz w:val="22"/>
                <w:lang w:val="bg-BG"/>
              </w:rPr>
              <w:t>час</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tc>
      </w:tr>
      <w:tr w:rsidR="001636FA" w:rsidRPr="00FE6AC6" w14:paraId="3E54FE5A" w14:textId="77777777" w:rsidTr="00F40727">
        <w:trPr>
          <w:cantSplit/>
        </w:trPr>
        <w:tc>
          <w:tcPr>
            <w:tcW w:w="2148" w:type="dxa"/>
            <w:tcBorders>
              <w:top w:val="single" w:sz="4" w:space="0" w:color="auto"/>
              <w:bottom w:val="single" w:sz="4" w:space="0" w:color="auto"/>
            </w:tcBorders>
          </w:tcPr>
          <w:p w14:paraId="3E54FE55" w14:textId="77777777" w:rsidR="001636FA" w:rsidRPr="00FE6AC6" w:rsidRDefault="001636FA" w:rsidP="008143B1">
            <w:pPr>
              <w:pStyle w:val="Table"/>
              <w:keepLines w:val="0"/>
              <w:widowControl w:val="0"/>
              <w:spacing w:before="0" w:after="0"/>
              <w:rPr>
                <w:rFonts w:ascii="Times New Roman" w:hAnsi="Times New Roman"/>
                <w:b/>
                <w:color w:val="000000"/>
                <w:sz w:val="22"/>
              </w:rPr>
            </w:pPr>
            <w:r w:rsidRPr="00FE6AC6">
              <w:rPr>
                <w:rFonts w:ascii="Times New Roman" w:hAnsi="Times New Roman"/>
                <w:b/>
                <w:color w:val="000000"/>
                <w:sz w:val="22"/>
                <w:lang w:val="bg-BG"/>
              </w:rPr>
              <w:t>Проучване</w:t>
            </w:r>
            <w:r w:rsidRPr="00FE6AC6">
              <w:rPr>
                <w:rFonts w:ascii="Times New Roman" w:hAnsi="Times New Roman"/>
                <w:b/>
                <w:color w:val="000000"/>
                <w:sz w:val="22"/>
              </w:rPr>
              <w:t xml:space="preserve"> AAU02</w:t>
            </w:r>
          </w:p>
        </w:tc>
        <w:tc>
          <w:tcPr>
            <w:tcW w:w="2652" w:type="dxa"/>
            <w:tcBorders>
              <w:top w:val="single" w:sz="4" w:space="0" w:color="auto"/>
              <w:bottom w:val="single" w:sz="4" w:space="0" w:color="auto"/>
            </w:tcBorders>
          </w:tcPr>
          <w:p w14:paraId="3E54FE56" w14:textId="77777777" w:rsidR="001636FA" w:rsidRPr="00FE6AC6" w:rsidRDefault="001636FA" w:rsidP="008143B1">
            <w:pPr>
              <w:pStyle w:val="Table"/>
              <w:keepLines w:val="0"/>
              <w:widowControl w:val="0"/>
              <w:spacing w:before="0" w:after="0"/>
              <w:rPr>
                <w:rFonts w:ascii="Times New Roman" w:hAnsi="Times New Roman"/>
                <w:color w:val="000000"/>
                <w:sz w:val="22"/>
              </w:rPr>
            </w:pPr>
          </w:p>
        </w:tc>
        <w:tc>
          <w:tcPr>
            <w:tcW w:w="1080" w:type="dxa"/>
            <w:tcBorders>
              <w:top w:val="single" w:sz="4" w:space="0" w:color="auto"/>
              <w:bottom w:val="single" w:sz="4" w:space="0" w:color="auto"/>
            </w:tcBorders>
          </w:tcPr>
          <w:p w14:paraId="3E54FE57" w14:textId="77777777" w:rsidR="001636FA" w:rsidRPr="00FE6AC6" w:rsidRDefault="001636FA" w:rsidP="008143B1">
            <w:pPr>
              <w:pStyle w:val="Table"/>
              <w:keepLines w:val="0"/>
              <w:widowControl w:val="0"/>
              <w:spacing w:before="0" w:after="0"/>
              <w:rPr>
                <w:rFonts w:ascii="Times New Roman" w:hAnsi="Times New Roman"/>
                <w:color w:val="000000"/>
                <w:sz w:val="22"/>
              </w:rPr>
            </w:pPr>
          </w:p>
        </w:tc>
        <w:tc>
          <w:tcPr>
            <w:tcW w:w="1380" w:type="dxa"/>
            <w:tcBorders>
              <w:top w:val="single" w:sz="4" w:space="0" w:color="auto"/>
              <w:bottom w:val="single" w:sz="4" w:space="0" w:color="auto"/>
            </w:tcBorders>
          </w:tcPr>
          <w:p w14:paraId="3E54FE58" w14:textId="77777777" w:rsidR="001636FA" w:rsidRPr="00FE6AC6" w:rsidRDefault="001636FA" w:rsidP="008143B1">
            <w:pPr>
              <w:pStyle w:val="Table"/>
              <w:keepLines w:val="0"/>
              <w:widowControl w:val="0"/>
              <w:spacing w:before="0" w:after="0"/>
              <w:rPr>
                <w:rFonts w:ascii="Times New Roman" w:hAnsi="Times New Roman"/>
                <w:color w:val="000000"/>
                <w:sz w:val="22"/>
              </w:rPr>
            </w:pPr>
          </w:p>
        </w:tc>
        <w:tc>
          <w:tcPr>
            <w:tcW w:w="1620" w:type="dxa"/>
            <w:tcBorders>
              <w:top w:val="single" w:sz="4" w:space="0" w:color="auto"/>
              <w:bottom w:val="single" w:sz="4" w:space="0" w:color="auto"/>
            </w:tcBorders>
          </w:tcPr>
          <w:p w14:paraId="3E54FE59" w14:textId="77777777" w:rsidR="001636FA" w:rsidRPr="00FE6AC6" w:rsidRDefault="001636FA" w:rsidP="008143B1">
            <w:pPr>
              <w:pStyle w:val="Table"/>
              <w:keepLines w:val="0"/>
              <w:widowControl w:val="0"/>
              <w:spacing w:before="0" w:after="0"/>
              <w:rPr>
                <w:rFonts w:ascii="Times New Roman" w:hAnsi="Times New Roman"/>
                <w:color w:val="000000"/>
                <w:sz w:val="22"/>
              </w:rPr>
            </w:pPr>
          </w:p>
        </w:tc>
      </w:tr>
      <w:tr w:rsidR="001636FA" w:rsidRPr="00FE6AC6" w14:paraId="3E54FE64" w14:textId="77777777" w:rsidTr="00F40727">
        <w:trPr>
          <w:cantSplit/>
        </w:trPr>
        <w:tc>
          <w:tcPr>
            <w:tcW w:w="2148" w:type="dxa"/>
            <w:tcBorders>
              <w:top w:val="single" w:sz="4" w:space="0" w:color="auto"/>
              <w:bottom w:val="single" w:sz="4" w:space="0" w:color="auto"/>
            </w:tcBorders>
          </w:tcPr>
          <w:p w14:paraId="3E54FE5B" w14:textId="77777777" w:rsidR="001636FA"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Индукционна терапия</w:t>
            </w:r>
            <w:r w:rsidRPr="00FE6AC6">
              <w:rPr>
                <w:rFonts w:ascii="Times New Roman" w:hAnsi="Times New Roman"/>
                <w:color w:val="000000"/>
                <w:sz w:val="22"/>
                <w:lang w:val="ru-RU"/>
              </w:rPr>
              <w:t xml:space="preserve"> (</w:t>
            </w:r>
            <w:r w:rsidRPr="00FE6AC6">
              <w:rPr>
                <w:rFonts w:ascii="Times New Roman" w:hAnsi="Times New Roman"/>
                <w:i/>
                <w:color w:val="000000"/>
                <w:sz w:val="22"/>
              </w:rPr>
              <w:t>de</w:t>
            </w:r>
            <w:r w:rsidRPr="00FE6AC6">
              <w:rPr>
                <w:rFonts w:ascii="Times New Roman" w:hAnsi="Times New Roman"/>
                <w:i/>
                <w:color w:val="000000"/>
                <w:sz w:val="22"/>
                <w:lang w:val="ru-RU"/>
              </w:rPr>
              <w:t xml:space="preserve"> </w:t>
            </w:r>
            <w:r w:rsidRPr="00FE6AC6">
              <w:rPr>
                <w:rFonts w:ascii="Times New Roman" w:hAnsi="Times New Roman"/>
                <w:i/>
                <w:color w:val="000000"/>
                <w:sz w:val="22"/>
              </w:rPr>
              <w:t>novo</w:t>
            </w:r>
            <w:r w:rsidRPr="00FE6AC6">
              <w:rPr>
                <w:rFonts w:ascii="Times New Roman" w:hAnsi="Times New Roman"/>
                <w:color w:val="000000"/>
                <w:sz w:val="22"/>
                <w:lang w:val="ru-RU"/>
              </w:rPr>
              <w:t xml:space="preserve"> </w:t>
            </w:r>
            <w:r w:rsidRPr="00FE6AC6">
              <w:rPr>
                <w:rFonts w:ascii="Times New Roman" w:hAnsi="Times New Roman"/>
                <w:color w:val="000000"/>
                <w:sz w:val="22"/>
              </w:rPr>
              <w:t>Ph</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ОЛЛ</w:t>
            </w:r>
            <w:r w:rsidRPr="00FE6AC6">
              <w:rPr>
                <w:rFonts w:ascii="Times New Roman" w:hAnsi="Times New Roman"/>
                <w:color w:val="000000"/>
                <w:sz w:val="22"/>
                <w:lang w:val="ru-RU"/>
              </w:rPr>
              <w:t>)</w:t>
            </w:r>
          </w:p>
        </w:tc>
        <w:tc>
          <w:tcPr>
            <w:tcW w:w="6732" w:type="dxa"/>
            <w:gridSpan w:val="4"/>
            <w:tcBorders>
              <w:top w:val="single" w:sz="4" w:space="0" w:color="auto"/>
              <w:bottom w:val="single" w:sz="4" w:space="0" w:color="auto"/>
            </w:tcBorders>
          </w:tcPr>
          <w:p w14:paraId="3E54FE5C" w14:textId="77777777" w:rsidR="00070147"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Даунорубицин</w:t>
            </w:r>
            <w:r w:rsidRPr="00FE6AC6">
              <w:rPr>
                <w:rFonts w:ascii="Times New Roman" w:hAnsi="Times New Roman"/>
                <w:color w:val="000000"/>
                <w:sz w:val="22"/>
                <w:lang w:val="ru-RU"/>
              </w:rPr>
              <w:t> 30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w:t>
            </w:r>
            <w:r w:rsidRPr="00FE6AC6">
              <w:rPr>
                <w:rFonts w:ascii="Times New Roman" w:hAnsi="Times New Roman"/>
                <w:color w:val="000000"/>
                <w:sz w:val="22"/>
                <w:lang w:val="ru-RU"/>
              </w:rPr>
              <w:t>1-3, 15-16;</w:t>
            </w:r>
          </w:p>
          <w:p w14:paraId="3E54FE5D" w14:textId="77777777" w:rsidR="00070147"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VCR</w:t>
            </w:r>
            <w:r w:rsidRPr="00FE6AC6">
              <w:rPr>
                <w:rFonts w:ascii="Times New Roman" w:hAnsi="Times New Roman"/>
                <w:color w:val="000000"/>
                <w:sz w:val="22"/>
                <w:lang w:val="ru-RU"/>
              </w:rPr>
              <w:t> 2 </w:t>
            </w:r>
            <w:r w:rsidRPr="00FE6AC6">
              <w:rPr>
                <w:rFonts w:ascii="Times New Roman" w:hAnsi="Times New Roman"/>
                <w:color w:val="000000"/>
                <w:sz w:val="22"/>
              </w:rPr>
              <w:t>mg</w:t>
            </w:r>
            <w:r w:rsidRPr="00FE6AC6">
              <w:rPr>
                <w:rFonts w:ascii="Times New Roman" w:hAnsi="Times New Roman"/>
                <w:color w:val="000000"/>
                <w:sz w:val="22"/>
                <w:lang w:val="ru-RU"/>
              </w:rPr>
              <w:t xml:space="preserve"> обща доза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дни</w:t>
            </w:r>
            <w:r w:rsidRPr="00FE6AC6">
              <w:rPr>
                <w:rFonts w:ascii="Times New Roman" w:hAnsi="Times New Roman"/>
                <w:color w:val="000000"/>
                <w:sz w:val="22"/>
              </w:rPr>
              <w:t> </w:t>
            </w:r>
            <w:r w:rsidRPr="00FE6AC6">
              <w:rPr>
                <w:rFonts w:ascii="Times New Roman" w:hAnsi="Times New Roman"/>
                <w:color w:val="000000"/>
                <w:sz w:val="22"/>
                <w:lang w:val="ru-RU"/>
              </w:rPr>
              <w:t>1, 8, 15, 22;</w:t>
            </w:r>
          </w:p>
          <w:p w14:paraId="3E54FE5E" w14:textId="77777777" w:rsidR="00070147"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CP</w:t>
            </w:r>
            <w:r w:rsidRPr="00FE6AC6">
              <w:rPr>
                <w:rFonts w:ascii="Times New Roman" w:hAnsi="Times New Roman"/>
                <w:color w:val="000000"/>
                <w:sz w:val="22"/>
                <w:lang w:val="ru-RU"/>
              </w:rPr>
              <w:t> 750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дни</w:t>
            </w:r>
            <w:r w:rsidRPr="00FE6AC6">
              <w:rPr>
                <w:rFonts w:ascii="Times New Roman" w:hAnsi="Times New Roman"/>
                <w:color w:val="000000"/>
                <w:sz w:val="22"/>
              </w:rPr>
              <w:t> </w:t>
            </w:r>
            <w:r w:rsidRPr="00FE6AC6">
              <w:rPr>
                <w:rFonts w:ascii="Times New Roman" w:hAnsi="Times New Roman"/>
                <w:color w:val="000000"/>
                <w:sz w:val="22"/>
                <w:lang w:val="ru-RU"/>
              </w:rPr>
              <w:t>1, 8;</w:t>
            </w:r>
          </w:p>
          <w:p w14:paraId="3E54FE5F" w14:textId="77777777" w:rsidR="00070147" w:rsidRPr="00FE6AC6" w:rsidRDefault="00070147"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П</w:t>
            </w:r>
            <w:r w:rsidR="001636FA" w:rsidRPr="00FE6AC6">
              <w:rPr>
                <w:rFonts w:ascii="Times New Roman" w:hAnsi="Times New Roman"/>
                <w:color w:val="000000"/>
                <w:sz w:val="22"/>
                <w:lang w:val="ru-RU"/>
              </w:rPr>
              <w:t>реднизон 60 </w:t>
            </w:r>
            <w:r w:rsidR="001636FA" w:rsidRPr="00FE6AC6">
              <w:rPr>
                <w:rFonts w:ascii="Times New Roman" w:hAnsi="Times New Roman"/>
                <w:color w:val="000000"/>
                <w:sz w:val="22"/>
              </w:rPr>
              <w:t>mg</w:t>
            </w:r>
            <w:r w:rsidR="001636FA" w:rsidRPr="00FE6AC6">
              <w:rPr>
                <w:rFonts w:ascii="Times New Roman" w:hAnsi="Times New Roman"/>
                <w:color w:val="000000"/>
                <w:sz w:val="22"/>
                <w:lang w:val="ru-RU"/>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ru-RU"/>
              </w:rPr>
              <w:t>2 </w:t>
            </w:r>
            <w:r w:rsidR="001636FA" w:rsidRPr="00FE6AC6">
              <w:rPr>
                <w:rFonts w:ascii="Times New Roman" w:hAnsi="Times New Roman"/>
                <w:color w:val="000000"/>
                <w:sz w:val="22"/>
                <w:lang w:val="ru-RU"/>
              </w:rPr>
              <w:t>перорално, дни</w:t>
            </w:r>
            <w:r w:rsidR="001636FA" w:rsidRPr="00FE6AC6">
              <w:rPr>
                <w:rFonts w:ascii="Times New Roman" w:hAnsi="Times New Roman"/>
                <w:color w:val="000000"/>
                <w:sz w:val="22"/>
              </w:rPr>
              <w:t> </w:t>
            </w:r>
            <w:r w:rsidR="001636FA" w:rsidRPr="00FE6AC6">
              <w:rPr>
                <w:rFonts w:ascii="Times New Roman" w:hAnsi="Times New Roman"/>
                <w:color w:val="000000"/>
                <w:sz w:val="22"/>
                <w:lang w:val="ru-RU"/>
              </w:rPr>
              <w:t>1-7, 15-21;</w:t>
            </w:r>
          </w:p>
          <w:p w14:paraId="3E54FE60" w14:textId="77777777" w:rsidR="00070147"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IDA</w:t>
            </w:r>
            <w:r w:rsidRPr="00FE6AC6">
              <w:rPr>
                <w:rFonts w:ascii="Times New Roman" w:hAnsi="Times New Roman"/>
                <w:color w:val="000000"/>
                <w:sz w:val="22"/>
                <w:lang w:val="ru-RU"/>
              </w:rPr>
              <w:t> 9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lang w:val="ru-RU"/>
              </w:rPr>
              <w:t>перорално, дни</w:t>
            </w:r>
            <w:r w:rsidRPr="00FE6AC6">
              <w:rPr>
                <w:rFonts w:ascii="Times New Roman" w:hAnsi="Times New Roman"/>
                <w:color w:val="000000"/>
                <w:sz w:val="22"/>
              </w:rPr>
              <w:t> </w:t>
            </w:r>
            <w:r w:rsidRPr="00FE6AC6">
              <w:rPr>
                <w:rFonts w:ascii="Times New Roman" w:hAnsi="Times New Roman"/>
                <w:color w:val="000000"/>
                <w:sz w:val="22"/>
                <w:lang w:val="ru-RU"/>
              </w:rPr>
              <w:t>1-28;</w:t>
            </w:r>
          </w:p>
          <w:p w14:paraId="3E54FE61" w14:textId="77777777" w:rsidR="00070147"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MTX</w:t>
            </w:r>
            <w:r w:rsidRPr="00FE6AC6">
              <w:rPr>
                <w:rFonts w:ascii="Times New Roman" w:hAnsi="Times New Roman"/>
                <w:color w:val="000000"/>
                <w:sz w:val="22"/>
                <w:lang w:val="ru-RU"/>
              </w:rPr>
              <w:t> 15 </w:t>
            </w:r>
            <w:r w:rsidRPr="00FE6AC6">
              <w:rPr>
                <w:rFonts w:ascii="Times New Roman" w:hAnsi="Times New Roman"/>
                <w:color w:val="000000"/>
                <w:sz w:val="22"/>
              </w:rPr>
              <w:t>mg</w:t>
            </w:r>
            <w:r w:rsidRPr="00FE6AC6">
              <w:rPr>
                <w:rFonts w:ascii="Times New Roman" w:hAnsi="Times New Roman"/>
                <w:color w:val="000000"/>
                <w:sz w:val="22"/>
                <w:lang w:val="ru-RU"/>
              </w:rPr>
              <w:t xml:space="preserve"> интратекално, дни</w:t>
            </w:r>
            <w:r w:rsidRPr="00FE6AC6">
              <w:rPr>
                <w:rFonts w:ascii="Times New Roman" w:hAnsi="Times New Roman"/>
                <w:color w:val="000000"/>
                <w:sz w:val="22"/>
              </w:rPr>
              <w:t> </w:t>
            </w:r>
            <w:r w:rsidRPr="00FE6AC6">
              <w:rPr>
                <w:rFonts w:ascii="Times New Roman" w:hAnsi="Times New Roman"/>
                <w:color w:val="000000"/>
                <w:sz w:val="22"/>
                <w:lang w:val="ru-RU"/>
              </w:rPr>
              <w:t>1, 8, 15, 22;</w:t>
            </w:r>
          </w:p>
          <w:p w14:paraId="3E54FE62" w14:textId="77777777" w:rsidR="00070147"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Ara</w:t>
            </w:r>
            <w:r w:rsidRPr="00FE6AC6">
              <w:rPr>
                <w:rFonts w:ascii="Times New Roman" w:hAnsi="Times New Roman"/>
                <w:color w:val="000000"/>
                <w:sz w:val="22"/>
                <w:lang w:val="ru-RU"/>
              </w:rPr>
              <w:t>-</w:t>
            </w:r>
            <w:r w:rsidRPr="00FE6AC6">
              <w:rPr>
                <w:rFonts w:ascii="Times New Roman" w:hAnsi="Times New Roman"/>
                <w:color w:val="000000"/>
                <w:sz w:val="22"/>
              </w:rPr>
              <w:t>C</w:t>
            </w:r>
            <w:r w:rsidRPr="00FE6AC6">
              <w:rPr>
                <w:rFonts w:ascii="Times New Roman" w:hAnsi="Times New Roman"/>
                <w:color w:val="000000"/>
                <w:sz w:val="22"/>
                <w:lang w:val="ru-RU"/>
              </w:rPr>
              <w:t> 40 </w:t>
            </w:r>
            <w:r w:rsidRPr="00FE6AC6">
              <w:rPr>
                <w:rFonts w:ascii="Times New Roman" w:hAnsi="Times New Roman"/>
                <w:color w:val="000000"/>
                <w:sz w:val="22"/>
              </w:rPr>
              <w:t>mg</w:t>
            </w:r>
            <w:r w:rsidRPr="00FE6AC6">
              <w:rPr>
                <w:rFonts w:ascii="Times New Roman" w:hAnsi="Times New Roman"/>
                <w:color w:val="000000"/>
                <w:sz w:val="22"/>
                <w:lang w:val="ru-RU"/>
              </w:rPr>
              <w:t xml:space="preserve"> интратекално, дни</w:t>
            </w:r>
            <w:r w:rsidRPr="00FE6AC6">
              <w:rPr>
                <w:rFonts w:ascii="Times New Roman" w:hAnsi="Times New Roman"/>
                <w:color w:val="000000"/>
                <w:sz w:val="22"/>
              </w:rPr>
              <w:t> </w:t>
            </w:r>
            <w:r w:rsidRPr="00FE6AC6">
              <w:rPr>
                <w:rFonts w:ascii="Times New Roman" w:hAnsi="Times New Roman"/>
                <w:color w:val="000000"/>
                <w:sz w:val="22"/>
                <w:lang w:val="ru-RU"/>
              </w:rPr>
              <w:t>1, 8, 15, 22;</w:t>
            </w:r>
          </w:p>
          <w:p w14:paraId="3E54FE63" w14:textId="77777777" w:rsidR="001636FA" w:rsidRPr="00FE6AC6" w:rsidRDefault="00070147"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ru-RU"/>
              </w:rPr>
              <w:t>М</w:t>
            </w:r>
            <w:r w:rsidR="001636FA" w:rsidRPr="00FE6AC6">
              <w:rPr>
                <w:rFonts w:ascii="Times New Roman" w:hAnsi="Times New Roman"/>
                <w:color w:val="000000"/>
                <w:sz w:val="22"/>
                <w:lang w:val="ru-RU"/>
              </w:rPr>
              <w:t>етилпреднизолон 40 </w:t>
            </w:r>
            <w:r w:rsidR="001636FA" w:rsidRPr="00FE6AC6">
              <w:rPr>
                <w:rFonts w:ascii="Times New Roman" w:hAnsi="Times New Roman"/>
                <w:color w:val="000000"/>
                <w:sz w:val="22"/>
              </w:rPr>
              <w:t>mg</w:t>
            </w:r>
            <w:r w:rsidR="001636FA" w:rsidRPr="00FE6AC6">
              <w:rPr>
                <w:rFonts w:ascii="Times New Roman" w:hAnsi="Times New Roman"/>
                <w:color w:val="000000"/>
                <w:sz w:val="22"/>
                <w:lang w:val="ru-RU"/>
              </w:rPr>
              <w:t xml:space="preserve"> интратекално, дни</w:t>
            </w:r>
            <w:r w:rsidR="001636FA" w:rsidRPr="00FE6AC6">
              <w:rPr>
                <w:rFonts w:ascii="Times New Roman" w:hAnsi="Times New Roman"/>
                <w:color w:val="000000"/>
                <w:sz w:val="22"/>
              </w:rPr>
              <w:t> </w:t>
            </w:r>
            <w:r w:rsidR="001636FA" w:rsidRPr="00FE6AC6">
              <w:rPr>
                <w:rFonts w:ascii="Times New Roman" w:hAnsi="Times New Roman"/>
                <w:color w:val="000000"/>
                <w:sz w:val="22"/>
                <w:lang w:val="ru-RU"/>
              </w:rPr>
              <w:t>1, 8, 15, 22</w:t>
            </w:r>
          </w:p>
        </w:tc>
      </w:tr>
      <w:tr w:rsidR="001636FA" w:rsidRPr="004015AA" w14:paraId="3E54FE6A" w14:textId="77777777" w:rsidTr="00F40727">
        <w:trPr>
          <w:cantSplit/>
        </w:trPr>
        <w:tc>
          <w:tcPr>
            <w:tcW w:w="2148" w:type="dxa"/>
            <w:tcBorders>
              <w:top w:val="single" w:sz="4" w:space="0" w:color="auto"/>
              <w:bottom w:val="single" w:sz="4" w:space="0" w:color="auto"/>
            </w:tcBorders>
          </w:tcPr>
          <w:p w14:paraId="3E54FE65" w14:textId="77777777" w:rsidR="001636FA" w:rsidRPr="00FE6AC6" w:rsidRDefault="001636FA" w:rsidP="008143B1">
            <w:pPr>
              <w:pStyle w:val="Table"/>
              <w:keepNext w:val="0"/>
              <w:keepLines w:val="0"/>
              <w:widowControl w:val="0"/>
              <w:spacing w:before="0" w:after="0"/>
              <w:rPr>
                <w:rFonts w:ascii="Times New Roman" w:hAnsi="Times New Roman"/>
                <w:color w:val="000000"/>
                <w:sz w:val="22"/>
                <w:lang w:val="pt-BR"/>
              </w:rPr>
            </w:pPr>
            <w:r w:rsidRPr="00FE6AC6">
              <w:rPr>
                <w:rFonts w:ascii="Times New Roman" w:hAnsi="Times New Roman"/>
                <w:color w:val="000000"/>
                <w:sz w:val="22"/>
                <w:lang w:val="bg-BG"/>
              </w:rPr>
              <w:t>Консолидация</w:t>
            </w:r>
            <w:r w:rsidRPr="00FE6AC6">
              <w:rPr>
                <w:rFonts w:ascii="Times New Roman" w:hAnsi="Times New Roman"/>
                <w:color w:val="000000"/>
                <w:sz w:val="22"/>
                <w:lang w:val="pt-BR"/>
              </w:rPr>
              <w:t xml:space="preserve"> (</w:t>
            </w:r>
            <w:r w:rsidRPr="00FE6AC6">
              <w:rPr>
                <w:rFonts w:ascii="Times New Roman" w:hAnsi="Times New Roman"/>
                <w:i/>
                <w:color w:val="000000"/>
                <w:sz w:val="22"/>
                <w:lang w:val="pt-BR"/>
              </w:rPr>
              <w:t>de novo</w:t>
            </w:r>
            <w:r w:rsidRPr="00FE6AC6">
              <w:rPr>
                <w:rFonts w:ascii="Times New Roman" w:hAnsi="Times New Roman"/>
                <w:color w:val="000000"/>
                <w:sz w:val="22"/>
                <w:lang w:val="pt-BR"/>
              </w:rPr>
              <w:t xml:space="preserve"> Ph+ </w:t>
            </w:r>
            <w:r w:rsidRPr="00FE6AC6">
              <w:rPr>
                <w:rFonts w:ascii="Times New Roman" w:hAnsi="Times New Roman"/>
                <w:color w:val="000000"/>
                <w:sz w:val="22"/>
                <w:lang w:val="bg-BG"/>
              </w:rPr>
              <w:t>ОЛЛ</w:t>
            </w:r>
            <w:r w:rsidRPr="00FE6AC6">
              <w:rPr>
                <w:rFonts w:ascii="Times New Roman" w:hAnsi="Times New Roman"/>
                <w:color w:val="000000"/>
                <w:sz w:val="22"/>
                <w:lang w:val="pt-BR"/>
              </w:rPr>
              <w:t>)</w:t>
            </w:r>
          </w:p>
        </w:tc>
        <w:tc>
          <w:tcPr>
            <w:tcW w:w="6732" w:type="dxa"/>
            <w:gridSpan w:val="4"/>
            <w:tcBorders>
              <w:top w:val="single" w:sz="4" w:space="0" w:color="auto"/>
              <w:bottom w:val="single" w:sz="4" w:space="0" w:color="auto"/>
            </w:tcBorders>
          </w:tcPr>
          <w:p w14:paraId="3E54FE66" w14:textId="77777777" w:rsidR="00070147" w:rsidRPr="00FE6AC6" w:rsidRDefault="001636FA"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pt-BR"/>
              </w:rPr>
              <w:t>Ara-C 1</w:t>
            </w:r>
            <w:r w:rsidR="008D760F" w:rsidRPr="00FE6AC6">
              <w:rPr>
                <w:rFonts w:ascii="Times New Roman" w:hAnsi="Times New Roman"/>
                <w:color w:val="000000"/>
                <w:sz w:val="22"/>
                <w:lang w:val="bg-BG"/>
              </w:rPr>
              <w:t> </w:t>
            </w:r>
            <w:r w:rsidRPr="00FE6AC6">
              <w:rPr>
                <w:rFonts w:ascii="Times New Roman" w:hAnsi="Times New Roman"/>
                <w:color w:val="000000"/>
                <w:sz w:val="22"/>
                <w:lang w:val="pt-BR"/>
              </w:rPr>
              <w:t>000 mg/m</w:t>
            </w:r>
            <w:r w:rsidRPr="00FE6AC6">
              <w:rPr>
                <w:rFonts w:ascii="Times New Roman" w:hAnsi="Times New Roman"/>
                <w:color w:val="000000"/>
                <w:sz w:val="22"/>
                <w:vertAlign w:val="superscript"/>
                <w:lang w:val="pt-BR"/>
              </w:rPr>
              <w:t>2</w:t>
            </w:r>
            <w:r w:rsidRPr="00FE6AC6">
              <w:rPr>
                <w:rFonts w:ascii="Times New Roman" w:hAnsi="Times New Roman"/>
                <w:color w:val="000000"/>
                <w:sz w:val="22"/>
                <w:lang w:val="pt-BR"/>
              </w:rPr>
              <w:t>/12 </w:t>
            </w:r>
            <w:r w:rsidRPr="00FE6AC6">
              <w:rPr>
                <w:rFonts w:ascii="Times New Roman" w:hAnsi="Times New Roman"/>
                <w:color w:val="000000"/>
                <w:sz w:val="22"/>
                <w:lang w:val="bg-BG"/>
              </w:rPr>
              <w:t xml:space="preserve">часа </w:t>
            </w:r>
            <w:r w:rsidRPr="00FE6AC6">
              <w:rPr>
                <w:rFonts w:ascii="Times New Roman" w:hAnsi="Times New Roman"/>
                <w:color w:val="000000"/>
                <w:sz w:val="22"/>
                <w:lang w:val="pt-BR"/>
              </w:rPr>
              <w:t>i.v.(3 </w:t>
            </w:r>
            <w:r w:rsidRPr="00FE6AC6">
              <w:rPr>
                <w:rFonts w:ascii="Times New Roman" w:hAnsi="Times New Roman"/>
                <w:color w:val="000000"/>
                <w:sz w:val="22"/>
                <w:lang w:val="bg-BG"/>
              </w:rPr>
              <w:t>часа)</w:t>
            </w:r>
            <w:r w:rsidRPr="00FE6AC6">
              <w:rPr>
                <w:rFonts w:ascii="Times New Roman" w:hAnsi="Times New Roman"/>
                <w:color w:val="000000"/>
                <w:sz w:val="22"/>
                <w:lang w:val="pt-BR"/>
              </w:rPr>
              <w:t xml:space="preserve">, </w:t>
            </w:r>
            <w:r w:rsidRPr="00FE6AC6">
              <w:rPr>
                <w:rFonts w:ascii="Times New Roman" w:hAnsi="Times New Roman"/>
                <w:color w:val="000000"/>
                <w:sz w:val="22"/>
                <w:lang w:val="ru-RU"/>
              </w:rPr>
              <w:t>дни</w:t>
            </w:r>
            <w:r w:rsidRPr="00FE6AC6">
              <w:rPr>
                <w:rFonts w:ascii="Times New Roman" w:hAnsi="Times New Roman"/>
                <w:color w:val="000000"/>
                <w:sz w:val="22"/>
                <w:lang w:val="pt-BR"/>
              </w:rPr>
              <w:t> 1-4;</w:t>
            </w:r>
          </w:p>
          <w:p w14:paraId="3E54FE67" w14:textId="77777777" w:rsidR="00070147" w:rsidRPr="00FE6AC6" w:rsidRDefault="00070147"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М</w:t>
            </w:r>
            <w:r w:rsidR="001636FA" w:rsidRPr="00FE6AC6">
              <w:rPr>
                <w:rFonts w:ascii="Times New Roman" w:hAnsi="Times New Roman"/>
                <w:color w:val="000000"/>
                <w:sz w:val="22"/>
                <w:lang w:val="ru-RU"/>
              </w:rPr>
              <w:t>итоксантрон</w:t>
            </w:r>
            <w:r w:rsidR="001636FA" w:rsidRPr="00FE6AC6">
              <w:rPr>
                <w:rFonts w:ascii="Times New Roman" w:hAnsi="Times New Roman"/>
                <w:color w:val="000000"/>
                <w:sz w:val="22"/>
                <w:lang w:val="pt-BR"/>
              </w:rPr>
              <w:t> 10 mg/m</w:t>
            </w:r>
            <w:r w:rsidR="001636FA" w:rsidRPr="00FE6AC6">
              <w:rPr>
                <w:rFonts w:ascii="Times New Roman" w:hAnsi="Times New Roman"/>
                <w:color w:val="000000"/>
                <w:sz w:val="22"/>
                <w:vertAlign w:val="superscript"/>
                <w:lang w:val="pt-BR"/>
              </w:rPr>
              <w:t>2 </w:t>
            </w:r>
            <w:r w:rsidR="001636FA" w:rsidRPr="00FE6AC6">
              <w:rPr>
                <w:rFonts w:ascii="Times New Roman" w:hAnsi="Times New Roman"/>
                <w:color w:val="000000"/>
                <w:sz w:val="22"/>
                <w:lang w:val="pt-BR"/>
              </w:rPr>
              <w:t xml:space="preserve">i.v. </w:t>
            </w:r>
            <w:r w:rsidR="001636FA" w:rsidRPr="00FE6AC6">
              <w:rPr>
                <w:rFonts w:ascii="Times New Roman" w:hAnsi="Times New Roman"/>
                <w:color w:val="000000"/>
                <w:sz w:val="22"/>
                <w:lang w:val="ru-RU"/>
              </w:rPr>
              <w:t>дни</w:t>
            </w:r>
            <w:r w:rsidR="001636FA" w:rsidRPr="00FE6AC6">
              <w:rPr>
                <w:rFonts w:ascii="Times New Roman" w:hAnsi="Times New Roman"/>
                <w:color w:val="000000"/>
                <w:sz w:val="22"/>
                <w:lang w:val="pt-BR"/>
              </w:rPr>
              <w:t> 3-5;</w:t>
            </w:r>
          </w:p>
          <w:p w14:paraId="3E54FE68" w14:textId="77777777" w:rsidR="00070147" w:rsidRPr="00FE6AC6" w:rsidRDefault="001636FA"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pt-BR"/>
              </w:rPr>
              <w:t xml:space="preserve">MTX 15 mg </w:t>
            </w:r>
            <w:r w:rsidRPr="00FE6AC6">
              <w:rPr>
                <w:rFonts w:ascii="Times New Roman" w:hAnsi="Times New Roman"/>
                <w:color w:val="000000"/>
                <w:sz w:val="22"/>
                <w:lang w:val="ru-RU"/>
              </w:rPr>
              <w:t>интратекално</w:t>
            </w:r>
            <w:r w:rsidRPr="00FE6AC6">
              <w:rPr>
                <w:rFonts w:ascii="Times New Roman" w:hAnsi="Times New Roman"/>
                <w:color w:val="000000"/>
                <w:sz w:val="22"/>
                <w:lang w:val="pt-BR"/>
              </w:rPr>
              <w:t xml:space="preserve">, </w:t>
            </w:r>
            <w:r w:rsidRPr="00FE6AC6">
              <w:rPr>
                <w:rFonts w:ascii="Times New Roman" w:hAnsi="Times New Roman"/>
                <w:color w:val="000000"/>
                <w:sz w:val="22"/>
                <w:lang w:val="ru-RU"/>
              </w:rPr>
              <w:t>ден</w:t>
            </w:r>
            <w:r w:rsidRPr="00FE6AC6">
              <w:rPr>
                <w:rFonts w:ascii="Times New Roman" w:hAnsi="Times New Roman"/>
                <w:color w:val="000000"/>
                <w:sz w:val="22"/>
                <w:lang w:val="pt-BR"/>
              </w:rPr>
              <w:t> 1;</w:t>
            </w:r>
          </w:p>
          <w:p w14:paraId="3E54FE69" w14:textId="77777777" w:rsidR="001636FA" w:rsidRPr="00FE6AC6" w:rsidRDefault="00070147" w:rsidP="008143B1">
            <w:pPr>
              <w:pStyle w:val="Table"/>
              <w:keepNext w:val="0"/>
              <w:keepLines w:val="0"/>
              <w:widowControl w:val="0"/>
              <w:spacing w:before="0" w:after="0"/>
              <w:rPr>
                <w:rFonts w:ascii="Times New Roman" w:hAnsi="Times New Roman"/>
                <w:color w:val="000000"/>
                <w:sz w:val="22"/>
                <w:lang w:val="pt-BR"/>
              </w:rPr>
            </w:pPr>
            <w:r w:rsidRPr="00FE6AC6">
              <w:rPr>
                <w:rFonts w:ascii="Times New Roman" w:hAnsi="Times New Roman"/>
                <w:color w:val="000000"/>
                <w:sz w:val="22"/>
                <w:lang w:val="bg-BG"/>
              </w:rPr>
              <w:t>М</w:t>
            </w:r>
            <w:r w:rsidR="001636FA" w:rsidRPr="00FE6AC6">
              <w:rPr>
                <w:rFonts w:ascii="Times New Roman" w:hAnsi="Times New Roman"/>
                <w:color w:val="000000"/>
                <w:sz w:val="22"/>
                <w:lang w:val="ru-RU"/>
              </w:rPr>
              <w:t>етилпреднизолон</w:t>
            </w:r>
            <w:r w:rsidR="001636FA" w:rsidRPr="00FE6AC6">
              <w:rPr>
                <w:rFonts w:ascii="Times New Roman" w:hAnsi="Times New Roman"/>
                <w:color w:val="000000"/>
                <w:sz w:val="22"/>
                <w:lang w:val="pt-BR"/>
              </w:rPr>
              <w:t xml:space="preserve"> 40 mg </w:t>
            </w:r>
            <w:r w:rsidR="001636FA" w:rsidRPr="00FE6AC6">
              <w:rPr>
                <w:rFonts w:ascii="Times New Roman" w:hAnsi="Times New Roman"/>
                <w:color w:val="000000"/>
                <w:sz w:val="22"/>
                <w:lang w:val="ru-RU"/>
              </w:rPr>
              <w:t>интратекално</w:t>
            </w:r>
            <w:r w:rsidR="001636FA" w:rsidRPr="00FE6AC6">
              <w:rPr>
                <w:rFonts w:ascii="Times New Roman" w:hAnsi="Times New Roman"/>
                <w:color w:val="000000"/>
                <w:sz w:val="22"/>
                <w:lang w:val="pt-BR"/>
              </w:rPr>
              <w:t>, day 1</w:t>
            </w:r>
          </w:p>
        </w:tc>
      </w:tr>
      <w:tr w:rsidR="001636FA" w:rsidRPr="00FE6AC6" w14:paraId="3E54FE6F" w14:textId="77777777" w:rsidTr="00F40727">
        <w:trPr>
          <w:cantSplit/>
        </w:trPr>
        <w:tc>
          <w:tcPr>
            <w:tcW w:w="4800" w:type="dxa"/>
            <w:gridSpan w:val="2"/>
            <w:tcBorders>
              <w:top w:val="single" w:sz="4" w:space="0" w:color="auto"/>
              <w:bottom w:val="single" w:sz="4" w:space="0" w:color="auto"/>
            </w:tcBorders>
          </w:tcPr>
          <w:p w14:paraId="3E54FE6B" w14:textId="77777777" w:rsidR="001636FA" w:rsidRPr="00FE6AC6" w:rsidRDefault="001636FA" w:rsidP="008143B1">
            <w:pPr>
              <w:pStyle w:val="Table"/>
              <w:keepLines w:val="0"/>
              <w:widowControl w:val="0"/>
              <w:spacing w:before="0" w:after="0"/>
              <w:rPr>
                <w:rFonts w:ascii="Times New Roman" w:hAnsi="Times New Roman"/>
                <w:b/>
                <w:color w:val="000000"/>
                <w:sz w:val="22"/>
              </w:rPr>
            </w:pPr>
            <w:r w:rsidRPr="00FE6AC6">
              <w:rPr>
                <w:rFonts w:ascii="Times New Roman" w:hAnsi="Times New Roman"/>
                <w:b/>
                <w:color w:val="000000"/>
                <w:sz w:val="22"/>
              </w:rPr>
              <w:t>Study ADE04</w:t>
            </w:r>
          </w:p>
        </w:tc>
        <w:tc>
          <w:tcPr>
            <w:tcW w:w="1080" w:type="dxa"/>
            <w:tcBorders>
              <w:top w:val="single" w:sz="4" w:space="0" w:color="auto"/>
              <w:bottom w:val="single" w:sz="4" w:space="0" w:color="auto"/>
            </w:tcBorders>
          </w:tcPr>
          <w:p w14:paraId="3E54FE6C" w14:textId="77777777" w:rsidR="001636FA" w:rsidRPr="00FE6AC6" w:rsidRDefault="001636FA" w:rsidP="008143B1">
            <w:pPr>
              <w:pStyle w:val="Table"/>
              <w:keepLines w:val="0"/>
              <w:widowControl w:val="0"/>
              <w:spacing w:before="0" w:after="0"/>
              <w:rPr>
                <w:rFonts w:ascii="Times New Roman" w:hAnsi="Times New Roman"/>
                <w:color w:val="000000"/>
                <w:sz w:val="22"/>
              </w:rPr>
            </w:pPr>
          </w:p>
        </w:tc>
        <w:tc>
          <w:tcPr>
            <w:tcW w:w="1380" w:type="dxa"/>
            <w:tcBorders>
              <w:top w:val="single" w:sz="4" w:space="0" w:color="auto"/>
              <w:bottom w:val="single" w:sz="4" w:space="0" w:color="auto"/>
            </w:tcBorders>
          </w:tcPr>
          <w:p w14:paraId="3E54FE6D" w14:textId="77777777" w:rsidR="001636FA" w:rsidRPr="00FE6AC6" w:rsidRDefault="001636FA" w:rsidP="008143B1">
            <w:pPr>
              <w:pStyle w:val="Table"/>
              <w:keepLines w:val="0"/>
              <w:widowControl w:val="0"/>
              <w:spacing w:before="0" w:after="0"/>
              <w:rPr>
                <w:rFonts w:ascii="Times New Roman" w:hAnsi="Times New Roman"/>
                <w:color w:val="000000"/>
                <w:sz w:val="22"/>
              </w:rPr>
            </w:pPr>
          </w:p>
        </w:tc>
        <w:tc>
          <w:tcPr>
            <w:tcW w:w="1620" w:type="dxa"/>
            <w:tcBorders>
              <w:top w:val="single" w:sz="4" w:space="0" w:color="auto"/>
              <w:bottom w:val="single" w:sz="4" w:space="0" w:color="auto"/>
            </w:tcBorders>
          </w:tcPr>
          <w:p w14:paraId="3E54FE6E" w14:textId="77777777" w:rsidR="001636FA" w:rsidRPr="00FE6AC6" w:rsidRDefault="001636FA" w:rsidP="008143B1">
            <w:pPr>
              <w:pStyle w:val="Table"/>
              <w:keepLines w:val="0"/>
              <w:widowControl w:val="0"/>
              <w:spacing w:before="0" w:after="0"/>
              <w:rPr>
                <w:rFonts w:ascii="Times New Roman" w:hAnsi="Times New Roman"/>
                <w:color w:val="000000"/>
                <w:sz w:val="22"/>
              </w:rPr>
            </w:pPr>
          </w:p>
        </w:tc>
      </w:tr>
      <w:tr w:rsidR="001636FA" w:rsidRPr="00FE6AC6" w14:paraId="3E54FE74" w14:textId="77777777" w:rsidTr="00F40727">
        <w:trPr>
          <w:cantSplit/>
        </w:trPr>
        <w:tc>
          <w:tcPr>
            <w:tcW w:w="2148" w:type="dxa"/>
            <w:tcBorders>
              <w:top w:val="single" w:sz="4" w:space="0" w:color="auto"/>
              <w:bottom w:val="single" w:sz="4" w:space="0" w:color="auto"/>
            </w:tcBorders>
          </w:tcPr>
          <w:p w14:paraId="3E54FE70"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Префаза</w:t>
            </w:r>
          </w:p>
        </w:tc>
        <w:tc>
          <w:tcPr>
            <w:tcW w:w="6732" w:type="dxa"/>
            <w:gridSpan w:val="4"/>
            <w:tcBorders>
              <w:top w:val="single" w:sz="4" w:space="0" w:color="auto"/>
              <w:bottom w:val="single" w:sz="4" w:space="0" w:color="auto"/>
            </w:tcBorders>
          </w:tcPr>
          <w:p w14:paraId="3E54FE71" w14:textId="77777777" w:rsidR="00070147"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4FE72" w14:textId="77777777" w:rsidR="00070147"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CP </w:t>
            </w:r>
            <w:r w:rsidRPr="00FE6AC6">
              <w:rPr>
                <w:rFonts w:ascii="Times New Roman" w:hAnsi="Times New Roman"/>
                <w:color w:val="000000"/>
                <w:sz w:val="22"/>
                <w:lang w:val="bg-BG"/>
              </w:rPr>
              <w:t>200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дни</w:t>
            </w:r>
            <w:r w:rsidRPr="00FE6AC6">
              <w:rPr>
                <w:rFonts w:ascii="Times New Roman" w:hAnsi="Times New Roman"/>
                <w:color w:val="000000"/>
                <w:sz w:val="22"/>
              </w:rPr>
              <w:t> </w:t>
            </w:r>
            <w:r w:rsidRPr="00FE6AC6">
              <w:rPr>
                <w:rFonts w:ascii="Times New Roman" w:hAnsi="Times New Roman"/>
                <w:color w:val="000000"/>
                <w:sz w:val="22"/>
                <w:lang w:val="bg-BG"/>
              </w:rPr>
              <w:t>3-5;</w:t>
            </w:r>
          </w:p>
          <w:p w14:paraId="3E54FE73"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MTX </w:t>
            </w:r>
            <w:r w:rsidRPr="00FE6AC6">
              <w:rPr>
                <w:rFonts w:ascii="Times New Roman" w:hAnsi="Times New Roman"/>
                <w:color w:val="000000"/>
                <w:sz w:val="22"/>
                <w:lang w:val="bg-BG"/>
              </w:rPr>
              <w:t>15</w:t>
            </w:r>
            <w:r w:rsidRPr="00FE6AC6">
              <w:rPr>
                <w:rFonts w:ascii="Times New Roman" w:hAnsi="Times New Roman"/>
                <w:color w:val="000000"/>
                <w:sz w:val="22"/>
              </w:rPr>
              <w:t> mg</w:t>
            </w:r>
            <w:r w:rsidRPr="00FE6AC6">
              <w:rPr>
                <w:rFonts w:ascii="Times New Roman" w:hAnsi="Times New Roman"/>
                <w:color w:val="000000"/>
                <w:sz w:val="22"/>
                <w:lang w:val="bg-BG"/>
              </w:rPr>
              <w:t xml:space="preserve"> интратекално ден 1</w:t>
            </w:r>
          </w:p>
        </w:tc>
      </w:tr>
      <w:tr w:rsidR="001636FA" w:rsidRPr="004015AA" w14:paraId="3E54FE79" w14:textId="77777777" w:rsidTr="00F40727">
        <w:trPr>
          <w:cantSplit/>
        </w:trPr>
        <w:tc>
          <w:tcPr>
            <w:tcW w:w="2148" w:type="dxa"/>
            <w:tcBorders>
              <w:top w:val="single" w:sz="4" w:space="0" w:color="auto"/>
              <w:bottom w:val="single" w:sz="4" w:space="0" w:color="auto"/>
            </w:tcBorders>
          </w:tcPr>
          <w:p w14:paraId="3E54FE75"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Индукционна терапия</w:t>
            </w:r>
            <w:r w:rsidRPr="00FE6AC6">
              <w:rPr>
                <w:rFonts w:ascii="Times New Roman" w:hAnsi="Times New Roman"/>
                <w:color w:val="000000"/>
                <w:sz w:val="22"/>
              </w:rPr>
              <w:t xml:space="preserve"> I</w:t>
            </w:r>
          </w:p>
        </w:tc>
        <w:tc>
          <w:tcPr>
            <w:tcW w:w="6732" w:type="dxa"/>
            <w:gridSpan w:val="4"/>
            <w:tcBorders>
              <w:top w:val="single" w:sz="4" w:space="0" w:color="auto"/>
              <w:bottom w:val="single" w:sz="4" w:space="0" w:color="auto"/>
            </w:tcBorders>
          </w:tcPr>
          <w:p w14:paraId="3E54FE76" w14:textId="77777777" w:rsidR="00070147"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4FE77" w14:textId="77777777" w:rsidR="00070147"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VCR </w:t>
            </w:r>
            <w:r w:rsidRPr="00FE6AC6">
              <w:rPr>
                <w:rFonts w:ascii="Times New Roman" w:hAnsi="Times New Roman"/>
                <w:color w:val="000000"/>
                <w:sz w:val="22"/>
                <w:lang w:val="bg-BG"/>
              </w:rPr>
              <w:t>2</w:t>
            </w:r>
            <w:r w:rsidRPr="00FE6AC6">
              <w:rPr>
                <w:rFonts w:ascii="Times New Roman" w:hAnsi="Times New Roman"/>
                <w:color w:val="000000"/>
                <w:sz w:val="22"/>
              </w:rPr>
              <w:t> mg</w:t>
            </w:r>
            <w:r w:rsidRPr="00FE6AC6">
              <w:rPr>
                <w:rFonts w:ascii="Times New Roman" w:hAnsi="Times New Roman"/>
                <w:color w:val="000000"/>
                <w:sz w:val="22"/>
                <w:lang w:val="bg-BG"/>
              </w:rPr>
              <w:t xml:space="preserve">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дни</w:t>
            </w:r>
            <w:r w:rsidRPr="00FE6AC6">
              <w:rPr>
                <w:rFonts w:ascii="Times New Roman" w:hAnsi="Times New Roman"/>
                <w:color w:val="000000"/>
                <w:sz w:val="22"/>
              </w:rPr>
              <w:t> </w:t>
            </w:r>
            <w:r w:rsidRPr="00FE6AC6">
              <w:rPr>
                <w:rFonts w:ascii="Times New Roman" w:hAnsi="Times New Roman"/>
                <w:color w:val="000000"/>
                <w:sz w:val="22"/>
                <w:lang w:val="bg-BG"/>
              </w:rPr>
              <w:t>6,</w:t>
            </w:r>
            <w:r w:rsidRPr="00FE6AC6">
              <w:rPr>
                <w:rFonts w:ascii="Times New Roman" w:hAnsi="Times New Roman"/>
                <w:color w:val="000000"/>
                <w:sz w:val="22"/>
              </w:rPr>
              <w:t> </w:t>
            </w:r>
            <w:r w:rsidRPr="00FE6AC6">
              <w:rPr>
                <w:rFonts w:ascii="Times New Roman" w:hAnsi="Times New Roman"/>
                <w:color w:val="000000"/>
                <w:sz w:val="22"/>
                <w:lang w:val="bg-BG"/>
              </w:rPr>
              <w:t>13,</w:t>
            </w:r>
            <w:r w:rsidRPr="00FE6AC6">
              <w:rPr>
                <w:rFonts w:ascii="Times New Roman" w:hAnsi="Times New Roman"/>
                <w:color w:val="000000"/>
                <w:sz w:val="22"/>
              </w:rPr>
              <w:t> </w:t>
            </w:r>
            <w:r w:rsidRPr="00FE6AC6">
              <w:rPr>
                <w:rFonts w:ascii="Times New Roman" w:hAnsi="Times New Roman"/>
                <w:color w:val="000000"/>
                <w:sz w:val="22"/>
                <w:lang w:val="bg-BG"/>
              </w:rPr>
              <w:t>20;</w:t>
            </w:r>
          </w:p>
          <w:p w14:paraId="3E54FE78" w14:textId="77777777" w:rsidR="001636FA" w:rsidRPr="00FE6AC6" w:rsidRDefault="00070147"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Д</w:t>
            </w:r>
            <w:r w:rsidR="001636FA" w:rsidRPr="00FE6AC6">
              <w:rPr>
                <w:rFonts w:ascii="Times New Roman" w:hAnsi="Times New Roman"/>
                <w:color w:val="000000"/>
                <w:sz w:val="22"/>
                <w:lang w:val="bg-BG"/>
              </w:rPr>
              <w:t>аунорубицин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45</w:t>
            </w:r>
            <w:r w:rsidR="001636FA" w:rsidRPr="00FE6AC6">
              <w:rPr>
                <w:rFonts w:ascii="Times New Roman" w:hAnsi="Times New Roman"/>
                <w:color w:val="000000"/>
                <w:sz w:val="22"/>
              </w:rPr>
              <w:t> mg</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bg-BG"/>
              </w:rPr>
              <w:t>2</w:t>
            </w:r>
            <w:r w:rsidR="001636FA" w:rsidRPr="00FE6AC6">
              <w:rPr>
                <w:rFonts w:ascii="Times New Roman" w:hAnsi="Times New Roman"/>
                <w:color w:val="000000"/>
                <w:sz w:val="22"/>
                <w:vertAlign w:val="superscript"/>
              </w:rPr>
              <w:t> </w:t>
            </w:r>
            <w:r w:rsidR="001636FA" w:rsidRPr="00FE6AC6">
              <w:rPr>
                <w:rFonts w:ascii="Times New Roman" w:hAnsi="Times New Roman"/>
                <w:color w:val="000000"/>
                <w:sz w:val="22"/>
              </w:rPr>
              <w:t>i</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v</w:t>
            </w:r>
            <w:r w:rsidR="001636FA" w:rsidRPr="00FE6AC6">
              <w:rPr>
                <w:rFonts w:ascii="Times New Roman" w:hAnsi="Times New Roman"/>
                <w:color w:val="000000"/>
                <w:sz w:val="22"/>
                <w:lang w:val="bg-BG"/>
              </w:rPr>
              <w:t>., дни</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6-7,</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13-14</w:t>
            </w:r>
          </w:p>
        </w:tc>
      </w:tr>
      <w:tr w:rsidR="001636FA" w:rsidRPr="004015AA" w14:paraId="3E54FE7E" w14:textId="77777777" w:rsidTr="00F40727">
        <w:trPr>
          <w:cantSplit/>
        </w:trPr>
        <w:tc>
          <w:tcPr>
            <w:tcW w:w="2148" w:type="dxa"/>
            <w:tcBorders>
              <w:top w:val="single" w:sz="4" w:space="0" w:color="auto"/>
              <w:bottom w:val="single" w:sz="4" w:space="0" w:color="auto"/>
            </w:tcBorders>
          </w:tcPr>
          <w:p w14:paraId="3E54FE7A"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Индукционна терапия</w:t>
            </w:r>
            <w:r w:rsidRPr="00FE6AC6">
              <w:rPr>
                <w:rFonts w:ascii="Times New Roman" w:hAnsi="Times New Roman"/>
                <w:color w:val="000000"/>
                <w:sz w:val="22"/>
              </w:rPr>
              <w:t xml:space="preserve"> II</w:t>
            </w:r>
          </w:p>
        </w:tc>
        <w:tc>
          <w:tcPr>
            <w:tcW w:w="6732" w:type="dxa"/>
            <w:gridSpan w:val="4"/>
            <w:tcBorders>
              <w:top w:val="single" w:sz="4" w:space="0" w:color="auto"/>
              <w:bottom w:val="single" w:sz="4" w:space="0" w:color="auto"/>
            </w:tcBorders>
          </w:tcPr>
          <w:p w14:paraId="3E54FE7B" w14:textId="77777777" w:rsidR="00070147"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CP 1 g/m</w:t>
            </w:r>
            <w:r w:rsidRPr="00FE6AC6">
              <w:rPr>
                <w:rFonts w:ascii="Times New Roman" w:hAnsi="Times New Roman"/>
                <w:color w:val="000000"/>
                <w:sz w:val="22"/>
                <w:vertAlign w:val="superscript"/>
              </w:rPr>
              <w:t>2 </w:t>
            </w:r>
            <w:r w:rsidRPr="00FE6AC6">
              <w:rPr>
                <w:rFonts w:ascii="Times New Roman" w:hAnsi="Times New Roman"/>
                <w:color w:val="000000"/>
                <w:sz w:val="22"/>
              </w:rPr>
              <w:t>i.v. (1 </w:t>
            </w:r>
            <w:r w:rsidRPr="00FE6AC6">
              <w:rPr>
                <w:rFonts w:ascii="Times New Roman" w:hAnsi="Times New Roman"/>
                <w:color w:val="000000"/>
                <w:sz w:val="22"/>
                <w:lang w:val="bg-BG"/>
              </w:rPr>
              <w:t>час)</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26, 46;</w:t>
            </w:r>
          </w:p>
          <w:p w14:paraId="3E54FE7C" w14:textId="77777777" w:rsidR="00070147"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Ara</w:t>
            </w:r>
            <w:r w:rsidRPr="00FE6AC6">
              <w:rPr>
                <w:rFonts w:ascii="Times New Roman" w:hAnsi="Times New Roman"/>
                <w:color w:val="000000"/>
                <w:sz w:val="22"/>
                <w:lang w:val="bg-BG"/>
              </w:rPr>
              <w:t>-</w:t>
            </w:r>
            <w:r w:rsidRPr="00FE6AC6">
              <w:rPr>
                <w:rFonts w:ascii="Times New Roman" w:hAnsi="Times New Roman"/>
                <w:color w:val="000000"/>
                <w:sz w:val="22"/>
              </w:rPr>
              <w:t>C </w:t>
            </w:r>
            <w:r w:rsidRPr="00FE6AC6">
              <w:rPr>
                <w:rFonts w:ascii="Times New Roman" w:hAnsi="Times New Roman"/>
                <w:color w:val="000000"/>
                <w:sz w:val="22"/>
                <w:lang w:val="bg-BG"/>
              </w:rPr>
              <w:t>75</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(1</w:t>
            </w:r>
            <w:r w:rsidRPr="00FE6AC6">
              <w:rPr>
                <w:rFonts w:ascii="Times New Roman" w:hAnsi="Times New Roman"/>
                <w:color w:val="000000"/>
                <w:sz w:val="22"/>
              </w:rPr>
              <w:t> </w:t>
            </w:r>
            <w:r w:rsidRPr="00FE6AC6">
              <w:rPr>
                <w:rFonts w:ascii="Times New Roman" w:hAnsi="Times New Roman"/>
                <w:color w:val="000000"/>
                <w:sz w:val="22"/>
                <w:lang w:val="bg-BG"/>
              </w:rPr>
              <w:t>час), дни</w:t>
            </w:r>
            <w:r w:rsidRPr="00FE6AC6">
              <w:rPr>
                <w:rFonts w:ascii="Times New Roman" w:hAnsi="Times New Roman"/>
                <w:color w:val="000000"/>
                <w:sz w:val="22"/>
              </w:rPr>
              <w:t> </w:t>
            </w:r>
            <w:r w:rsidRPr="00FE6AC6">
              <w:rPr>
                <w:rFonts w:ascii="Times New Roman" w:hAnsi="Times New Roman"/>
                <w:color w:val="000000"/>
                <w:sz w:val="22"/>
                <w:lang w:val="bg-BG"/>
              </w:rPr>
              <w:t>28-31,</w:t>
            </w:r>
            <w:r w:rsidRPr="00FE6AC6">
              <w:rPr>
                <w:rFonts w:ascii="Times New Roman" w:hAnsi="Times New Roman"/>
                <w:color w:val="000000"/>
                <w:sz w:val="22"/>
              </w:rPr>
              <w:t> </w:t>
            </w:r>
            <w:r w:rsidRPr="00FE6AC6">
              <w:rPr>
                <w:rFonts w:ascii="Times New Roman" w:hAnsi="Times New Roman"/>
                <w:color w:val="000000"/>
                <w:sz w:val="22"/>
                <w:lang w:val="bg-BG"/>
              </w:rPr>
              <w:t>35-38,</w:t>
            </w:r>
            <w:r w:rsidRPr="00FE6AC6">
              <w:rPr>
                <w:rFonts w:ascii="Times New Roman" w:hAnsi="Times New Roman"/>
                <w:color w:val="000000"/>
                <w:sz w:val="22"/>
              </w:rPr>
              <w:t> </w:t>
            </w:r>
            <w:r w:rsidRPr="00FE6AC6">
              <w:rPr>
                <w:rFonts w:ascii="Times New Roman" w:hAnsi="Times New Roman"/>
                <w:color w:val="000000"/>
                <w:sz w:val="22"/>
                <w:lang w:val="bg-BG"/>
              </w:rPr>
              <w:t>42-45;</w:t>
            </w:r>
          </w:p>
          <w:p w14:paraId="3E54FE7D"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6-</w:t>
            </w:r>
            <w:r w:rsidRPr="00FE6AC6">
              <w:rPr>
                <w:rFonts w:ascii="Times New Roman" w:hAnsi="Times New Roman"/>
                <w:color w:val="000000"/>
                <w:sz w:val="22"/>
              </w:rPr>
              <w:t>MP </w:t>
            </w:r>
            <w:r w:rsidRPr="00FE6AC6">
              <w:rPr>
                <w:rFonts w:ascii="Times New Roman" w:hAnsi="Times New Roman"/>
                <w:color w:val="000000"/>
                <w:sz w:val="22"/>
                <w:lang w:val="bg-BG"/>
              </w:rPr>
              <w:t>60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lang w:val="bg-BG"/>
              </w:rPr>
              <w:t>перорално, дни</w:t>
            </w:r>
            <w:r w:rsidRPr="00FE6AC6">
              <w:rPr>
                <w:rFonts w:ascii="Times New Roman" w:hAnsi="Times New Roman"/>
                <w:color w:val="000000"/>
                <w:sz w:val="22"/>
              </w:rPr>
              <w:t> </w:t>
            </w:r>
            <w:r w:rsidRPr="00FE6AC6">
              <w:rPr>
                <w:rFonts w:ascii="Times New Roman" w:hAnsi="Times New Roman"/>
                <w:color w:val="000000"/>
                <w:sz w:val="22"/>
                <w:lang w:val="bg-BG"/>
              </w:rPr>
              <w:t>26-46</w:t>
            </w:r>
          </w:p>
        </w:tc>
      </w:tr>
      <w:tr w:rsidR="001636FA" w:rsidRPr="004015AA" w14:paraId="3E54FE85" w14:textId="77777777" w:rsidTr="00F40727">
        <w:trPr>
          <w:cantSplit/>
        </w:trPr>
        <w:tc>
          <w:tcPr>
            <w:tcW w:w="2148" w:type="dxa"/>
            <w:tcBorders>
              <w:top w:val="nil"/>
              <w:bottom w:val="single" w:sz="4" w:space="0" w:color="auto"/>
            </w:tcBorders>
          </w:tcPr>
          <w:p w14:paraId="3E54FE7F" w14:textId="77777777" w:rsidR="001636FA" w:rsidRPr="00FE6AC6" w:rsidRDefault="001636FA" w:rsidP="008143B1">
            <w:pPr>
              <w:pStyle w:val="Table"/>
              <w:keepNext w:val="0"/>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Консолидационна терапия</w:t>
            </w:r>
          </w:p>
        </w:tc>
        <w:tc>
          <w:tcPr>
            <w:tcW w:w="6732" w:type="dxa"/>
            <w:gridSpan w:val="4"/>
            <w:tcBorders>
              <w:top w:val="nil"/>
              <w:bottom w:val="single" w:sz="4" w:space="0" w:color="auto"/>
            </w:tcBorders>
          </w:tcPr>
          <w:p w14:paraId="3E54FE80" w14:textId="77777777" w:rsidR="00070147" w:rsidRPr="00FE6AC6" w:rsidRDefault="001636FA"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 xml:space="preserve">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4FE81" w14:textId="77777777" w:rsidR="00070147" w:rsidRPr="00FE6AC6" w:rsidRDefault="00070147"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В</w:t>
            </w:r>
            <w:r w:rsidR="001636FA" w:rsidRPr="00FE6AC6">
              <w:rPr>
                <w:rFonts w:ascii="Times New Roman" w:hAnsi="Times New Roman"/>
                <w:color w:val="000000"/>
                <w:sz w:val="22"/>
                <w:lang w:val="bg-BG"/>
              </w:rPr>
              <w:t>индезин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3</w:t>
            </w:r>
            <w:r w:rsidR="001636FA" w:rsidRPr="00FE6AC6">
              <w:rPr>
                <w:rFonts w:ascii="Times New Roman" w:hAnsi="Times New Roman"/>
                <w:color w:val="000000"/>
                <w:sz w:val="22"/>
              </w:rPr>
              <w:t> mg</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bg-BG"/>
              </w:rPr>
              <w:t>2</w:t>
            </w:r>
            <w:r w:rsidR="001636FA" w:rsidRPr="00FE6AC6">
              <w:rPr>
                <w:rFonts w:ascii="Times New Roman" w:hAnsi="Times New Roman"/>
                <w:color w:val="000000"/>
                <w:sz w:val="22"/>
                <w:vertAlign w:val="superscript"/>
              </w:rPr>
              <w:t> </w:t>
            </w:r>
            <w:r w:rsidR="001636FA" w:rsidRPr="00FE6AC6">
              <w:rPr>
                <w:rFonts w:ascii="Times New Roman" w:hAnsi="Times New Roman"/>
                <w:color w:val="000000"/>
                <w:sz w:val="22"/>
              </w:rPr>
              <w:t>i</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v</w:t>
            </w:r>
            <w:r w:rsidR="001636FA" w:rsidRPr="00FE6AC6">
              <w:rPr>
                <w:rFonts w:ascii="Times New Roman" w:hAnsi="Times New Roman"/>
                <w:color w:val="000000"/>
                <w:sz w:val="22"/>
                <w:lang w:val="bg-BG"/>
              </w:rPr>
              <w:t>., ден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1;</w:t>
            </w:r>
          </w:p>
          <w:p w14:paraId="3E54FE82" w14:textId="77777777" w:rsidR="00070147" w:rsidRPr="00FE6AC6" w:rsidRDefault="001636FA"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MTX </w:t>
            </w:r>
            <w:r w:rsidRPr="00FE6AC6">
              <w:rPr>
                <w:rFonts w:ascii="Times New Roman" w:hAnsi="Times New Roman"/>
                <w:color w:val="000000"/>
                <w:sz w:val="22"/>
                <w:lang w:val="bg-BG"/>
              </w:rPr>
              <w:t>1,5</w:t>
            </w:r>
            <w:r w:rsidRPr="00FE6AC6">
              <w:rPr>
                <w:rFonts w:ascii="Times New Roman" w:hAnsi="Times New Roman"/>
                <w:color w:val="000000"/>
                <w:sz w:val="22"/>
              </w:rPr>
              <w:t> 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(24</w:t>
            </w:r>
            <w:r w:rsidRPr="00FE6AC6">
              <w:rPr>
                <w:rFonts w:ascii="Times New Roman" w:hAnsi="Times New Roman"/>
                <w:color w:val="000000"/>
                <w:sz w:val="22"/>
              </w:rPr>
              <w:t> </w:t>
            </w:r>
            <w:r w:rsidRPr="00FE6AC6">
              <w:rPr>
                <w:rFonts w:ascii="Times New Roman" w:hAnsi="Times New Roman"/>
                <w:color w:val="000000"/>
                <w:sz w:val="22"/>
                <w:lang w:val="bg-BG"/>
              </w:rPr>
              <w:t>часа), ден</w:t>
            </w:r>
            <w:r w:rsidRPr="00FE6AC6">
              <w:rPr>
                <w:rFonts w:ascii="Times New Roman" w:hAnsi="Times New Roman"/>
                <w:color w:val="000000"/>
                <w:sz w:val="22"/>
              </w:rPr>
              <w:t> </w:t>
            </w:r>
            <w:r w:rsidRPr="00FE6AC6">
              <w:rPr>
                <w:rFonts w:ascii="Times New Roman" w:hAnsi="Times New Roman"/>
                <w:color w:val="000000"/>
                <w:sz w:val="22"/>
                <w:lang w:val="bg-BG"/>
              </w:rPr>
              <w:t>1;</w:t>
            </w:r>
          </w:p>
          <w:p w14:paraId="3E54FE83" w14:textId="77777777" w:rsidR="00070147" w:rsidRPr="00FE6AC6" w:rsidRDefault="00070147"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Е</w:t>
            </w:r>
            <w:r w:rsidR="001636FA" w:rsidRPr="00FE6AC6">
              <w:rPr>
                <w:rFonts w:ascii="Times New Roman" w:hAnsi="Times New Roman"/>
                <w:color w:val="000000"/>
                <w:sz w:val="22"/>
                <w:lang w:val="bg-BG"/>
              </w:rPr>
              <w:t>топозид</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250</w:t>
            </w:r>
            <w:r w:rsidR="001636FA" w:rsidRPr="00FE6AC6">
              <w:rPr>
                <w:rFonts w:ascii="Times New Roman" w:hAnsi="Times New Roman"/>
                <w:color w:val="000000"/>
                <w:sz w:val="22"/>
              </w:rPr>
              <w:t> mg</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bg-BG"/>
              </w:rPr>
              <w:t>2</w:t>
            </w:r>
            <w:r w:rsidR="001636FA" w:rsidRPr="00FE6AC6">
              <w:rPr>
                <w:rFonts w:ascii="Times New Roman" w:hAnsi="Times New Roman"/>
                <w:color w:val="000000"/>
                <w:sz w:val="22"/>
                <w:vertAlign w:val="superscript"/>
              </w:rPr>
              <w:t> </w:t>
            </w:r>
            <w:r w:rsidR="001636FA" w:rsidRPr="00FE6AC6">
              <w:rPr>
                <w:rFonts w:ascii="Times New Roman" w:hAnsi="Times New Roman"/>
                <w:color w:val="000000"/>
                <w:sz w:val="22"/>
              </w:rPr>
              <w:t>i</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v</w:t>
            </w:r>
            <w:r w:rsidR="001636FA" w:rsidRPr="00FE6AC6">
              <w:rPr>
                <w:rFonts w:ascii="Times New Roman" w:hAnsi="Times New Roman"/>
                <w:color w:val="000000"/>
                <w:sz w:val="22"/>
                <w:lang w:val="bg-BG"/>
              </w:rPr>
              <w:t>. (1</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час) дни</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4-5;</w:t>
            </w:r>
          </w:p>
          <w:p w14:paraId="3E54FE84" w14:textId="77777777" w:rsidR="001636FA" w:rsidRPr="00FE6AC6" w:rsidRDefault="001636FA"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Ara</w:t>
            </w:r>
            <w:r w:rsidRPr="00FE6AC6">
              <w:rPr>
                <w:rFonts w:ascii="Times New Roman" w:hAnsi="Times New Roman"/>
                <w:color w:val="000000"/>
                <w:sz w:val="22"/>
                <w:lang w:val="bg-BG"/>
              </w:rPr>
              <w:t>-</w:t>
            </w:r>
            <w:r w:rsidRPr="00FE6AC6">
              <w:rPr>
                <w:rFonts w:ascii="Times New Roman" w:hAnsi="Times New Roman"/>
                <w:color w:val="000000"/>
                <w:sz w:val="22"/>
              </w:rPr>
              <w:t>C </w:t>
            </w:r>
            <w:r w:rsidRPr="00FE6AC6">
              <w:rPr>
                <w:rFonts w:ascii="Times New Roman" w:hAnsi="Times New Roman"/>
                <w:color w:val="000000"/>
                <w:sz w:val="22"/>
                <w:lang w:val="bg-BG"/>
              </w:rPr>
              <w:t>2</w:t>
            </w:r>
            <w:r w:rsidRPr="00FE6AC6">
              <w:rPr>
                <w:rFonts w:ascii="Times New Roman" w:hAnsi="Times New Roman"/>
                <w:color w:val="000000"/>
                <w:sz w:val="22"/>
              </w:rPr>
              <w:t>x </w:t>
            </w:r>
            <w:r w:rsidRPr="00FE6AC6">
              <w:rPr>
                <w:rFonts w:ascii="Times New Roman" w:hAnsi="Times New Roman"/>
                <w:color w:val="000000"/>
                <w:sz w:val="22"/>
                <w:lang w:val="bg-BG"/>
              </w:rPr>
              <w:t>2</w:t>
            </w:r>
            <w:r w:rsidRPr="00FE6AC6">
              <w:rPr>
                <w:rFonts w:ascii="Times New Roman" w:hAnsi="Times New Roman"/>
                <w:color w:val="000000"/>
                <w:sz w:val="22"/>
              </w:rPr>
              <w:t> 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(3</w:t>
            </w:r>
            <w:r w:rsidRPr="00FE6AC6">
              <w:rPr>
                <w:rFonts w:ascii="Times New Roman" w:hAnsi="Times New Roman"/>
                <w:color w:val="000000"/>
                <w:sz w:val="22"/>
              </w:rPr>
              <w:t> </w:t>
            </w:r>
            <w:r w:rsidRPr="00FE6AC6">
              <w:rPr>
                <w:rFonts w:ascii="Times New Roman" w:hAnsi="Times New Roman"/>
                <w:color w:val="000000"/>
                <w:sz w:val="22"/>
                <w:lang w:val="bg-BG"/>
              </w:rPr>
              <w:t xml:space="preserve">часа, </w:t>
            </w:r>
            <w:r w:rsidRPr="00FE6AC6">
              <w:rPr>
                <w:rFonts w:ascii="Times New Roman" w:hAnsi="Times New Roman"/>
                <w:color w:val="000000"/>
                <w:sz w:val="22"/>
              </w:rPr>
              <w:t>q </w:t>
            </w:r>
            <w:r w:rsidRPr="00FE6AC6">
              <w:rPr>
                <w:rFonts w:ascii="Times New Roman" w:hAnsi="Times New Roman"/>
                <w:color w:val="000000"/>
                <w:sz w:val="22"/>
                <w:lang w:val="bg-BG"/>
              </w:rPr>
              <w:t>12</w:t>
            </w:r>
            <w:r w:rsidRPr="00FE6AC6">
              <w:rPr>
                <w:rFonts w:ascii="Times New Roman" w:hAnsi="Times New Roman"/>
                <w:color w:val="000000"/>
                <w:sz w:val="22"/>
              </w:rPr>
              <w:t> </w:t>
            </w:r>
            <w:r w:rsidRPr="00FE6AC6">
              <w:rPr>
                <w:rFonts w:ascii="Times New Roman" w:hAnsi="Times New Roman"/>
                <w:color w:val="000000"/>
                <w:sz w:val="22"/>
                <w:lang w:val="bg-BG"/>
              </w:rPr>
              <w:t>часа), ден</w:t>
            </w:r>
            <w:r w:rsidRPr="00FE6AC6">
              <w:rPr>
                <w:rFonts w:ascii="Times New Roman" w:hAnsi="Times New Roman"/>
                <w:color w:val="000000"/>
                <w:sz w:val="22"/>
              </w:rPr>
              <w:t> </w:t>
            </w:r>
            <w:r w:rsidRPr="00FE6AC6">
              <w:rPr>
                <w:rFonts w:ascii="Times New Roman" w:hAnsi="Times New Roman"/>
                <w:color w:val="000000"/>
                <w:sz w:val="22"/>
                <w:lang w:val="bg-BG"/>
              </w:rPr>
              <w:t>5</w:t>
            </w:r>
          </w:p>
        </w:tc>
      </w:tr>
      <w:tr w:rsidR="001636FA" w:rsidRPr="00FE6AC6" w14:paraId="3E54FE8B" w14:textId="77777777" w:rsidTr="00F40727">
        <w:trPr>
          <w:cantSplit/>
        </w:trPr>
        <w:tc>
          <w:tcPr>
            <w:tcW w:w="2148" w:type="dxa"/>
            <w:tcBorders>
              <w:top w:val="nil"/>
              <w:bottom w:val="single" w:sz="4" w:space="0" w:color="auto"/>
            </w:tcBorders>
          </w:tcPr>
          <w:p w14:paraId="3E54FE86" w14:textId="77777777" w:rsidR="001636FA" w:rsidRPr="00FE6AC6" w:rsidRDefault="001636FA" w:rsidP="008143B1">
            <w:pPr>
              <w:pStyle w:val="Table"/>
              <w:keepLines w:val="0"/>
              <w:widowControl w:val="0"/>
              <w:spacing w:before="0" w:after="0"/>
              <w:rPr>
                <w:rFonts w:ascii="Times New Roman" w:hAnsi="Times New Roman"/>
                <w:b/>
                <w:color w:val="000000"/>
                <w:sz w:val="22"/>
              </w:rPr>
            </w:pPr>
            <w:r w:rsidRPr="00FE6AC6">
              <w:rPr>
                <w:rFonts w:ascii="Times New Roman" w:hAnsi="Times New Roman"/>
                <w:b/>
                <w:color w:val="000000"/>
                <w:sz w:val="22"/>
                <w:lang w:val="bg-BG"/>
              </w:rPr>
              <w:t>Проучване</w:t>
            </w:r>
            <w:r w:rsidRPr="00FE6AC6">
              <w:rPr>
                <w:rFonts w:ascii="Times New Roman" w:hAnsi="Times New Roman"/>
                <w:b/>
                <w:color w:val="000000"/>
                <w:sz w:val="22"/>
              </w:rPr>
              <w:t xml:space="preserve"> AJP01</w:t>
            </w:r>
          </w:p>
        </w:tc>
        <w:tc>
          <w:tcPr>
            <w:tcW w:w="2652" w:type="dxa"/>
            <w:tcBorders>
              <w:top w:val="nil"/>
              <w:bottom w:val="single" w:sz="4" w:space="0" w:color="auto"/>
            </w:tcBorders>
          </w:tcPr>
          <w:p w14:paraId="3E54FE87" w14:textId="77777777" w:rsidR="001636FA" w:rsidRPr="00FE6AC6" w:rsidRDefault="001636FA" w:rsidP="008143B1">
            <w:pPr>
              <w:pStyle w:val="Table"/>
              <w:keepLines w:val="0"/>
              <w:widowControl w:val="0"/>
              <w:spacing w:before="0" w:after="0"/>
              <w:rPr>
                <w:rFonts w:ascii="Times New Roman" w:hAnsi="Times New Roman"/>
                <w:color w:val="000000"/>
                <w:sz w:val="22"/>
              </w:rPr>
            </w:pPr>
          </w:p>
        </w:tc>
        <w:tc>
          <w:tcPr>
            <w:tcW w:w="1080" w:type="dxa"/>
            <w:tcBorders>
              <w:top w:val="nil"/>
              <w:bottom w:val="single" w:sz="4" w:space="0" w:color="auto"/>
            </w:tcBorders>
          </w:tcPr>
          <w:p w14:paraId="3E54FE88" w14:textId="77777777" w:rsidR="001636FA" w:rsidRPr="00FE6AC6" w:rsidRDefault="001636FA" w:rsidP="008143B1">
            <w:pPr>
              <w:pStyle w:val="Table"/>
              <w:keepLines w:val="0"/>
              <w:widowControl w:val="0"/>
              <w:spacing w:before="0" w:after="0"/>
              <w:rPr>
                <w:rFonts w:ascii="Times New Roman" w:hAnsi="Times New Roman"/>
                <w:color w:val="000000"/>
                <w:sz w:val="22"/>
              </w:rPr>
            </w:pPr>
          </w:p>
        </w:tc>
        <w:tc>
          <w:tcPr>
            <w:tcW w:w="1380" w:type="dxa"/>
            <w:tcBorders>
              <w:top w:val="nil"/>
              <w:bottom w:val="single" w:sz="4" w:space="0" w:color="auto"/>
            </w:tcBorders>
          </w:tcPr>
          <w:p w14:paraId="3E54FE89" w14:textId="77777777" w:rsidR="001636FA" w:rsidRPr="00FE6AC6" w:rsidRDefault="001636FA" w:rsidP="008143B1">
            <w:pPr>
              <w:pStyle w:val="Table"/>
              <w:keepLines w:val="0"/>
              <w:widowControl w:val="0"/>
              <w:spacing w:before="0" w:after="0"/>
              <w:rPr>
                <w:rFonts w:ascii="Times New Roman" w:hAnsi="Times New Roman"/>
                <w:color w:val="000000"/>
                <w:sz w:val="22"/>
              </w:rPr>
            </w:pPr>
          </w:p>
        </w:tc>
        <w:tc>
          <w:tcPr>
            <w:tcW w:w="1620" w:type="dxa"/>
            <w:tcBorders>
              <w:top w:val="nil"/>
              <w:bottom w:val="single" w:sz="4" w:space="0" w:color="auto"/>
            </w:tcBorders>
          </w:tcPr>
          <w:p w14:paraId="3E54FE8A" w14:textId="77777777" w:rsidR="001636FA" w:rsidRPr="00FE6AC6" w:rsidRDefault="001636FA" w:rsidP="008143B1">
            <w:pPr>
              <w:pStyle w:val="Table"/>
              <w:keepLines w:val="0"/>
              <w:widowControl w:val="0"/>
              <w:spacing w:before="0" w:after="0"/>
              <w:rPr>
                <w:rFonts w:ascii="Times New Roman" w:hAnsi="Times New Roman"/>
                <w:color w:val="000000"/>
                <w:sz w:val="22"/>
              </w:rPr>
            </w:pPr>
          </w:p>
        </w:tc>
      </w:tr>
      <w:tr w:rsidR="001636FA" w:rsidRPr="004015AA" w14:paraId="3E54FE91" w14:textId="77777777" w:rsidTr="00F40727">
        <w:trPr>
          <w:cantSplit/>
        </w:trPr>
        <w:tc>
          <w:tcPr>
            <w:tcW w:w="2148" w:type="dxa"/>
            <w:tcBorders>
              <w:top w:val="nil"/>
              <w:bottom w:val="single" w:sz="4" w:space="0" w:color="auto"/>
            </w:tcBorders>
          </w:tcPr>
          <w:p w14:paraId="3E54FE8C" w14:textId="77777777" w:rsidR="001636FA" w:rsidRPr="00FE6AC6" w:rsidRDefault="001636FA" w:rsidP="008143B1">
            <w:pPr>
              <w:pStyle w:val="Table"/>
              <w:keepLines w:val="0"/>
              <w:widowControl w:val="0"/>
              <w:spacing w:before="0" w:after="0"/>
              <w:jc w:val="both"/>
              <w:rPr>
                <w:rFonts w:ascii="Times New Roman" w:hAnsi="Times New Roman"/>
                <w:color w:val="000000"/>
                <w:sz w:val="22"/>
              </w:rPr>
            </w:pPr>
            <w:r w:rsidRPr="00FE6AC6">
              <w:rPr>
                <w:rFonts w:ascii="Times New Roman" w:hAnsi="Times New Roman"/>
                <w:color w:val="000000"/>
                <w:sz w:val="22"/>
                <w:lang w:val="bg-BG"/>
              </w:rPr>
              <w:t>Индукционна терапия</w:t>
            </w:r>
          </w:p>
        </w:tc>
        <w:tc>
          <w:tcPr>
            <w:tcW w:w="6732" w:type="dxa"/>
            <w:gridSpan w:val="4"/>
            <w:tcBorders>
              <w:top w:val="nil"/>
              <w:bottom w:val="single" w:sz="4" w:space="0" w:color="auto"/>
            </w:tcBorders>
          </w:tcPr>
          <w:p w14:paraId="3E54FE8D" w14:textId="77777777" w:rsidR="00070147"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CP 1</w:t>
            </w:r>
            <w:r w:rsidRPr="00FE6AC6">
              <w:rPr>
                <w:rFonts w:ascii="Times New Roman" w:hAnsi="Times New Roman"/>
                <w:color w:val="000000"/>
                <w:sz w:val="22"/>
                <w:lang w:val="bg-BG"/>
              </w:rPr>
              <w:t>,</w:t>
            </w:r>
            <w:r w:rsidRPr="00FE6AC6">
              <w:rPr>
                <w:rFonts w:ascii="Times New Roman" w:hAnsi="Times New Roman"/>
                <w:color w:val="000000"/>
                <w:sz w:val="22"/>
              </w:rPr>
              <w:t>2 g/m</w:t>
            </w:r>
            <w:r w:rsidRPr="00FE6AC6">
              <w:rPr>
                <w:rFonts w:ascii="Times New Roman" w:hAnsi="Times New Roman"/>
                <w:color w:val="000000"/>
                <w:sz w:val="22"/>
                <w:vertAlign w:val="superscript"/>
              </w:rPr>
              <w:t>2 </w:t>
            </w:r>
            <w:r w:rsidRPr="00FE6AC6">
              <w:rPr>
                <w:rFonts w:ascii="Times New Roman" w:hAnsi="Times New Roman"/>
                <w:color w:val="000000"/>
                <w:sz w:val="22"/>
              </w:rPr>
              <w:t>i.v. (3 </w:t>
            </w:r>
            <w:r w:rsidRPr="00FE6AC6">
              <w:rPr>
                <w:rFonts w:ascii="Times New Roman" w:hAnsi="Times New Roman"/>
                <w:color w:val="000000"/>
                <w:sz w:val="22"/>
                <w:lang w:val="bg-BG"/>
              </w:rPr>
              <w:t>часа)</w:t>
            </w:r>
            <w:r w:rsidRPr="00FE6AC6">
              <w:rPr>
                <w:rFonts w:ascii="Times New Roman" w:hAnsi="Times New Roman"/>
                <w:color w:val="000000"/>
                <w:sz w:val="22"/>
              </w:rPr>
              <w:t xml:space="preserve">, </w:t>
            </w:r>
            <w:r w:rsidRPr="00FE6AC6">
              <w:rPr>
                <w:rFonts w:ascii="Times New Roman" w:hAnsi="Times New Roman"/>
                <w:color w:val="000000"/>
                <w:sz w:val="22"/>
                <w:lang w:val="bg-BG"/>
              </w:rPr>
              <w:t>ден</w:t>
            </w:r>
            <w:r w:rsidRPr="00FE6AC6">
              <w:rPr>
                <w:rFonts w:ascii="Times New Roman" w:hAnsi="Times New Roman"/>
                <w:color w:val="000000"/>
                <w:sz w:val="22"/>
              </w:rPr>
              <w:t> 1;</w:t>
            </w:r>
          </w:p>
          <w:p w14:paraId="3E54FE8E" w14:textId="77777777" w:rsidR="00070147" w:rsidRPr="00FE6AC6" w:rsidRDefault="00070147"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Д</w:t>
            </w:r>
            <w:r w:rsidR="001636FA" w:rsidRPr="00FE6AC6">
              <w:rPr>
                <w:rFonts w:ascii="Times New Roman" w:hAnsi="Times New Roman"/>
                <w:color w:val="000000"/>
                <w:sz w:val="22"/>
                <w:lang w:val="bg-BG"/>
              </w:rPr>
              <w:t>аунорубицин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60</w:t>
            </w:r>
            <w:r w:rsidR="001636FA" w:rsidRPr="00FE6AC6">
              <w:rPr>
                <w:rFonts w:ascii="Times New Roman" w:hAnsi="Times New Roman"/>
                <w:color w:val="000000"/>
                <w:sz w:val="22"/>
              </w:rPr>
              <w:t> mg</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bg-BG"/>
              </w:rPr>
              <w:t>2</w:t>
            </w:r>
            <w:r w:rsidR="001636FA" w:rsidRPr="00FE6AC6">
              <w:rPr>
                <w:rFonts w:ascii="Times New Roman" w:hAnsi="Times New Roman"/>
                <w:color w:val="000000"/>
                <w:sz w:val="22"/>
                <w:vertAlign w:val="superscript"/>
              </w:rPr>
              <w:t> </w:t>
            </w:r>
            <w:r w:rsidR="001636FA" w:rsidRPr="00FE6AC6">
              <w:rPr>
                <w:rFonts w:ascii="Times New Roman" w:hAnsi="Times New Roman"/>
                <w:color w:val="000000"/>
                <w:sz w:val="22"/>
              </w:rPr>
              <w:t>i</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v</w:t>
            </w:r>
            <w:r w:rsidR="001636FA" w:rsidRPr="00FE6AC6">
              <w:rPr>
                <w:rFonts w:ascii="Times New Roman" w:hAnsi="Times New Roman"/>
                <w:color w:val="000000"/>
                <w:sz w:val="22"/>
                <w:lang w:val="bg-BG"/>
              </w:rPr>
              <w:t>. (1</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час), дни</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1-3;</w:t>
            </w:r>
          </w:p>
          <w:p w14:paraId="3E54FE8F" w14:textId="77777777" w:rsidR="00070147" w:rsidRPr="00FE6AC6" w:rsidRDefault="00070147"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В</w:t>
            </w:r>
            <w:r w:rsidR="001636FA" w:rsidRPr="00FE6AC6">
              <w:rPr>
                <w:rFonts w:ascii="Times New Roman" w:hAnsi="Times New Roman"/>
                <w:color w:val="000000"/>
                <w:sz w:val="22"/>
                <w:lang w:val="bg-BG"/>
              </w:rPr>
              <w:t>инкристин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1,3</w:t>
            </w:r>
            <w:r w:rsidR="001636FA" w:rsidRPr="00FE6AC6">
              <w:rPr>
                <w:rFonts w:ascii="Times New Roman" w:hAnsi="Times New Roman"/>
                <w:color w:val="000000"/>
                <w:sz w:val="22"/>
              </w:rPr>
              <w:t> mg</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bg-BG"/>
              </w:rPr>
              <w:t>2</w:t>
            </w:r>
            <w:r w:rsidR="001636FA" w:rsidRPr="00FE6AC6">
              <w:rPr>
                <w:rFonts w:ascii="Times New Roman" w:hAnsi="Times New Roman"/>
                <w:color w:val="000000"/>
                <w:sz w:val="22"/>
                <w:vertAlign w:val="superscript"/>
              </w:rPr>
              <w:t> </w:t>
            </w:r>
            <w:r w:rsidR="001636FA" w:rsidRPr="00FE6AC6">
              <w:rPr>
                <w:rFonts w:ascii="Times New Roman" w:hAnsi="Times New Roman"/>
                <w:color w:val="000000"/>
                <w:sz w:val="22"/>
              </w:rPr>
              <w:t>i</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v</w:t>
            </w:r>
            <w:r w:rsidR="001636FA" w:rsidRPr="00FE6AC6">
              <w:rPr>
                <w:rFonts w:ascii="Times New Roman" w:hAnsi="Times New Roman"/>
                <w:color w:val="000000"/>
                <w:sz w:val="22"/>
                <w:lang w:val="bg-BG"/>
              </w:rPr>
              <w:t>., дни</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1,</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8,</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15,</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21;</w:t>
            </w:r>
          </w:p>
          <w:p w14:paraId="3E54FE90" w14:textId="77777777" w:rsidR="001636FA" w:rsidRPr="00FE6AC6" w:rsidRDefault="00070147"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П</w:t>
            </w:r>
            <w:r w:rsidR="001636FA" w:rsidRPr="00FE6AC6">
              <w:rPr>
                <w:rFonts w:ascii="Times New Roman" w:hAnsi="Times New Roman"/>
                <w:color w:val="000000"/>
                <w:sz w:val="22"/>
                <w:lang w:val="bg-BG"/>
              </w:rPr>
              <w:t>реднизолон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60</w:t>
            </w:r>
            <w:r w:rsidR="001636FA" w:rsidRPr="00FE6AC6">
              <w:rPr>
                <w:rFonts w:ascii="Times New Roman" w:hAnsi="Times New Roman"/>
                <w:color w:val="000000"/>
                <w:sz w:val="22"/>
              </w:rPr>
              <w:t> mg</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bg-BG"/>
              </w:rPr>
              <w:t>2</w:t>
            </w:r>
            <w:r w:rsidR="001636FA" w:rsidRPr="00FE6AC6">
              <w:rPr>
                <w:rFonts w:ascii="Times New Roman" w:hAnsi="Times New Roman"/>
                <w:color w:val="000000"/>
                <w:sz w:val="22"/>
                <w:lang w:val="bg-BG"/>
              </w:rPr>
              <w:t>/ден перорално</w:t>
            </w:r>
          </w:p>
        </w:tc>
      </w:tr>
      <w:tr w:rsidR="001636FA" w:rsidRPr="00FE6AC6" w14:paraId="3E54FE94" w14:textId="77777777" w:rsidTr="00F40727">
        <w:trPr>
          <w:cantSplit/>
        </w:trPr>
        <w:tc>
          <w:tcPr>
            <w:tcW w:w="2148" w:type="dxa"/>
            <w:tcBorders>
              <w:top w:val="single" w:sz="4" w:space="0" w:color="auto"/>
              <w:bottom w:val="single" w:sz="4" w:space="0" w:color="auto"/>
            </w:tcBorders>
          </w:tcPr>
          <w:p w14:paraId="3E54FE92" w14:textId="77777777" w:rsidR="001636FA" w:rsidRPr="00FE6AC6" w:rsidRDefault="001636FA" w:rsidP="008143B1">
            <w:pPr>
              <w:pStyle w:val="Table"/>
              <w:keepLines w:val="0"/>
              <w:widowControl w:val="0"/>
              <w:tabs>
                <w:tab w:val="left" w:pos="0"/>
              </w:tabs>
              <w:spacing w:before="0" w:after="0"/>
              <w:rPr>
                <w:rFonts w:ascii="Times New Roman" w:hAnsi="Times New Roman"/>
                <w:color w:val="000000"/>
                <w:sz w:val="22"/>
              </w:rPr>
            </w:pPr>
            <w:r w:rsidRPr="00FE6AC6">
              <w:rPr>
                <w:rFonts w:ascii="Times New Roman" w:hAnsi="Times New Roman"/>
                <w:color w:val="000000"/>
                <w:sz w:val="22"/>
                <w:lang w:val="bg-BG"/>
              </w:rPr>
              <w:t>Консолидационна терапия</w:t>
            </w:r>
          </w:p>
        </w:tc>
        <w:tc>
          <w:tcPr>
            <w:tcW w:w="6732" w:type="dxa"/>
            <w:gridSpan w:val="4"/>
            <w:tcBorders>
              <w:top w:val="single" w:sz="4" w:space="0" w:color="auto"/>
              <w:bottom w:val="single" w:sz="4" w:space="0" w:color="auto"/>
            </w:tcBorders>
          </w:tcPr>
          <w:p w14:paraId="3E54FE93" w14:textId="77777777" w:rsidR="001636FA" w:rsidRPr="00FE6AC6" w:rsidRDefault="001636FA" w:rsidP="008143B1">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Алтерниращ химиотерапевтичен курс</w:t>
            </w:r>
            <w:r w:rsidRPr="00FE6AC6">
              <w:rPr>
                <w:rFonts w:ascii="Times New Roman" w:hAnsi="Times New Roman"/>
                <w:color w:val="000000"/>
                <w:sz w:val="22"/>
              </w:rPr>
              <w:t>:</w:t>
            </w:r>
            <w:r w:rsidRPr="00FE6AC6">
              <w:rPr>
                <w:rFonts w:ascii="Times New Roman" w:hAnsi="Times New Roman"/>
                <w:color w:val="000000"/>
                <w:sz w:val="22"/>
                <w:lang w:val="bg-BG"/>
              </w:rPr>
              <w:t xml:space="preserve"> високо-дозова химиотерапия</w:t>
            </w:r>
            <w:r w:rsidRPr="00FE6AC6">
              <w:rPr>
                <w:rFonts w:ascii="Times New Roman" w:hAnsi="Times New Roman"/>
                <w:color w:val="000000"/>
                <w:sz w:val="22"/>
              </w:rPr>
              <w:t xml:space="preserve"> </w:t>
            </w:r>
            <w:r w:rsidRPr="00FE6AC6">
              <w:rPr>
                <w:rFonts w:ascii="Times New Roman" w:hAnsi="Times New Roman"/>
                <w:color w:val="000000"/>
                <w:sz w:val="22"/>
                <w:lang w:val="bg-BG"/>
              </w:rPr>
              <w:t xml:space="preserve">с </w:t>
            </w:r>
            <w:r w:rsidRPr="00FE6AC6">
              <w:rPr>
                <w:rFonts w:ascii="Times New Roman" w:hAnsi="Times New Roman"/>
                <w:color w:val="000000"/>
                <w:sz w:val="22"/>
              </w:rPr>
              <w:t>MTX 1 g/m</w:t>
            </w:r>
            <w:r w:rsidRPr="00FE6AC6">
              <w:rPr>
                <w:rFonts w:ascii="Times New Roman" w:hAnsi="Times New Roman"/>
                <w:color w:val="000000"/>
                <w:sz w:val="22"/>
                <w:vertAlign w:val="superscript"/>
              </w:rPr>
              <w:t>2 </w:t>
            </w:r>
            <w:r w:rsidRPr="00FE6AC6">
              <w:rPr>
                <w:rFonts w:ascii="Times New Roman" w:hAnsi="Times New Roman"/>
                <w:color w:val="000000"/>
                <w:sz w:val="22"/>
              </w:rPr>
              <w:t>i.v. (24 </w:t>
            </w:r>
            <w:r w:rsidRPr="00FE6AC6">
              <w:rPr>
                <w:rFonts w:ascii="Times New Roman" w:hAnsi="Times New Roman"/>
                <w:color w:val="000000"/>
                <w:sz w:val="22"/>
                <w:lang w:val="bg-BG"/>
              </w:rPr>
              <w:t>часа</w:t>
            </w:r>
            <w:r w:rsidRPr="00FE6AC6">
              <w:rPr>
                <w:rFonts w:ascii="Times New Roman" w:hAnsi="Times New Roman"/>
                <w:color w:val="000000"/>
                <w:sz w:val="22"/>
              </w:rPr>
              <w:t xml:space="preserve">), </w:t>
            </w:r>
            <w:r w:rsidRPr="00FE6AC6">
              <w:rPr>
                <w:rFonts w:ascii="Times New Roman" w:hAnsi="Times New Roman"/>
                <w:color w:val="000000"/>
                <w:sz w:val="22"/>
                <w:lang w:val="bg-BG"/>
              </w:rPr>
              <w:t>ден</w:t>
            </w:r>
            <w:r w:rsidRPr="00FE6AC6">
              <w:rPr>
                <w:rFonts w:ascii="Times New Roman" w:hAnsi="Times New Roman"/>
                <w:color w:val="000000"/>
                <w:sz w:val="22"/>
              </w:rPr>
              <w:t xml:space="preserve"> 1 </w:t>
            </w:r>
            <w:r w:rsidRPr="00FE6AC6">
              <w:rPr>
                <w:rFonts w:ascii="Times New Roman" w:hAnsi="Times New Roman"/>
                <w:color w:val="000000"/>
                <w:sz w:val="22"/>
                <w:lang w:val="bg-BG"/>
              </w:rPr>
              <w:t>и</w:t>
            </w:r>
            <w:r w:rsidRPr="00FE6AC6">
              <w:rPr>
                <w:rFonts w:ascii="Times New Roman" w:hAnsi="Times New Roman"/>
                <w:color w:val="000000"/>
                <w:sz w:val="22"/>
              </w:rPr>
              <w:t xml:space="preserve"> Ara-C 2 g/m</w:t>
            </w:r>
            <w:r w:rsidRPr="00FE6AC6">
              <w:rPr>
                <w:rFonts w:ascii="Times New Roman" w:hAnsi="Times New Roman"/>
                <w:color w:val="000000"/>
                <w:sz w:val="22"/>
                <w:vertAlign w:val="superscript"/>
              </w:rPr>
              <w:t>2 </w:t>
            </w:r>
            <w:r w:rsidRPr="00FE6AC6">
              <w:rPr>
                <w:rFonts w:ascii="Times New Roman" w:hAnsi="Times New Roman"/>
                <w:color w:val="000000"/>
                <w:sz w:val="22"/>
              </w:rPr>
              <w:t>i.v. (q 12 </w:t>
            </w:r>
            <w:r w:rsidRPr="00FE6AC6">
              <w:rPr>
                <w:rFonts w:ascii="Times New Roman" w:hAnsi="Times New Roman"/>
                <w:color w:val="000000"/>
                <w:sz w:val="22"/>
                <w:lang w:val="bg-BG"/>
              </w:rPr>
              <w:t>часа</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xml:space="preserve"> 2-3, </w:t>
            </w:r>
            <w:r w:rsidRPr="00FE6AC6">
              <w:rPr>
                <w:rFonts w:ascii="Times New Roman" w:hAnsi="Times New Roman"/>
                <w:color w:val="000000"/>
                <w:sz w:val="22"/>
                <w:lang w:val="bg-BG"/>
              </w:rPr>
              <w:t>за 4 цикъла</w:t>
            </w:r>
          </w:p>
        </w:tc>
      </w:tr>
      <w:tr w:rsidR="001636FA" w:rsidRPr="004015AA" w14:paraId="3E54FE98" w14:textId="77777777" w:rsidTr="00F40727">
        <w:trPr>
          <w:cantSplit/>
        </w:trPr>
        <w:tc>
          <w:tcPr>
            <w:tcW w:w="2148" w:type="dxa"/>
            <w:tcBorders>
              <w:top w:val="single" w:sz="4" w:space="0" w:color="auto"/>
              <w:bottom w:val="single" w:sz="4" w:space="0" w:color="auto"/>
            </w:tcBorders>
          </w:tcPr>
          <w:p w14:paraId="3E54FE95" w14:textId="77777777" w:rsidR="001636FA" w:rsidRPr="00FE6AC6" w:rsidRDefault="001636FA" w:rsidP="008143B1">
            <w:pPr>
              <w:pStyle w:val="Table"/>
              <w:keepNext w:val="0"/>
              <w:keepLines w:val="0"/>
              <w:widowControl w:val="0"/>
              <w:tabs>
                <w:tab w:val="left" w:pos="0"/>
              </w:tabs>
              <w:spacing w:before="0" w:after="0"/>
              <w:rPr>
                <w:rFonts w:ascii="Times New Roman" w:hAnsi="Times New Roman"/>
                <w:color w:val="000000"/>
                <w:sz w:val="22"/>
                <w:lang w:val="bg-BG"/>
              </w:rPr>
            </w:pPr>
            <w:r w:rsidRPr="00FE6AC6">
              <w:rPr>
                <w:rFonts w:ascii="Times New Roman" w:hAnsi="Times New Roman"/>
                <w:color w:val="000000"/>
                <w:sz w:val="22"/>
                <w:lang w:val="bg-BG"/>
              </w:rPr>
              <w:t>Поддържане</w:t>
            </w:r>
          </w:p>
        </w:tc>
        <w:tc>
          <w:tcPr>
            <w:tcW w:w="6732" w:type="dxa"/>
            <w:gridSpan w:val="4"/>
            <w:tcBorders>
              <w:top w:val="single" w:sz="4" w:space="0" w:color="auto"/>
              <w:bottom w:val="single" w:sz="4" w:space="0" w:color="auto"/>
            </w:tcBorders>
          </w:tcPr>
          <w:p w14:paraId="3E54FE96" w14:textId="77777777" w:rsidR="00070147" w:rsidRPr="00FE6AC6" w:rsidRDefault="001636FA"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VCR</w:t>
            </w:r>
            <w:r w:rsidRPr="00FE6AC6">
              <w:rPr>
                <w:rFonts w:ascii="Times New Roman" w:hAnsi="Times New Roman"/>
                <w:color w:val="000000"/>
                <w:sz w:val="22"/>
                <w:lang w:val="bg-BG"/>
              </w:rPr>
              <w:t> 1,3 </w:t>
            </w:r>
            <w:r w:rsidRPr="00FE6AC6">
              <w:rPr>
                <w:rFonts w:ascii="Times New Roman" w:hAnsi="Times New Roman"/>
                <w:color w:val="000000"/>
                <w:sz w:val="22"/>
              </w:rPr>
              <w:t>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ден</w:t>
            </w:r>
            <w:r w:rsidRPr="00FE6AC6">
              <w:rPr>
                <w:rFonts w:ascii="Times New Roman" w:hAnsi="Times New Roman"/>
                <w:color w:val="000000"/>
                <w:sz w:val="22"/>
              </w:rPr>
              <w:t> </w:t>
            </w:r>
            <w:r w:rsidRPr="00FE6AC6">
              <w:rPr>
                <w:rFonts w:ascii="Times New Roman" w:hAnsi="Times New Roman"/>
                <w:color w:val="000000"/>
                <w:sz w:val="22"/>
                <w:lang w:val="bg-BG"/>
              </w:rPr>
              <w:t>1;</w:t>
            </w:r>
          </w:p>
          <w:p w14:paraId="3E54FE97" w14:textId="77777777" w:rsidR="001636FA" w:rsidRPr="00FE6AC6" w:rsidRDefault="00070147"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П</w:t>
            </w:r>
            <w:r w:rsidR="001636FA" w:rsidRPr="00FE6AC6">
              <w:rPr>
                <w:rFonts w:ascii="Times New Roman" w:hAnsi="Times New Roman"/>
                <w:color w:val="000000"/>
                <w:sz w:val="22"/>
                <w:lang w:val="bg-BG"/>
              </w:rPr>
              <w:t>реднизолон 60 </w:t>
            </w:r>
            <w:r w:rsidR="001636FA" w:rsidRPr="00FE6AC6">
              <w:rPr>
                <w:rFonts w:ascii="Times New Roman" w:hAnsi="Times New Roman"/>
                <w:color w:val="000000"/>
                <w:sz w:val="22"/>
              </w:rPr>
              <w:t>mg</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bg-BG"/>
              </w:rPr>
              <w:t>2 </w:t>
            </w:r>
            <w:r w:rsidR="001636FA" w:rsidRPr="00FE6AC6">
              <w:rPr>
                <w:rFonts w:ascii="Times New Roman" w:hAnsi="Times New Roman"/>
                <w:color w:val="000000"/>
                <w:sz w:val="22"/>
                <w:lang w:val="bg-BG"/>
              </w:rPr>
              <w:t>перорално, дни</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1-5</w:t>
            </w:r>
          </w:p>
        </w:tc>
      </w:tr>
      <w:tr w:rsidR="001636FA" w:rsidRPr="00FE6AC6" w14:paraId="3E54FE9D" w14:textId="77777777" w:rsidTr="00F40727">
        <w:trPr>
          <w:cantSplit/>
        </w:trPr>
        <w:tc>
          <w:tcPr>
            <w:tcW w:w="4800" w:type="dxa"/>
            <w:gridSpan w:val="2"/>
            <w:tcBorders>
              <w:top w:val="single" w:sz="4" w:space="0" w:color="auto"/>
              <w:bottom w:val="single" w:sz="4" w:space="0" w:color="auto"/>
            </w:tcBorders>
          </w:tcPr>
          <w:p w14:paraId="3E54FE99"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b/>
                <w:color w:val="000000"/>
                <w:sz w:val="22"/>
                <w:lang w:val="bg-BG"/>
              </w:rPr>
              <w:t xml:space="preserve">Проучване </w:t>
            </w:r>
            <w:r w:rsidRPr="00FE6AC6">
              <w:rPr>
                <w:rFonts w:ascii="Times New Roman" w:hAnsi="Times New Roman"/>
                <w:b/>
                <w:color w:val="000000"/>
                <w:sz w:val="22"/>
              </w:rPr>
              <w:t>AUS</w:t>
            </w:r>
            <w:r w:rsidRPr="00FE6AC6">
              <w:rPr>
                <w:rFonts w:ascii="Times New Roman" w:hAnsi="Times New Roman"/>
                <w:b/>
                <w:color w:val="000000"/>
                <w:sz w:val="22"/>
                <w:lang w:val="bg-BG"/>
              </w:rPr>
              <w:t>01</w:t>
            </w:r>
          </w:p>
        </w:tc>
        <w:tc>
          <w:tcPr>
            <w:tcW w:w="1080" w:type="dxa"/>
            <w:tcBorders>
              <w:top w:val="single" w:sz="4" w:space="0" w:color="auto"/>
              <w:bottom w:val="single" w:sz="4" w:space="0" w:color="auto"/>
            </w:tcBorders>
          </w:tcPr>
          <w:p w14:paraId="3E54FE9A"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p>
        </w:tc>
        <w:tc>
          <w:tcPr>
            <w:tcW w:w="1380" w:type="dxa"/>
            <w:tcBorders>
              <w:top w:val="single" w:sz="4" w:space="0" w:color="auto"/>
              <w:bottom w:val="single" w:sz="4" w:space="0" w:color="auto"/>
            </w:tcBorders>
          </w:tcPr>
          <w:p w14:paraId="3E54FE9B"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p>
        </w:tc>
        <w:tc>
          <w:tcPr>
            <w:tcW w:w="1620" w:type="dxa"/>
            <w:tcBorders>
              <w:top w:val="single" w:sz="4" w:space="0" w:color="auto"/>
              <w:bottom w:val="single" w:sz="4" w:space="0" w:color="auto"/>
            </w:tcBorders>
          </w:tcPr>
          <w:p w14:paraId="3E54FE9C"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p>
        </w:tc>
      </w:tr>
      <w:tr w:rsidR="001636FA" w:rsidRPr="004015AA" w14:paraId="3E54FEA3" w14:textId="77777777" w:rsidTr="00F40727">
        <w:trPr>
          <w:cantSplit/>
        </w:trPr>
        <w:tc>
          <w:tcPr>
            <w:tcW w:w="2148" w:type="dxa"/>
            <w:tcBorders>
              <w:top w:val="single" w:sz="4" w:space="0" w:color="auto"/>
              <w:bottom w:val="single" w:sz="4" w:space="0" w:color="auto"/>
            </w:tcBorders>
          </w:tcPr>
          <w:p w14:paraId="3E54FE9E"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Индукционно-консолидационна терапия</w:t>
            </w:r>
          </w:p>
        </w:tc>
        <w:tc>
          <w:tcPr>
            <w:tcW w:w="6732" w:type="dxa"/>
            <w:gridSpan w:val="4"/>
            <w:tcBorders>
              <w:top w:val="single" w:sz="4" w:space="0" w:color="auto"/>
              <w:bottom w:val="single" w:sz="4" w:space="0" w:color="auto"/>
            </w:tcBorders>
          </w:tcPr>
          <w:p w14:paraId="3E54FE9F" w14:textId="77777777" w:rsidR="00070147"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Хипер-</w:t>
            </w:r>
            <w:r w:rsidRPr="00FE6AC6">
              <w:rPr>
                <w:rFonts w:ascii="Times New Roman" w:hAnsi="Times New Roman"/>
                <w:color w:val="000000"/>
                <w:sz w:val="22"/>
              </w:rPr>
              <w:t>CVAD</w:t>
            </w:r>
            <w:r w:rsidRPr="00FE6AC6">
              <w:rPr>
                <w:rFonts w:ascii="Times New Roman" w:hAnsi="Times New Roman"/>
                <w:color w:val="000000"/>
                <w:sz w:val="22"/>
                <w:lang w:val="bg-BG"/>
              </w:rPr>
              <w:t xml:space="preserve"> ре</w:t>
            </w:r>
            <w:r w:rsidR="005A301F" w:rsidRPr="00FE6AC6">
              <w:rPr>
                <w:rFonts w:ascii="Times New Roman" w:hAnsi="Times New Roman"/>
                <w:color w:val="000000"/>
                <w:sz w:val="22"/>
                <w:lang w:val="bg-BG"/>
              </w:rPr>
              <w:t>ж</w:t>
            </w:r>
            <w:r w:rsidRPr="00FE6AC6">
              <w:rPr>
                <w:rFonts w:ascii="Times New Roman" w:hAnsi="Times New Roman"/>
                <w:color w:val="000000"/>
                <w:sz w:val="22"/>
                <w:lang w:val="bg-BG"/>
              </w:rPr>
              <w:t xml:space="preserve">им: </w:t>
            </w:r>
            <w:r w:rsidRPr="00FE6AC6">
              <w:rPr>
                <w:rFonts w:ascii="Times New Roman" w:hAnsi="Times New Roman"/>
                <w:color w:val="000000"/>
                <w:sz w:val="22"/>
              </w:rPr>
              <w:t>CP </w:t>
            </w:r>
            <w:r w:rsidRPr="00FE6AC6">
              <w:rPr>
                <w:rFonts w:ascii="Times New Roman" w:hAnsi="Times New Roman"/>
                <w:color w:val="000000"/>
                <w:sz w:val="22"/>
                <w:lang w:val="bg-BG"/>
              </w:rPr>
              <w:t>300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(3</w:t>
            </w:r>
            <w:r w:rsidRPr="00FE6AC6">
              <w:rPr>
                <w:rFonts w:ascii="Times New Roman" w:hAnsi="Times New Roman"/>
                <w:color w:val="000000"/>
                <w:sz w:val="22"/>
              </w:rPr>
              <w:t> </w:t>
            </w:r>
            <w:r w:rsidRPr="00FE6AC6">
              <w:rPr>
                <w:rFonts w:ascii="Times New Roman" w:hAnsi="Times New Roman"/>
                <w:color w:val="000000"/>
                <w:sz w:val="22"/>
                <w:lang w:val="bg-BG"/>
              </w:rPr>
              <w:t xml:space="preserve">часа, </w:t>
            </w:r>
            <w:r w:rsidRPr="00FE6AC6">
              <w:rPr>
                <w:rFonts w:ascii="Times New Roman" w:hAnsi="Times New Roman"/>
                <w:color w:val="000000"/>
                <w:sz w:val="22"/>
              </w:rPr>
              <w:t>q </w:t>
            </w:r>
            <w:r w:rsidRPr="00FE6AC6">
              <w:rPr>
                <w:rFonts w:ascii="Times New Roman" w:hAnsi="Times New Roman"/>
                <w:color w:val="000000"/>
                <w:sz w:val="22"/>
                <w:lang w:val="bg-BG"/>
              </w:rPr>
              <w:t>12</w:t>
            </w:r>
            <w:r w:rsidRPr="00FE6AC6">
              <w:rPr>
                <w:rFonts w:ascii="Times New Roman" w:hAnsi="Times New Roman"/>
                <w:color w:val="000000"/>
                <w:sz w:val="22"/>
              </w:rPr>
              <w:t> </w:t>
            </w:r>
            <w:r w:rsidRPr="00FE6AC6">
              <w:rPr>
                <w:rFonts w:ascii="Times New Roman" w:hAnsi="Times New Roman"/>
                <w:color w:val="000000"/>
                <w:sz w:val="22"/>
                <w:lang w:val="bg-BG"/>
              </w:rPr>
              <w:t>часа), дни</w:t>
            </w:r>
            <w:r w:rsidRPr="00FE6AC6">
              <w:rPr>
                <w:rFonts w:ascii="Times New Roman" w:hAnsi="Times New Roman"/>
                <w:color w:val="000000"/>
                <w:sz w:val="22"/>
              </w:rPr>
              <w:t> </w:t>
            </w:r>
            <w:r w:rsidRPr="00FE6AC6">
              <w:rPr>
                <w:rFonts w:ascii="Times New Roman" w:hAnsi="Times New Roman"/>
                <w:color w:val="000000"/>
                <w:sz w:val="22"/>
                <w:lang w:val="bg-BG"/>
              </w:rPr>
              <w:t>1-3;</w:t>
            </w:r>
          </w:p>
          <w:p w14:paraId="3E54FEA0" w14:textId="77777777" w:rsidR="00070147" w:rsidRPr="00FE6AC6" w:rsidRDefault="00070147"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В</w:t>
            </w:r>
            <w:r w:rsidR="001636FA" w:rsidRPr="00FE6AC6">
              <w:rPr>
                <w:rFonts w:ascii="Times New Roman" w:hAnsi="Times New Roman"/>
                <w:color w:val="000000"/>
                <w:sz w:val="22"/>
                <w:lang w:val="bg-BG"/>
              </w:rPr>
              <w:t>инкристин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2</w:t>
            </w:r>
            <w:r w:rsidR="001636FA" w:rsidRPr="00FE6AC6">
              <w:rPr>
                <w:rFonts w:ascii="Times New Roman" w:hAnsi="Times New Roman"/>
                <w:color w:val="000000"/>
                <w:sz w:val="22"/>
              </w:rPr>
              <w:t> mg</w:t>
            </w:r>
            <w:r w:rsidR="001636FA" w:rsidRPr="00FE6AC6">
              <w:rPr>
                <w:rFonts w:ascii="Times New Roman" w:hAnsi="Times New Roman"/>
                <w:color w:val="000000"/>
                <w:sz w:val="22"/>
                <w:lang w:val="bg-BG"/>
              </w:rPr>
              <w:t xml:space="preserve"> </w:t>
            </w:r>
            <w:r w:rsidR="001636FA" w:rsidRPr="00FE6AC6">
              <w:rPr>
                <w:rFonts w:ascii="Times New Roman" w:hAnsi="Times New Roman"/>
                <w:color w:val="000000"/>
                <w:sz w:val="22"/>
              </w:rPr>
              <w:t>i</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v</w:t>
            </w:r>
            <w:r w:rsidR="001636FA" w:rsidRPr="00FE6AC6">
              <w:rPr>
                <w:rFonts w:ascii="Times New Roman" w:hAnsi="Times New Roman"/>
                <w:color w:val="000000"/>
                <w:sz w:val="22"/>
                <w:lang w:val="bg-BG"/>
              </w:rPr>
              <w:t>., дни</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4,</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11;</w:t>
            </w:r>
          </w:p>
          <w:p w14:paraId="3E54FEA1" w14:textId="77777777" w:rsidR="00070147" w:rsidRPr="00FE6AC6" w:rsidRDefault="00070147"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Д</w:t>
            </w:r>
            <w:r w:rsidR="001636FA" w:rsidRPr="00FE6AC6">
              <w:rPr>
                <w:rFonts w:ascii="Times New Roman" w:hAnsi="Times New Roman"/>
                <w:color w:val="000000"/>
                <w:sz w:val="22"/>
                <w:lang w:val="bg-BG"/>
              </w:rPr>
              <w:t>оксорубицин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50</w:t>
            </w:r>
            <w:r w:rsidR="001636FA" w:rsidRPr="00FE6AC6">
              <w:rPr>
                <w:rFonts w:ascii="Times New Roman" w:hAnsi="Times New Roman"/>
                <w:color w:val="000000"/>
                <w:sz w:val="22"/>
              </w:rPr>
              <w:t> mg</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m</w:t>
            </w:r>
            <w:r w:rsidR="001636FA" w:rsidRPr="00FE6AC6">
              <w:rPr>
                <w:rFonts w:ascii="Times New Roman" w:hAnsi="Times New Roman"/>
                <w:color w:val="000000"/>
                <w:sz w:val="22"/>
                <w:vertAlign w:val="superscript"/>
                <w:lang w:val="bg-BG"/>
              </w:rPr>
              <w:t>2</w:t>
            </w:r>
            <w:r w:rsidR="001636FA" w:rsidRPr="00FE6AC6">
              <w:rPr>
                <w:rFonts w:ascii="Times New Roman" w:hAnsi="Times New Roman"/>
                <w:color w:val="000000"/>
                <w:sz w:val="22"/>
                <w:vertAlign w:val="superscript"/>
              </w:rPr>
              <w:t> </w:t>
            </w:r>
            <w:r w:rsidR="001636FA" w:rsidRPr="00FE6AC6">
              <w:rPr>
                <w:rFonts w:ascii="Times New Roman" w:hAnsi="Times New Roman"/>
                <w:color w:val="000000"/>
                <w:sz w:val="22"/>
              </w:rPr>
              <w:t>i</w:t>
            </w:r>
            <w:r w:rsidR="001636FA" w:rsidRPr="00FE6AC6">
              <w:rPr>
                <w:rFonts w:ascii="Times New Roman" w:hAnsi="Times New Roman"/>
                <w:color w:val="000000"/>
                <w:sz w:val="22"/>
                <w:lang w:val="bg-BG"/>
              </w:rPr>
              <w:t>.</w:t>
            </w:r>
            <w:r w:rsidR="001636FA" w:rsidRPr="00FE6AC6">
              <w:rPr>
                <w:rFonts w:ascii="Times New Roman" w:hAnsi="Times New Roman"/>
                <w:color w:val="000000"/>
                <w:sz w:val="22"/>
              </w:rPr>
              <w:t>v</w:t>
            </w:r>
            <w:r w:rsidR="001636FA" w:rsidRPr="00FE6AC6">
              <w:rPr>
                <w:rFonts w:ascii="Times New Roman" w:hAnsi="Times New Roman"/>
                <w:color w:val="000000"/>
                <w:sz w:val="22"/>
                <w:lang w:val="bg-BG"/>
              </w:rPr>
              <w:t>. (24</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часа), ден</w:t>
            </w:r>
            <w:r w:rsidR="001636FA" w:rsidRPr="00FE6AC6">
              <w:rPr>
                <w:rFonts w:ascii="Times New Roman" w:hAnsi="Times New Roman"/>
                <w:color w:val="000000"/>
                <w:sz w:val="22"/>
              </w:rPr>
              <w:t> </w:t>
            </w:r>
            <w:r w:rsidR="001636FA" w:rsidRPr="00FE6AC6">
              <w:rPr>
                <w:rFonts w:ascii="Times New Roman" w:hAnsi="Times New Roman"/>
                <w:color w:val="000000"/>
                <w:sz w:val="22"/>
                <w:lang w:val="bg-BG"/>
              </w:rPr>
              <w:t>4;</w:t>
            </w:r>
          </w:p>
          <w:p w14:paraId="3E54FEA2"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DEX </w:t>
            </w:r>
            <w:r w:rsidRPr="00FE6AC6">
              <w:rPr>
                <w:rFonts w:ascii="Times New Roman" w:hAnsi="Times New Roman"/>
                <w:color w:val="000000"/>
                <w:sz w:val="22"/>
                <w:lang w:val="bg-BG"/>
              </w:rPr>
              <w:t>40</w:t>
            </w:r>
            <w:r w:rsidRPr="00FE6AC6">
              <w:rPr>
                <w:rFonts w:ascii="Times New Roman" w:hAnsi="Times New Roman"/>
                <w:color w:val="000000"/>
                <w:sz w:val="22"/>
              </w:rPr>
              <w:t> mg</w:t>
            </w:r>
            <w:r w:rsidRPr="00FE6AC6">
              <w:rPr>
                <w:rFonts w:ascii="Times New Roman" w:hAnsi="Times New Roman"/>
                <w:color w:val="000000"/>
                <w:sz w:val="22"/>
                <w:lang w:val="bg-BG"/>
              </w:rPr>
              <w:t>/ден в дни</w:t>
            </w:r>
            <w:r w:rsidRPr="00FE6AC6">
              <w:rPr>
                <w:rFonts w:ascii="Times New Roman" w:hAnsi="Times New Roman"/>
                <w:color w:val="000000"/>
                <w:sz w:val="22"/>
              </w:rPr>
              <w:t> </w:t>
            </w:r>
            <w:r w:rsidRPr="00FE6AC6">
              <w:rPr>
                <w:rFonts w:ascii="Times New Roman" w:hAnsi="Times New Roman"/>
                <w:color w:val="000000"/>
                <w:sz w:val="22"/>
                <w:lang w:val="bg-BG"/>
              </w:rPr>
              <w:t>1-4</w:t>
            </w:r>
            <w:r w:rsidRPr="00FE6AC6">
              <w:rPr>
                <w:rFonts w:ascii="Times New Roman" w:hAnsi="Times New Roman"/>
                <w:color w:val="000000"/>
                <w:sz w:val="22"/>
              </w:rPr>
              <w:t> </w:t>
            </w:r>
            <w:r w:rsidRPr="00FE6AC6">
              <w:rPr>
                <w:rFonts w:ascii="Times New Roman" w:hAnsi="Times New Roman"/>
                <w:color w:val="000000"/>
                <w:sz w:val="22"/>
                <w:lang w:val="bg-BG"/>
              </w:rPr>
              <w:t>и</w:t>
            </w:r>
            <w:r w:rsidRPr="00FE6AC6">
              <w:rPr>
                <w:rFonts w:ascii="Times New Roman" w:hAnsi="Times New Roman"/>
                <w:color w:val="000000"/>
                <w:sz w:val="22"/>
              </w:rPr>
              <w:t> </w:t>
            </w:r>
            <w:r w:rsidRPr="00FE6AC6">
              <w:rPr>
                <w:rFonts w:ascii="Times New Roman" w:hAnsi="Times New Roman"/>
                <w:color w:val="000000"/>
                <w:sz w:val="22"/>
                <w:lang w:val="bg-BG"/>
              </w:rPr>
              <w:t xml:space="preserve">11-14, алтернирана с </w:t>
            </w:r>
            <w:r w:rsidRPr="00FE6AC6">
              <w:rPr>
                <w:rFonts w:ascii="Times New Roman" w:hAnsi="Times New Roman"/>
                <w:color w:val="000000"/>
                <w:sz w:val="22"/>
              </w:rPr>
              <w:t>MTX </w:t>
            </w:r>
            <w:r w:rsidRPr="00FE6AC6">
              <w:rPr>
                <w:rFonts w:ascii="Times New Roman" w:hAnsi="Times New Roman"/>
                <w:color w:val="000000"/>
                <w:sz w:val="22"/>
                <w:lang w:val="bg-BG"/>
              </w:rPr>
              <w:t>1</w:t>
            </w:r>
            <w:r w:rsidRPr="00FE6AC6">
              <w:rPr>
                <w:rFonts w:ascii="Times New Roman" w:hAnsi="Times New Roman"/>
                <w:color w:val="000000"/>
                <w:sz w:val="22"/>
              </w:rPr>
              <w:t> 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(24</w:t>
            </w:r>
            <w:r w:rsidRPr="00FE6AC6">
              <w:rPr>
                <w:rFonts w:ascii="Times New Roman" w:hAnsi="Times New Roman"/>
                <w:color w:val="000000"/>
                <w:sz w:val="22"/>
              </w:rPr>
              <w:t> </w:t>
            </w:r>
            <w:r w:rsidRPr="00FE6AC6">
              <w:rPr>
                <w:rFonts w:ascii="Times New Roman" w:hAnsi="Times New Roman"/>
                <w:color w:val="000000"/>
                <w:sz w:val="22"/>
                <w:lang w:val="bg-BG"/>
              </w:rPr>
              <w:t>часа), ден</w:t>
            </w:r>
            <w:r w:rsidRPr="00FE6AC6">
              <w:rPr>
                <w:rFonts w:ascii="Times New Roman" w:hAnsi="Times New Roman"/>
                <w:color w:val="000000"/>
                <w:sz w:val="22"/>
              </w:rPr>
              <w:t> </w:t>
            </w:r>
            <w:r w:rsidRPr="00FE6AC6">
              <w:rPr>
                <w:rFonts w:ascii="Times New Roman" w:hAnsi="Times New Roman"/>
                <w:color w:val="000000"/>
                <w:sz w:val="22"/>
                <w:lang w:val="bg-BG"/>
              </w:rPr>
              <w:t xml:space="preserve">1, </w:t>
            </w:r>
            <w:r w:rsidRPr="00FE6AC6">
              <w:rPr>
                <w:rFonts w:ascii="Times New Roman" w:hAnsi="Times New Roman"/>
                <w:color w:val="000000"/>
                <w:sz w:val="22"/>
              </w:rPr>
              <w:t>Ara</w:t>
            </w:r>
            <w:r w:rsidRPr="00FE6AC6">
              <w:rPr>
                <w:rFonts w:ascii="Times New Roman" w:hAnsi="Times New Roman"/>
                <w:color w:val="000000"/>
                <w:sz w:val="22"/>
                <w:lang w:val="bg-BG"/>
              </w:rPr>
              <w:t>-</w:t>
            </w:r>
            <w:r w:rsidRPr="00FE6AC6">
              <w:rPr>
                <w:rFonts w:ascii="Times New Roman" w:hAnsi="Times New Roman"/>
                <w:color w:val="000000"/>
                <w:sz w:val="22"/>
              </w:rPr>
              <w:t>C </w:t>
            </w:r>
            <w:r w:rsidRPr="00FE6AC6">
              <w:rPr>
                <w:rFonts w:ascii="Times New Roman" w:hAnsi="Times New Roman"/>
                <w:color w:val="000000"/>
                <w:sz w:val="22"/>
                <w:lang w:val="bg-BG"/>
              </w:rPr>
              <w:t>1</w:t>
            </w:r>
            <w:r w:rsidRPr="00FE6AC6">
              <w:rPr>
                <w:rFonts w:ascii="Times New Roman" w:hAnsi="Times New Roman"/>
                <w:color w:val="000000"/>
                <w:sz w:val="22"/>
              </w:rPr>
              <w:t> 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(2</w:t>
            </w:r>
            <w:r w:rsidRPr="00FE6AC6">
              <w:rPr>
                <w:rFonts w:ascii="Times New Roman" w:hAnsi="Times New Roman"/>
                <w:color w:val="000000"/>
                <w:sz w:val="22"/>
              </w:rPr>
              <w:t> </w:t>
            </w:r>
            <w:r w:rsidRPr="00FE6AC6">
              <w:rPr>
                <w:rFonts w:ascii="Times New Roman" w:hAnsi="Times New Roman"/>
                <w:color w:val="000000"/>
                <w:sz w:val="22"/>
                <w:lang w:val="bg-BG"/>
              </w:rPr>
              <w:t xml:space="preserve">часа, </w:t>
            </w:r>
            <w:r w:rsidRPr="00FE6AC6">
              <w:rPr>
                <w:rFonts w:ascii="Times New Roman" w:hAnsi="Times New Roman"/>
                <w:color w:val="000000"/>
                <w:sz w:val="22"/>
              </w:rPr>
              <w:t>q </w:t>
            </w:r>
            <w:r w:rsidRPr="00FE6AC6">
              <w:rPr>
                <w:rFonts w:ascii="Times New Roman" w:hAnsi="Times New Roman"/>
                <w:color w:val="000000"/>
                <w:sz w:val="22"/>
                <w:lang w:val="bg-BG"/>
              </w:rPr>
              <w:t>12</w:t>
            </w:r>
            <w:r w:rsidRPr="00FE6AC6">
              <w:rPr>
                <w:rFonts w:ascii="Times New Roman" w:hAnsi="Times New Roman"/>
                <w:color w:val="000000"/>
                <w:sz w:val="22"/>
              </w:rPr>
              <w:t> </w:t>
            </w:r>
            <w:r w:rsidRPr="00FE6AC6">
              <w:rPr>
                <w:rFonts w:ascii="Times New Roman" w:hAnsi="Times New Roman"/>
                <w:color w:val="000000"/>
                <w:sz w:val="22"/>
                <w:lang w:val="bg-BG"/>
              </w:rPr>
              <w:t>часа), дни</w:t>
            </w:r>
            <w:r w:rsidRPr="00FE6AC6">
              <w:rPr>
                <w:rFonts w:ascii="Times New Roman" w:hAnsi="Times New Roman"/>
                <w:color w:val="000000"/>
                <w:sz w:val="22"/>
              </w:rPr>
              <w:t> </w:t>
            </w:r>
            <w:r w:rsidRPr="00FE6AC6">
              <w:rPr>
                <w:rFonts w:ascii="Times New Roman" w:hAnsi="Times New Roman"/>
                <w:color w:val="000000"/>
                <w:sz w:val="22"/>
                <w:lang w:val="bg-BG"/>
              </w:rPr>
              <w:t>2-3</w:t>
            </w:r>
            <w:r w:rsidRPr="00FE6AC6">
              <w:rPr>
                <w:rFonts w:ascii="Times New Roman" w:hAnsi="Times New Roman"/>
                <w:color w:val="000000"/>
                <w:sz w:val="22"/>
              </w:rPr>
              <w:t> </w:t>
            </w:r>
            <w:r w:rsidRPr="00FE6AC6">
              <w:rPr>
                <w:rFonts w:ascii="Times New Roman" w:hAnsi="Times New Roman"/>
                <w:color w:val="000000"/>
                <w:sz w:val="22"/>
                <w:lang w:val="bg-BG"/>
              </w:rPr>
              <w:t>(общо</w:t>
            </w:r>
            <w:r w:rsidRPr="00FE6AC6">
              <w:rPr>
                <w:rFonts w:ascii="Times New Roman" w:hAnsi="Times New Roman"/>
                <w:color w:val="000000"/>
                <w:sz w:val="22"/>
              </w:rPr>
              <w:t> </w:t>
            </w:r>
            <w:r w:rsidRPr="00FE6AC6">
              <w:rPr>
                <w:rFonts w:ascii="Times New Roman" w:hAnsi="Times New Roman"/>
                <w:color w:val="000000"/>
                <w:sz w:val="22"/>
                <w:lang w:val="bg-BG"/>
              </w:rPr>
              <w:t>8</w:t>
            </w:r>
            <w:r w:rsidRPr="00FE6AC6">
              <w:rPr>
                <w:rFonts w:ascii="Times New Roman" w:hAnsi="Times New Roman"/>
                <w:color w:val="000000"/>
                <w:sz w:val="22"/>
              </w:rPr>
              <w:t> </w:t>
            </w:r>
            <w:r w:rsidRPr="00FE6AC6">
              <w:rPr>
                <w:rFonts w:ascii="Times New Roman" w:hAnsi="Times New Roman"/>
                <w:color w:val="000000"/>
                <w:sz w:val="22"/>
                <w:lang w:val="bg-BG"/>
              </w:rPr>
              <w:t>курса)</w:t>
            </w:r>
          </w:p>
        </w:tc>
      </w:tr>
      <w:tr w:rsidR="001636FA" w:rsidRPr="004015AA" w14:paraId="3E54FEA7" w14:textId="77777777" w:rsidTr="00F40727">
        <w:trPr>
          <w:cantSplit/>
        </w:trPr>
        <w:tc>
          <w:tcPr>
            <w:tcW w:w="2148" w:type="dxa"/>
            <w:tcBorders>
              <w:top w:val="single" w:sz="4" w:space="0" w:color="auto"/>
              <w:bottom w:val="single" w:sz="4" w:space="0" w:color="auto"/>
            </w:tcBorders>
          </w:tcPr>
          <w:p w14:paraId="3E54FEA4" w14:textId="77777777" w:rsidR="001636FA" w:rsidRPr="00FE6AC6" w:rsidRDefault="001636FA" w:rsidP="008143B1">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Поддържане</w:t>
            </w:r>
          </w:p>
        </w:tc>
        <w:tc>
          <w:tcPr>
            <w:tcW w:w="6732" w:type="dxa"/>
            <w:gridSpan w:val="4"/>
            <w:tcBorders>
              <w:top w:val="single" w:sz="4" w:space="0" w:color="auto"/>
              <w:bottom w:val="single" w:sz="4" w:space="0" w:color="auto"/>
            </w:tcBorders>
          </w:tcPr>
          <w:p w14:paraId="3E54FEA5" w14:textId="77777777" w:rsidR="00070147"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VCR</w:t>
            </w:r>
            <w:r w:rsidRPr="00FE6AC6">
              <w:rPr>
                <w:rFonts w:ascii="Times New Roman" w:hAnsi="Times New Roman"/>
                <w:color w:val="000000"/>
                <w:sz w:val="22"/>
                <w:lang w:val="ru-RU"/>
              </w:rPr>
              <w:t> 2 </w:t>
            </w:r>
            <w:r w:rsidRPr="00FE6AC6">
              <w:rPr>
                <w:rFonts w:ascii="Times New Roman" w:hAnsi="Times New Roman"/>
                <w:color w:val="000000"/>
                <w:sz w:val="22"/>
              </w:rPr>
              <w:t>mg</w:t>
            </w:r>
            <w:r w:rsidRPr="00FE6AC6">
              <w:rPr>
                <w:rFonts w:ascii="Times New Roman" w:hAnsi="Times New Roman"/>
                <w:color w:val="000000"/>
                <w:sz w:val="22"/>
                <w:lang w:val="ru-RU"/>
              </w:rPr>
              <w:t xml:space="preserve">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месечно за 1</w:t>
            </w:r>
            <w:r w:rsidRPr="00FE6AC6">
              <w:rPr>
                <w:rFonts w:ascii="Times New Roman" w:hAnsi="Times New Roman"/>
                <w:color w:val="000000"/>
                <w:sz w:val="22"/>
                <w:lang w:val="ru-RU"/>
              </w:rPr>
              <w:t>3 </w:t>
            </w:r>
            <w:r w:rsidRPr="00FE6AC6">
              <w:rPr>
                <w:rFonts w:ascii="Times New Roman" w:hAnsi="Times New Roman"/>
                <w:color w:val="000000"/>
                <w:sz w:val="22"/>
                <w:lang w:val="bg-BG"/>
              </w:rPr>
              <w:t>месеца</w:t>
            </w:r>
            <w:r w:rsidRPr="00FE6AC6">
              <w:rPr>
                <w:rFonts w:ascii="Times New Roman" w:hAnsi="Times New Roman"/>
                <w:color w:val="000000"/>
                <w:sz w:val="22"/>
                <w:lang w:val="ru-RU"/>
              </w:rPr>
              <w:t>;</w:t>
            </w:r>
          </w:p>
          <w:p w14:paraId="3E54FEA6" w14:textId="77777777" w:rsidR="001636FA" w:rsidRPr="00FE6AC6" w:rsidRDefault="00070147"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ru-RU"/>
              </w:rPr>
              <w:t>П</w:t>
            </w:r>
            <w:r w:rsidR="001636FA" w:rsidRPr="00FE6AC6">
              <w:rPr>
                <w:rFonts w:ascii="Times New Roman" w:hAnsi="Times New Roman"/>
                <w:color w:val="000000"/>
                <w:sz w:val="22"/>
                <w:lang w:val="ru-RU"/>
              </w:rPr>
              <w:t>реднизолон 200 </w:t>
            </w:r>
            <w:r w:rsidR="001636FA" w:rsidRPr="00FE6AC6">
              <w:rPr>
                <w:rFonts w:ascii="Times New Roman" w:hAnsi="Times New Roman"/>
                <w:color w:val="000000"/>
                <w:sz w:val="22"/>
              </w:rPr>
              <w:t>mg</w:t>
            </w:r>
            <w:r w:rsidR="001636FA" w:rsidRPr="00FE6AC6">
              <w:rPr>
                <w:rFonts w:ascii="Times New Roman" w:hAnsi="Times New Roman"/>
                <w:color w:val="000000"/>
                <w:sz w:val="22"/>
                <w:lang w:val="ru-RU"/>
              </w:rPr>
              <w:t xml:space="preserve"> </w:t>
            </w:r>
            <w:r w:rsidR="001636FA" w:rsidRPr="00FE6AC6">
              <w:rPr>
                <w:rFonts w:ascii="Times New Roman" w:hAnsi="Times New Roman"/>
                <w:color w:val="000000"/>
                <w:sz w:val="22"/>
                <w:lang w:val="bg-BG"/>
              </w:rPr>
              <w:t>перорално</w:t>
            </w:r>
            <w:r w:rsidR="001636FA" w:rsidRPr="00FE6AC6">
              <w:rPr>
                <w:rFonts w:ascii="Times New Roman" w:hAnsi="Times New Roman"/>
                <w:color w:val="000000"/>
                <w:sz w:val="22"/>
                <w:lang w:val="ru-RU"/>
              </w:rPr>
              <w:t>, 5 </w:t>
            </w:r>
            <w:r w:rsidR="001636FA" w:rsidRPr="00FE6AC6">
              <w:rPr>
                <w:rFonts w:ascii="Times New Roman" w:hAnsi="Times New Roman"/>
                <w:color w:val="000000"/>
                <w:sz w:val="22"/>
                <w:lang w:val="bg-BG"/>
              </w:rPr>
              <w:t>дена в месеца за 1</w:t>
            </w:r>
            <w:r w:rsidR="001636FA" w:rsidRPr="00FE6AC6">
              <w:rPr>
                <w:rFonts w:ascii="Times New Roman" w:hAnsi="Times New Roman"/>
                <w:color w:val="000000"/>
                <w:sz w:val="22"/>
                <w:lang w:val="ru-RU"/>
              </w:rPr>
              <w:t>3 </w:t>
            </w:r>
            <w:r w:rsidR="001636FA" w:rsidRPr="00FE6AC6">
              <w:rPr>
                <w:rFonts w:ascii="Times New Roman" w:hAnsi="Times New Roman"/>
                <w:color w:val="000000"/>
                <w:sz w:val="22"/>
                <w:lang w:val="bg-BG"/>
              </w:rPr>
              <w:t>месеца</w:t>
            </w:r>
          </w:p>
        </w:tc>
      </w:tr>
      <w:tr w:rsidR="001636FA" w:rsidRPr="004015AA" w14:paraId="3E54FEA9" w14:textId="77777777" w:rsidTr="00F40727">
        <w:trPr>
          <w:cantSplit/>
        </w:trPr>
        <w:tc>
          <w:tcPr>
            <w:tcW w:w="8880" w:type="dxa"/>
            <w:gridSpan w:val="5"/>
            <w:tcBorders>
              <w:top w:val="single" w:sz="4" w:space="0" w:color="auto"/>
              <w:bottom w:val="single" w:sz="4" w:space="0" w:color="auto"/>
            </w:tcBorders>
          </w:tcPr>
          <w:p w14:paraId="3E54FEA8" w14:textId="77777777" w:rsidR="001636FA" w:rsidRPr="00FE6AC6" w:rsidRDefault="001636FA" w:rsidP="008143B1">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Всички схеми на лечение включват прилагане на стероиди за профилактика на ЦНС</w:t>
            </w:r>
            <w:r w:rsidRPr="00FE6AC6">
              <w:rPr>
                <w:rFonts w:ascii="Times New Roman" w:hAnsi="Times New Roman"/>
                <w:color w:val="000000"/>
                <w:sz w:val="22"/>
                <w:lang w:val="ru-RU"/>
              </w:rPr>
              <w:t>.</w:t>
            </w:r>
          </w:p>
        </w:tc>
      </w:tr>
      <w:tr w:rsidR="001636FA" w:rsidRPr="004015AA" w14:paraId="3E54FEAB" w14:textId="77777777" w:rsidTr="00F40727">
        <w:trPr>
          <w:cantSplit/>
        </w:trPr>
        <w:tc>
          <w:tcPr>
            <w:tcW w:w="8880" w:type="dxa"/>
            <w:gridSpan w:val="5"/>
            <w:tcBorders>
              <w:top w:val="single" w:sz="4" w:space="0" w:color="auto"/>
              <w:bottom w:val="single" w:sz="4" w:space="0" w:color="auto"/>
            </w:tcBorders>
          </w:tcPr>
          <w:p w14:paraId="3E54FEAA" w14:textId="77777777" w:rsidR="001636FA" w:rsidRPr="00FE6AC6" w:rsidRDefault="001636FA" w:rsidP="008143B1">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Ara</w:t>
            </w:r>
            <w:r w:rsidRPr="00FE6AC6">
              <w:rPr>
                <w:rFonts w:ascii="Times New Roman" w:hAnsi="Times New Roman"/>
                <w:color w:val="000000"/>
                <w:sz w:val="22"/>
                <w:lang w:val="ru-RU"/>
              </w:rPr>
              <w:t>-</w:t>
            </w:r>
            <w:r w:rsidRPr="00FE6AC6">
              <w:rPr>
                <w:rFonts w:ascii="Times New Roman" w:hAnsi="Times New Roman"/>
                <w:color w:val="000000"/>
                <w:sz w:val="22"/>
              </w:rPr>
              <w:t>C</w:t>
            </w:r>
            <w:r w:rsidRPr="00FE6AC6">
              <w:rPr>
                <w:rFonts w:ascii="Times New Roman" w:hAnsi="Times New Roman"/>
                <w:color w:val="000000"/>
                <w:sz w:val="22"/>
                <w:lang w:val="ru-RU"/>
              </w:rPr>
              <w:t xml:space="preserve">: цитозин арабинозид; </w:t>
            </w:r>
            <w:r w:rsidRPr="00FE6AC6">
              <w:rPr>
                <w:rFonts w:ascii="Times New Roman" w:hAnsi="Times New Roman"/>
                <w:color w:val="000000"/>
                <w:sz w:val="22"/>
              </w:rPr>
              <w:t>CP</w:t>
            </w:r>
            <w:r w:rsidRPr="00FE6AC6">
              <w:rPr>
                <w:rFonts w:ascii="Times New Roman" w:hAnsi="Times New Roman"/>
                <w:color w:val="000000"/>
                <w:sz w:val="22"/>
                <w:lang w:val="ru-RU"/>
              </w:rPr>
              <w:t xml:space="preserve">: циклофосфамид; </w:t>
            </w:r>
            <w:r w:rsidRPr="00FE6AC6">
              <w:rPr>
                <w:rFonts w:ascii="Times New Roman" w:hAnsi="Times New Roman"/>
                <w:color w:val="000000"/>
                <w:sz w:val="22"/>
              </w:rPr>
              <w:t>DEX</w:t>
            </w:r>
            <w:r w:rsidRPr="00FE6AC6">
              <w:rPr>
                <w:rFonts w:ascii="Times New Roman" w:hAnsi="Times New Roman"/>
                <w:color w:val="000000"/>
                <w:sz w:val="22"/>
                <w:lang w:val="ru-RU"/>
              </w:rPr>
              <w:t xml:space="preserve">: дексаметазон; </w:t>
            </w:r>
            <w:r w:rsidRPr="00FE6AC6">
              <w:rPr>
                <w:rFonts w:ascii="Times New Roman" w:hAnsi="Times New Roman"/>
                <w:color w:val="000000"/>
                <w:sz w:val="22"/>
              </w:rPr>
              <w:t>MTX</w:t>
            </w:r>
            <w:r w:rsidRPr="00FE6AC6">
              <w:rPr>
                <w:rFonts w:ascii="Times New Roman" w:hAnsi="Times New Roman"/>
                <w:color w:val="000000"/>
                <w:sz w:val="22"/>
                <w:lang w:val="ru-RU"/>
              </w:rPr>
              <w:t>: метотрексат; 6-</w:t>
            </w:r>
            <w:r w:rsidRPr="00FE6AC6">
              <w:rPr>
                <w:rFonts w:ascii="Times New Roman" w:hAnsi="Times New Roman"/>
                <w:color w:val="000000"/>
                <w:sz w:val="22"/>
              </w:rPr>
              <w:t>MP</w:t>
            </w:r>
            <w:r w:rsidRPr="00FE6AC6">
              <w:rPr>
                <w:rFonts w:ascii="Times New Roman" w:hAnsi="Times New Roman"/>
                <w:color w:val="000000"/>
                <w:sz w:val="22"/>
                <w:lang w:val="ru-RU"/>
              </w:rPr>
              <w:t>: 6-меркаптопурин</w:t>
            </w:r>
            <w:r w:rsidR="007B2B2F" w:rsidRPr="00FE6AC6">
              <w:rPr>
                <w:rFonts w:ascii="Times New Roman" w:hAnsi="Times New Roman"/>
                <w:color w:val="000000"/>
                <w:sz w:val="22"/>
                <w:lang w:val="ru-RU"/>
              </w:rPr>
              <w:t>;</w:t>
            </w:r>
            <w:r w:rsidRPr="00FE6AC6">
              <w:rPr>
                <w:rFonts w:ascii="Times New Roman" w:hAnsi="Times New Roman"/>
                <w:color w:val="000000"/>
                <w:sz w:val="22"/>
                <w:lang w:val="ru-RU"/>
              </w:rPr>
              <w:t xml:space="preserve"> </w:t>
            </w:r>
            <w:r w:rsidRPr="00FE6AC6">
              <w:rPr>
                <w:rFonts w:ascii="Times New Roman" w:hAnsi="Times New Roman"/>
                <w:color w:val="000000"/>
                <w:sz w:val="22"/>
              </w:rPr>
              <w:t>VM</w:t>
            </w:r>
            <w:r w:rsidRPr="00FE6AC6">
              <w:rPr>
                <w:rFonts w:ascii="Times New Roman" w:hAnsi="Times New Roman"/>
                <w:color w:val="000000"/>
                <w:sz w:val="22"/>
                <w:lang w:val="ru-RU"/>
              </w:rPr>
              <w:t xml:space="preserve">26: Тенипозид; </w:t>
            </w:r>
            <w:r w:rsidRPr="00FE6AC6">
              <w:rPr>
                <w:rFonts w:ascii="Times New Roman" w:hAnsi="Times New Roman"/>
                <w:color w:val="000000"/>
                <w:sz w:val="22"/>
              </w:rPr>
              <w:t>VCR</w:t>
            </w:r>
            <w:r w:rsidRPr="00FE6AC6">
              <w:rPr>
                <w:rFonts w:ascii="Times New Roman" w:hAnsi="Times New Roman"/>
                <w:color w:val="000000"/>
                <w:sz w:val="22"/>
                <w:lang w:val="ru-RU"/>
              </w:rPr>
              <w:t xml:space="preserve">: винкристин; </w:t>
            </w:r>
            <w:r w:rsidRPr="00FE6AC6">
              <w:rPr>
                <w:rFonts w:ascii="Times New Roman" w:hAnsi="Times New Roman"/>
                <w:color w:val="000000"/>
                <w:sz w:val="22"/>
              </w:rPr>
              <w:t>IDA</w:t>
            </w:r>
            <w:r w:rsidRPr="00FE6AC6">
              <w:rPr>
                <w:rFonts w:ascii="Times New Roman" w:hAnsi="Times New Roman"/>
                <w:color w:val="000000"/>
                <w:sz w:val="22"/>
                <w:lang w:val="ru-RU"/>
              </w:rPr>
              <w:t xml:space="preserve">: идарубицин;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интравенозно</w:t>
            </w:r>
          </w:p>
        </w:tc>
      </w:tr>
    </w:tbl>
    <w:p w14:paraId="3E54FEAC" w14:textId="77777777" w:rsidR="001718E4" w:rsidRPr="00FE6AC6" w:rsidRDefault="001718E4" w:rsidP="0063575E">
      <w:pPr>
        <w:pStyle w:val="EndnoteText"/>
        <w:widowControl w:val="0"/>
        <w:rPr>
          <w:color w:val="000000"/>
          <w:szCs w:val="22"/>
          <w:lang w:val="ru-RU"/>
        </w:rPr>
      </w:pPr>
    </w:p>
    <w:p w14:paraId="3E54FEAD" w14:textId="77777777" w:rsidR="001718E4" w:rsidRPr="00FE6AC6" w:rsidRDefault="001718E4" w:rsidP="0063575E">
      <w:pPr>
        <w:pStyle w:val="EndnoteText"/>
        <w:widowControl w:val="0"/>
        <w:rPr>
          <w:color w:val="000000"/>
          <w:lang w:val="bg-BG"/>
        </w:rPr>
      </w:pPr>
      <w:r w:rsidRPr="00FE6AC6">
        <w:rPr>
          <w:i/>
          <w:color w:val="000000"/>
          <w:lang w:val="bg-BG"/>
        </w:rPr>
        <w:t>Педиатрични пациенти</w:t>
      </w:r>
      <w:r w:rsidRPr="00FE6AC6">
        <w:rPr>
          <w:color w:val="000000"/>
          <w:lang w:val="ru-RU"/>
        </w:rPr>
        <w:t>:</w:t>
      </w:r>
      <w:r w:rsidRPr="00FE6AC6">
        <w:rPr>
          <w:lang w:val="ru-RU"/>
        </w:rPr>
        <w:t xml:space="preserve"> </w:t>
      </w:r>
      <w:r w:rsidRPr="00FE6AC6">
        <w:rPr>
          <w:lang w:val="bg-BG"/>
        </w:rPr>
        <w:t>В проучване</w:t>
      </w:r>
      <w:r w:rsidRPr="00FE6AC6">
        <w:rPr>
          <w:color w:val="000000"/>
          <w:lang w:val="ru-RU"/>
        </w:rPr>
        <w:t xml:space="preserve"> </w:t>
      </w:r>
      <w:r w:rsidRPr="00FE6AC6">
        <w:rPr>
          <w:color w:val="000000"/>
        </w:rPr>
        <w:t>I</w:t>
      </w:r>
      <w:r w:rsidRPr="00FE6AC6">
        <w:rPr>
          <w:color w:val="000000"/>
          <w:lang w:val="ru-RU"/>
        </w:rPr>
        <w:t>2301</w:t>
      </w:r>
      <w:r w:rsidRPr="00FE6AC6">
        <w:rPr>
          <w:color w:val="000000"/>
          <w:lang w:val="bg-BG"/>
        </w:rPr>
        <w:t xml:space="preserve"> общо</w:t>
      </w:r>
      <w:r w:rsidRPr="00FE6AC6">
        <w:rPr>
          <w:color w:val="000000"/>
          <w:lang w:val="ru-RU"/>
        </w:rPr>
        <w:t xml:space="preserve"> 93 </w:t>
      </w:r>
      <w:r w:rsidRPr="00FE6AC6">
        <w:rPr>
          <w:color w:val="000000"/>
          <w:lang w:val="bg-BG"/>
        </w:rPr>
        <w:t xml:space="preserve">педиатрични пациенти, юноши и млади възрастни (на възраст от 1 до 22 години) с </w:t>
      </w:r>
      <w:r w:rsidRPr="00FE6AC6">
        <w:rPr>
          <w:color w:val="000000"/>
        </w:rPr>
        <w:t>Ph</w:t>
      </w:r>
      <w:r w:rsidRPr="00FE6AC6">
        <w:rPr>
          <w:color w:val="000000"/>
          <w:lang w:val="ru-RU"/>
        </w:rPr>
        <w:t xml:space="preserve">+ </w:t>
      </w:r>
      <w:r w:rsidRPr="00FE6AC6">
        <w:rPr>
          <w:color w:val="000000"/>
          <w:lang w:val="bg-BG"/>
        </w:rPr>
        <w:t>ОЛЛ са включени в отворено, многоцентрово, нерандомизирано фаза</w:t>
      </w:r>
      <w:r w:rsidR="00A6780E" w:rsidRPr="00FE6AC6">
        <w:rPr>
          <w:color w:val="000000"/>
          <w:lang w:val="ru-RU"/>
        </w:rPr>
        <w:t> </w:t>
      </w:r>
      <w:r w:rsidRPr="00FE6AC6">
        <w:rPr>
          <w:color w:val="000000"/>
        </w:rPr>
        <w:t>III</w:t>
      </w:r>
      <w:r w:rsidRPr="00FE6AC6">
        <w:rPr>
          <w:color w:val="000000"/>
          <w:lang w:val="ru-RU"/>
        </w:rPr>
        <w:t xml:space="preserve"> </w:t>
      </w:r>
      <w:r w:rsidRPr="00FE6AC6">
        <w:rPr>
          <w:color w:val="000000"/>
          <w:lang w:val="bg-BG"/>
        </w:rPr>
        <w:t xml:space="preserve">изпитване </w:t>
      </w:r>
      <w:r w:rsidR="00A6780E" w:rsidRPr="00FE6AC6">
        <w:rPr>
          <w:color w:val="000000"/>
          <w:lang w:val="bg-BG"/>
        </w:rPr>
        <w:t>с последователни кохорти</w:t>
      </w:r>
      <w:r w:rsidR="00D04C8B" w:rsidRPr="00FE6AC6">
        <w:rPr>
          <w:color w:val="000000"/>
          <w:lang w:val="bg-BG"/>
        </w:rPr>
        <w:t xml:space="preserve">. Пациентите </w:t>
      </w:r>
      <w:r w:rsidRPr="00FE6AC6">
        <w:rPr>
          <w:color w:val="000000"/>
          <w:lang w:val="bg-BG"/>
        </w:rPr>
        <w:t xml:space="preserve">са лекувани с </w:t>
      </w:r>
      <w:r w:rsidRPr="00FE6AC6">
        <w:rPr>
          <w:color w:val="000000"/>
        </w:rPr>
        <w:t>Glivec</w:t>
      </w:r>
      <w:r w:rsidRPr="00FE6AC6">
        <w:rPr>
          <w:color w:val="000000"/>
          <w:lang w:val="ru-RU"/>
        </w:rPr>
        <w:t xml:space="preserve"> (340</w:t>
      </w:r>
      <w:r w:rsidRPr="00FE6AC6">
        <w:rPr>
          <w:color w:val="000000"/>
        </w:rPr>
        <w:t> mg</w:t>
      </w:r>
      <w:r w:rsidRPr="00FE6AC6">
        <w:rPr>
          <w:color w:val="000000"/>
          <w:lang w:val="ru-RU"/>
        </w:rPr>
        <w:t>/</w:t>
      </w:r>
      <w:r w:rsidRPr="00FE6AC6">
        <w:rPr>
          <w:color w:val="000000"/>
        </w:rPr>
        <w:t>m</w:t>
      </w:r>
      <w:r w:rsidRPr="00FE6AC6">
        <w:rPr>
          <w:color w:val="000000"/>
          <w:vertAlign w:val="superscript"/>
          <w:lang w:val="ru-RU"/>
        </w:rPr>
        <w:t>2</w:t>
      </w:r>
      <w:r w:rsidRPr="00FE6AC6">
        <w:rPr>
          <w:color w:val="000000"/>
          <w:lang w:val="ru-RU"/>
        </w:rPr>
        <w:t>/</w:t>
      </w:r>
      <w:r w:rsidRPr="00FE6AC6">
        <w:rPr>
          <w:color w:val="000000"/>
          <w:lang w:val="bg-BG"/>
        </w:rPr>
        <w:t>ден</w:t>
      </w:r>
      <w:r w:rsidRPr="00FE6AC6">
        <w:rPr>
          <w:color w:val="000000"/>
          <w:lang w:val="ru-RU"/>
        </w:rPr>
        <w:t xml:space="preserve">) </w:t>
      </w:r>
      <w:r w:rsidRPr="00FE6AC6">
        <w:rPr>
          <w:color w:val="000000"/>
          <w:lang w:val="bg-BG"/>
        </w:rPr>
        <w:t xml:space="preserve">в комбинация с интензивна химиотерапия, след индукционна терапия. </w:t>
      </w:r>
      <w:r w:rsidRPr="00FE6AC6">
        <w:rPr>
          <w:color w:val="000000"/>
        </w:rPr>
        <w:t>Glivec</w:t>
      </w:r>
      <w:r w:rsidRPr="00FE6AC6">
        <w:rPr>
          <w:color w:val="000000"/>
          <w:lang w:val="bg-BG"/>
        </w:rPr>
        <w:t xml:space="preserve"> е прилаган интермитентно в кохорти 1</w:t>
      </w:r>
      <w:r w:rsidRPr="00FE6AC6">
        <w:rPr>
          <w:color w:val="000000"/>
          <w:lang w:val="bg-BG"/>
        </w:rPr>
        <w:noBreakHyphen/>
        <w:t xml:space="preserve">5, с </w:t>
      </w:r>
      <w:r w:rsidR="00157887" w:rsidRPr="00FE6AC6">
        <w:rPr>
          <w:color w:val="000000"/>
          <w:lang w:val="bg-BG"/>
        </w:rPr>
        <w:t>увеличаваща се продължителност</w:t>
      </w:r>
      <w:r w:rsidRPr="00FE6AC6">
        <w:rPr>
          <w:color w:val="000000"/>
          <w:lang w:val="bg-BG"/>
        </w:rPr>
        <w:t xml:space="preserve"> и по-ранно започване на </w:t>
      </w:r>
      <w:r w:rsidRPr="00FE6AC6">
        <w:rPr>
          <w:color w:val="000000"/>
        </w:rPr>
        <w:t>Glivec</w:t>
      </w:r>
      <w:r w:rsidRPr="00FE6AC6">
        <w:rPr>
          <w:color w:val="000000"/>
          <w:lang w:val="bg-BG"/>
        </w:rPr>
        <w:t xml:space="preserve"> от кохорта на кохорта, кохорта</w:t>
      </w:r>
      <w:r w:rsidR="00227FBE" w:rsidRPr="00FE6AC6">
        <w:rPr>
          <w:color w:val="000000"/>
          <w:lang w:val="bg-BG"/>
        </w:rPr>
        <w:t> </w:t>
      </w:r>
      <w:r w:rsidRPr="00FE6AC6">
        <w:rPr>
          <w:color w:val="000000"/>
          <w:lang w:val="bg-BG"/>
        </w:rPr>
        <w:t>1 го е получавала с най-</w:t>
      </w:r>
      <w:r w:rsidR="00227FBE" w:rsidRPr="00FE6AC6">
        <w:rPr>
          <w:color w:val="000000"/>
          <w:lang w:val="bg-BG"/>
        </w:rPr>
        <w:t>ниска</w:t>
      </w:r>
      <w:r w:rsidRPr="00FE6AC6">
        <w:rPr>
          <w:color w:val="000000"/>
          <w:lang w:val="bg-BG"/>
        </w:rPr>
        <w:t xml:space="preserve"> интензивност, а кохорта</w:t>
      </w:r>
      <w:r w:rsidR="00227FBE" w:rsidRPr="00FE6AC6">
        <w:rPr>
          <w:color w:val="000000"/>
          <w:lang w:val="bg-BG"/>
        </w:rPr>
        <w:t> </w:t>
      </w:r>
      <w:r w:rsidRPr="00FE6AC6">
        <w:rPr>
          <w:color w:val="000000"/>
          <w:lang w:val="bg-BG"/>
        </w:rPr>
        <w:t>5 с най-</w:t>
      </w:r>
      <w:r w:rsidR="00227FBE" w:rsidRPr="00FE6AC6">
        <w:rPr>
          <w:color w:val="000000"/>
          <w:lang w:val="bg-BG"/>
        </w:rPr>
        <w:t>висока</w:t>
      </w:r>
      <w:r w:rsidRPr="00FE6AC6">
        <w:rPr>
          <w:color w:val="000000"/>
          <w:lang w:val="bg-BG"/>
        </w:rPr>
        <w:t xml:space="preserve"> интензивност (най-дълга продължителност </w:t>
      </w:r>
      <w:r w:rsidR="00157887" w:rsidRPr="00FE6AC6">
        <w:rPr>
          <w:color w:val="000000"/>
          <w:lang w:val="bg-BG"/>
        </w:rPr>
        <w:t>в</w:t>
      </w:r>
      <w:r w:rsidRPr="00FE6AC6">
        <w:rPr>
          <w:color w:val="000000"/>
          <w:lang w:val="bg-BG"/>
        </w:rPr>
        <w:t xml:space="preserve"> дни с непрекъснато ежедневно приложение на </w:t>
      </w:r>
      <w:r w:rsidRPr="00FE6AC6">
        <w:rPr>
          <w:color w:val="000000"/>
        </w:rPr>
        <w:t>Glivec</w:t>
      </w:r>
      <w:r w:rsidRPr="00FE6AC6">
        <w:rPr>
          <w:color w:val="000000"/>
          <w:lang w:val="bg-BG"/>
        </w:rPr>
        <w:t xml:space="preserve"> през първия химиотерапевтичен курс). Продължителната ежедневна експозиция на </w:t>
      </w:r>
      <w:r w:rsidRPr="00FE6AC6">
        <w:rPr>
          <w:color w:val="000000"/>
        </w:rPr>
        <w:t>Glivec</w:t>
      </w:r>
      <w:r w:rsidRPr="00FE6AC6">
        <w:rPr>
          <w:color w:val="000000"/>
          <w:lang w:val="bg-BG"/>
        </w:rPr>
        <w:t xml:space="preserve"> в ранните етапи от лечението в комбинация с химиотерапия при пациентите в кохорта</w:t>
      </w:r>
      <w:r w:rsidRPr="00FE6AC6">
        <w:rPr>
          <w:color w:val="000000"/>
        </w:rPr>
        <w:t> </w:t>
      </w:r>
      <w:r w:rsidRPr="00FE6AC6">
        <w:rPr>
          <w:color w:val="000000"/>
          <w:lang w:val="bg-BG"/>
        </w:rPr>
        <w:t>5 (</w:t>
      </w:r>
      <w:r w:rsidRPr="00FE6AC6">
        <w:rPr>
          <w:color w:val="000000"/>
        </w:rPr>
        <w:t>n</w:t>
      </w:r>
      <w:r w:rsidRPr="00FE6AC6">
        <w:rPr>
          <w:color w:val="000000"/>
          <w:lang w:val="bg-BG"/>
        </w:rPr>
        <w:t xml:space="preserve">=50) подобрява 4-годишната преживяемост без </w:t>
      </w:r>
      <w:r w:rsidR="00A72A77" w:rsidRPr="00FE6AC6">
        <w:rPr>
          <w:color w:val="000000"/>
          <w:lang w:val="bg-BG"/>
        </w:rPr>
        <w:t>събития</w:t>
      </w:r>
      <w:r w:rsidRPr="00FE6AC6">
        <w:rPr>
          <w:color w:val="000000"/>
          <w:lang w:val="bg-BG"/>
        </w:rPr>
        <w:t xml:space="preserve"> (ПБР) спрямо контроли от минали проучвания (</w:t>
      </w:r>
      <w:r w:rsidRPr="00FE6AC6">
        <w:rPr>
          <w:color w:val="000000"/>
        </w:rPr>
        <w:t>n</w:t>
      </w:r>
      <w:r w:rsidRPr="00FE6AC6">
        <w:rPr>
          <w:color w:val="000000"/>
          <w:lang w:val="bg-BG"/>
        </w:rPr>
        <w:t xml:space="preserve">=120), получаващи стандартна химиотерапия без </w:t>
      </w:r>
      <w:r w:rsidRPr="00FE6AC6">
        <w:rPr>
          <w:color w:val="000000"/>
        </w:rPr>
        <w:t>Glivec</w:t>
      </w:r>
      <w:r w:rsidRPr="00FE6AC6">
        <w:rPr>
          <w:color w:val="000000"/>
          <w:lang w:val="bg-BG"/>
        </w:rPr>
        <w:t xml:space="preserve"> (</w:t>
      </w:r>
      <w:r w:rsidR="00157887" w:rsidRPr="00FE6AC6">
        <w:rPr>
          <w:color w:val="000000"/>
          <w:lang w:val="bg-BG"/>
        </w:rPr>
        <w:t xml:space="preserve">съответно </w:t>
      </w:r>
      <w:r w:rsidRPr="00FE6AC6">
        <w:rPr>
          <w:color w:val="000000"/>
          <w:lang w:val="bg-BG"/>
        </w:rPr>
        <w:t>69,6% спрямо 31,6%). Изчислената 4-годишна обща преживяемост на пациентите в кохорта</w:t>
      </w:r>
      <w:r w:rsidR="0078208F" w:rsidRPr="00FE6AC6">
        <w:rPr>
          <w:color w:val="000000"/>
          <w:lang w:val="bg-BG"/>
        </w:rPr>
        <w:t> </w:t>
      </w:r>
      <w:r w:rsidRPr="00FE6AC6">
        <w:rPr>
          <w:color w:val="000000"/>
          <w:lang w:val="bg-BG"/>
        </w:rPr>
        <w:t>5 е 83,6% спрямо 44,8% при контролите от минали проучвания. При 20 от 50 (40%) пациенти в кохорта</w:t>
      </w:r>
      <w:r w:rsidR="00AF0AF0" w:rsidRPr="00FE6AC6">
        <w:rPr>
          <w:color w:val="000000"/>
          <w:lang w:val="bg-BG"/>
        </w:rPr>
        <w:t> </w:t>
      </w:r>
      <w:r w:rsidRPr="00FE6AC6">
        <w:rPr>
          <w:color w:val="000000"/>
          <w:lang w:val="bg-BG"/>
        </w:rPr>
        <w:t xml:space="preserve">5 е </w:t>
      </w:r>
      <w:r w:rsidR="00AF0AF0" w:rsidRPr="00FE6AC6">
        <w:rPr>
          <w:color w:val="000000"/>
          <w:lang w:val="bg-BG"/>
        </w:rPr>
        <w:t>направена</w:t>
      </w:r>
      <w:r w:rsidRPr="00FE6AC6">
        <w:rPr>
          <w:color w:val="000000"/>
          <w:lang w:val="bg-BG"/>
        </w:rPr>
        <w:t xml:space="preserve"> трансплантация на хемопоетични стволови клетки.</w:t>
      </w:r>
    </w:p>
    <w:p w14:paraId="3E54FEAE" w14:textId="77777777" w:rsidR="001718E4" w:rsidRPr="00FE6AC6" w:rsidRDefault="001718E4" w:rsidP="0063575E">
      <w:pPr>
        <w:pStyle w:val="EndnoteText"/>
        <w:widowControl w:val="0"/>
        <w:rPr>
          <w:color w:val="000000"/>
          <w:lang w:val="bg-BG"/>
        </w:rPr>
      </w:pPr>
    </w:p>
    <w:p w14:paraId="3E54FEAF" w14:textId="77777777" w:rsidR="00512CD0" w:rsidRPr="00FE6AC6" w:rsidRDefault="00353008" w:rsidP="0063575E">
      <w:pPr>
        <w:pStyle w:val="EndnoteText"/>
        <w:keepNext/>
        <w:keepLines/>
        <w:widowControl w:val="0"/>
        <w:tabs>
          <w:tab w:val="clear" w:pos="567"/>
        </w:tabs>
        <w:ind w:left="1134" w:hanging="1134"/>
        <w:rPr>
          <w:b/>
          <w:color w:val="000000"/>
          <w:lang w:val="bg-BG"/>
        </w:rPr>
      </w:pPr>
      <w:r w:rsidRPr="00FE6AC6">
        <w:rPr>
          <w:b/>
          <w:color w:val="000000"/>
          <w:lang w:val="bg-BG"/>
        </w:rPr>
        <w:t>Таблица</w:t>
      </w:r>
      <w:r w:rsidR="00512CD0" w:rsidRPr="00FE6AC6">
        <w:rPr>
          <w:b/>
          <w:color w:val="000000"/>
        </w:rPr>
        <w:t> </w:t>
      </w:r>
      <w:r w:rsidR="008C64DA" w:rsidRPr="00FE6AC6">
        <w:rPr>
          <w:b/>
          <w:color w:val="000000"/>
          <w:lang w:val="bg-BG"/>
        </w:rPr>
        <w:t>5</w:t>
      </w:r>
      <w:r w:rsidR="00512CD0" w:rsidRPr="00FE6AC6">
        <w:rPr>
          <w:b/>
          <w:color w:val="000000"/>
          <w:lang w:val="bg-BG"/>
        </w:rPr>
        <w:tab/>
      </w:r>
      <w:r w:rsidRPr="00FE6AC6">
        <w:rPr>
          <w:b/>
          <w:color w:val="000000"/>
          <w:lang w:val="bg-BG"/>
        </w:rPr>
        <w:t>Химиотерапевтична схема използвана в комбинация с иматиниб в проучване</w:t>
      </w:r>
      <w:r w:rsidR="00512CD0" w:rsidRPr="00FE6AC6">
        <w:rPr>
          <w:b/>
          <w:color w:val="000000"/>
          <w:lang w:val="bg-BG"/>
        </w:rPr>
        <w:t xml:space="preserve"> </w:t>
      </w:r>
      <w:r w:rsidR="00512CD0" w:rsidRPr="00FE6AC6">
        <w:rPr>
          <w:b/>
          <w:color w:val="000000"/>
        </w:rPr>
        <w:t>I</w:t>
      </w:r>
      <w:r w:rsidR="00512CD0" w:rsidRPr="00FE6AC6">
        <w:rPr>
          <w:b/>
          <w:color w:val="000000"/>
          <w:lang w:val="bg-BG"/>
        </w:rPr>
        <w:t>2301</w:t>
      </w:r>
    </w:p>
    <w:p w14:paraId="3E54FEB0" w14:textId="77777777" w:rsidR="00512CD0" w:rsidRPr="00FE6AC6" w:rsidRDefault="00512CD0" w:rsidP="0063575E">
      <w:pPr>
        <w:pStyle w:val="EndnoteText"/>
        <w:keepNext/>
        <w:keepLines/>
        <w:widowControl w:val="0"/>
        <w:rPr>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6722"/>
      </w:tblGrid>
      <w:tr w:rsidR="001A7A03" w:rsidRPr="00FE6AC6" w14:paraId="3E54FEB9" w14:textId="77777777" w:rsidTr="00F40727">
        <w:trPr>
          <w:cantSplit/>
        </w:trPr>
        <w:tc>
          <w:tcPr>
            <w:tcW w:w="2358" w:type="dxa"/>
            <w:shd w:val="clear" w:color="auto" w:fill="auto"/>
          </w:tcPr>
          <w:p w14:paraId="3E54FEB1" w14:textId="77777777" w:rsidR="00512CD0" w:rsidRPr="00FE6AC6" w:rsidRDefault="00EB3E8A" w:rsidP="0063575E">
            <w:pPr>
              <w:pStyle w:val="EndnoteText"/>
              <w:keepNext/>
              <w:keepLines/>
              <w:widowControl w:val="0"/>
              <w:rPr>
                <w:color w:val="000000"/>
              </w:rPr>
            </w:pPr>
            <w:r w:rsidRPr="00FE6AC6">
              <w:rPr>
                <w:color w:val="000000"/>
                <w:lang w:val="bg-BG"/>
              </w:rPr>
              <w:t>Консолидационен блок</w:t>
            </w:r>
            <w:r w:rsidR="00512CD0" w:rsidRPr="00FE6AC6">
              <w:rPr>
                <w:color w:val="000000"/>
              </w:rPr>
              <w:t> 1</w:t>
            </w:r>
          </w:p>
          <w:p w14:paraId="3E54FEB2" w14:textId="77777777" w:rsidR="00512CD0" w:rsidRPr="00FE6AC6" w:rsidRDefault="00512CD0" w:rsidP="0063575E">
            <w:pPr>
              <w:pStyle w:val="EndnoteText"/>
              <w:keepNext/>
              <w:keepLines/>
              <w:widowControl w:val="0"/>
              <w:rPr>
                <w:color w:val="000000"/>
              </w:rPr>
            </w:pPr>
            <w:r w:rsidRPr="00FE6AC6">
              <w:rPr>
                <w:color w:val="000000"/>
              </w:rPr>
              <w:t>(3 </w:t>
            </w:r>
            <w:r w:rsidR="00EB3E8A" w:rsidRPr="00FE6AC6">
              <w:rPr>
                <w:color w:val="000000"/>
                <w:lang w:val="bg-BG"/>
              </w:rPr>
              <w:t>седмици</w:t>
            </w:r>
            <w:r w:rsidRPr="00FE6AC6">
              <w:rPr>
                <w:color w:val="000000"/>
              </w:rPr>
              <w:t>)</w:t>
            </w:r>
          </w:p>
        </w:tc>
        <w:tc>
          <w:tcPr>
            <w:tcW w:w="6929" w:type="dxa"/>
            <w:shd w:val="clear" w:color="auto" w:fill="auto"/>
          </w:tcPr>
          <w:p w14:paraId="3E54FEB3" w14:textId="77777777" w:rsidR="00512CD0" w:rsidRPr="00FE6AC6" w:rsidRDefault="00512CD0" w:rsidP="0063575E">
            <w:pPr>
              <w:pStyle w:val="EndnoteText"/>
              <w:keepNext/>
              <w:keepLines/>
              <w:widowControl w:val="0"/>
              <w:rPr>
                <w:color w:val="000000"/>
              </w:rPr>
            </w:pPr>
            <w:r w:rsidRPr="00FE6AC6">
              <w:rPr>
                <w:color w:val="000000"/>
              </w:rPr>
              <w:t>VP-16 (100 mg/m</w:t>
            </w:r>
            <w:r w:rsidRPr="00FE6AC6">
              <w:rPr>
                <w:color w:val="000000"/>
                <w:vertAlign w:val="superscript"/>
              </w:rPr>
              <w:t>2</w:t>
            </w:r>
            <w:r w:rsidRPr="00FE6AC6">
              <w:rPr>
                <w:color w:val="000000"/>
              </w:rPr>
              <w:t>/</w:t>
            </w:r>
            <w:r w:rsidR="00EB3E8A" w:rsidRPr="00FE6AC6">
              <w:rPr>
                <w:color w:val="000000"/>
                <w:lang w:val="bg-BG"/>
              </w:rPr>
              <w:t>ден</w:t>
            </w:r>
            <w:r w:rsidRPr="00FE6AC6">
              <w:rPr>
                <w:color w:val="000000"/>
              </w:rPr>
              <w:t xml:space="preserve">, IV): </w:t>
            </w:r>
            <w:r w:rsidR="00EB3E8A" w:rsidRPr="00FE6AC6">
              <w:rPr>
                <w:color w:val="000000"/>
                <w:lang w:val="bg-BG"/>
              </w:rPr>
              <w:t>дни</w:t>
            </w:r>
            <w:r w:rsidRPr="00FE6AC6">
              <w:rPr>
                <w:color w:val="000000"/>
              </w:rPr>
              <w:t> 1</w:t>
            </w:r>
            <w:r w:rsidRPr="00FE6AC6">
              <w:rPr>
                <w:color w:val="000000"/>
              </w:rPr>
              <w:noBreakHyphen/>
              <w:t>5</w:t>
            </w:r>
          </w:p>
          <w:p w14:paraId="3E54FEB4" w14:textId="77777777" w:rsidR="00512CD0" w:rsidRPr="00FE6AC6" w:rsidRDefault="00EB3E8A" w:rsidP="0063575E">
            <w:pPr>
              <w:pStyle w:val="EndnoteText"/>
              <w:keepNext/>
              <w:keepLines/>
              <w:widowControl w:val="0"/>
              <w:rPr>
                <w:color w:val="000000"/>
              </w:rPr>
            </w:pPr>
            <w:r w:rsidRPr="00FE6AC6">
              <w:rPr>
                <w:color w:val="000000"/>
                <w:lang w:val="bg-BG"/>
              </w:rPr>
              <w:t>Ифосфамид</w:t>
            </w:r>
            <w:r w:rsidR="00512CD0" w:rsidRPr="00FE6AC6">
              <w:rPr>
                <w:color w:val="000000"/>
              </w:rPr>
              <w:t xml:space="preserve"> (1</w:t>
            </w:r>
            <w:r w:rsidRPr="00FE6AC6">
              <w:rPr>
                <w:color w:val="000000"/>
                <w:lang w:val="bg-BG"/>
              </w:rPr>
              <w:t>,</w:t>
            </w:r>
            <w:r w:rsidR="00512CD0" w:rsidRPr="00FE6AC6">
              <w:rPr>
                <w:color w:val="000000"/>
              </w:rPr>
              <w:t>8 g/m</w:t>
            </w:r>
            <w:r w:rsidR="00512CD0" w:rsidRPr="00FE6AC6">
              <w:rPr>
                <w:color w:val="000000"/>
                <w:vertAlign w:val="superscript"/>
              </w:rPr>
              <w:t>2</w:t>
            </w:r>
            <w:r w:rsidR="00512CD0" w:rsidRPr="00FE6AC6">
              <w:rPr>
                <w:color w:val="000000"/>
              </w:rPr>
              <w:t>/</w:t>
            </w:r>
            <w:r w:rsidRPr="00FE6AC6">
              <w:rPr>
                <w:color w:val="000000"/>
                <w:lang w:val="bg-BG"/>
              </w:rPr>
              <w:t>ден</w:t>
            </w:r>
            <w:r w:rsidR="00512CD0" w:rsidRPr="00FE6AC6">
              <w:rPr>
                <w:color w:val="000000"/>
              </w:rPr>
              <w:t xml:space="preserve">, IV): </w:t>
            </w:r>
            <w:r w:rsidRPr="00FE6AC6">
              <w:rPr>
                <w:color w:val="000000"/>
                <w:lang w:val="bg-BG"/>
              </w:rPr>
              <w:t>дни</w:t>
            </w:r>
            <w:r w:rsidR="00512CD0" w:rsidRPr="00FE6AC6">
              <w:rPr>
                <w:color w:val="000000"/>
              </w:rPr>
              <w:t> 1</w:t>
            </w:r>
            <w:r w:rsidR="00512CD0" w:rsidRPr="00FE6AC6">
              <w:rPr>
                <w:color w:val="000000"/>
              </w:rPr>
              <w:noBreakHyphen/>
              <w:t>5</w:t>
            </w:r>
          </w:p>
          <w:p w14:paraId="3E54FEB5" w14:textId="77777777" w:rsidR="00512CD0" w:rsidRPr="00FE6AC6" w:rsidRDefault="00512CD0" w:rsidP="0063575E">
            <w:pPr>
              <w:pStyle w:val="EndnoteText"/>
              <w:keepNext/>
              <w:keepLines/>
              <w:widowControl w:val="0"/>
              <w:rPr>
                <w:color w:val="000000"/>
              </w:rPr>
            </w:pPr>
            <w:r w:rsidRPr="00FE6AC6">
              <w:rPr>
                <w:color w:val="000000"/>
              </w:rPr>
              <w:t>MESNA (360 mg/m</w:t>
            </w:r>
            <w:r w:rsidRPr="00FE6AC6">
              <w:rPr>
                <w:color w:val="000000"/>
                <w:vertAlign w:val="superscript"/>
              </w:rPr>
              <w:t>2</w:t>
            </w:r>
            <w:r w:rsidRPr="00FE6AC6">
              <w:rPr>
                <w:color w:val="000000"/>
              </w:rPr>
              <w:t>/</w:t>
            </w:r>
            <w:r w:rsidR="00EB3E8A" w:rsidRPr="00FE6AC6">
              <w:rPr>
                <w:color w:val="000000"/>
                <w:lang w:val="bg-BG"/>
              </w:rPr>
              <w:t xml:space="preserve">доза на </w:t>
            </w:r>
            <w:r w:rsidRPr="00FE6AC6">
              <w:rPr>
                <w:color w:val="000000"/>
              </w:rPr>
              <w:t>3</w:t>
            </w:r>
            <w:r w:rsidR="00EB3E8A" w:rsidRPr="00FE6AC6">
              <w:rPr>
                <w:color w:val="000000"/>
                <w:lang w:val="bg-BG"/>
              </w:rPr>
              <w:t> ч</w:t>
            </w:r>
            <w:r w:rsidRPr="00FE6AC6">
              <w:rPr>
                <w:color w:val="000000"/>
              </w:rPr>
              <w:t xml:space="preserve">, x 8 </w:t>
            </w:r>
            <w:r w:rsidR="00EB3E8A" w:rsidRPr="00FE6AC6">
              <w:rPr>
                <w:color w:val="000000"/>
                <w:lang w:val="bg-BG"/>
              </w:rPr>
              <w:t>дози</w:t>
            </w:r>
            <w:r w:rsidRPr="00FE6AC6">
              <w:rPr>
                <w:color w:val="000000"/>
              </w:rPr>
              <w:t>/</w:t>
            </w:r>
            <w:r w:rsidR="00EB3E8A" w:rsidRPr="00FE6AC6">
              <w:rPr>
                <w:color w:val="000000"/>
                <w:lang w:val="bg-BG"/>
              </w:rPr>
              <w:t>ден</w:t>
            </w:r>
            <w:r w:rsidRPr="00FE6AC6">
              <w:rPr>
                <w:color w:val="000000"/>
              </w:rPr>
              <w:t xml:space="preserve">, IV): </w:t>
            </w:r>
            <w:r w:rsidR="00EB3E8A" w:rsidRPr="00FE6AC6">
              <w:rPr>
                <w:color w:val="000000"/>
                <w:lang w:val="bg-BG"/>
              </w:rPr>
              <w:t>дни</w:t>
            </w:r>
            <w:r w:rsidRPr="00FE6AC6">
              <w:rPr>
                <w:color w:val="000000"/>
              </w:rPr>
              <w:t> 1</w:t>
            </w:r>
            <w:r w:rsidRPr="00FE6AC6">
              <w:rPr>
                <w:color w:val="000000"/>
              </w:rPr>
              <w:noBreakHyphen/>
              <w:t>5</w:t>
            </w:r>
          </w:p>
          <w:p w14:paraId="3E54FEB6" w14:textId="77777777" w:rsidR="00512CD0" w:rsidRPr="00FE6AC6" w:rsidRDefault="00512CD0" w:rsidP="0063575E">
            <w:pPr>
              <w:pStyle w:val="EndnoteText"/>
              <w:keepNext/>
              <w:keepLines/>
              <w:widowControl w:val="0"/>
              <w:rPr>
                <w:color w:val="000000"/>
              </w:rPr>
            </w:pPr>
            <w:r w:rsidRPr="00FE6AC6">
              <w:rPr>
                <w:color w:val="000000"/>
              </w:rPr>
              <w:t xml:space="preserve">G-CSF (5 μg/kg, SC): </w:t>
            </w:r>
            <w:r w:rsidR="00EB3E8A" w:rsidRPr="00FE6AC6">
              <w:rPr>
                <w:color w:val="000000"/>
                <w:lang w:val="bg-BG"/>
              </w:rPr>
              <w:t>дни</w:t>
            </w:r>
            <w:r w:rsidRPr="00FE6AC6">
              <w:rPr>
                <w:color w:val="000000"/>
              </w:rPr>
              <w:t> 6</w:t>
            </w:r>
            <w:r w:rsidRPr="00FE6AC6">
              <w:rPr>
                <w:color w:val="000000"/>
              </w:rPr>
              <w:noBreakHyphen/>
              <w:t xml:space="preserve">15 </w:t>
            </w:r>
            <w:r w:rsidR="00EB3E8A" w:rsidRPr="00FE6AC6">
              <w:rPr>
                <w:color w:val="000000"/>
                <w:lang w:val="bg-BG"/>
              </w:rPr>
              <w:t xml:space="preserve">или докато </w:t>
            </w:r>
            <w:r w:rsidRPr="00FE6AC6">
              <w:rPr>
                <w:color w:val="000000"/>
              </w:rPr>
              <w:t xml:space="preserve">ANC &gt; 1500 </w:t>
            </w:r>
            <w:r w:rsidR="00EB3E8A" w:rsidRPr="00FE6AC6">
              <w:rPr>
                <w:color w:val="000000"/>
                <w:lang w:val="bg-BG"/>
              </w:rPr>
              <w:t>след надир</w:t>
            </w:r>
          </w:p>
          <w:p w14:paraId="3E54FEB7" w14:textId="77777777" w:rsidR="00512CD0" w:rsidRPr="00FE6AC6" w:rsidRDefault="00512CD0" w:rsidP="0063575E">
            <w:pPr>
              <w:pStyle w:val="EndnoteText"/>
              <w:keepNext/>
              <w:keepLines/>
              <w:widowControl w:val="0"/>
              <w:rPr>
                <w:color w:val="000000"/>
              </w:rPr>
            </w:pPr>
            <w:r w:rsidRPr="00FE6AC6">
              <w:rPr>
                <w:color w:val="000000"/>
              </w:rPr>
              <w:t xml:space="preserve">IT </w:t>
            </w:r>
            <w:r w:rsidR="00EB3E8A" w:rsidRPr="00FE6AC6">
              <w:rPr>
                <w:color w:val="000000"/>
                <w:lang w:val="bg-BG"/>
              </w:rPr>
              <w:t>метотрексат</w:t>
            </w:r>
            <w:r w:rsidRPr="00FE6AC6">
              <w:rPr>
                <w:color w:val="000000"/>
              </w:rPr>
              <w:t xml:space="preserve"> (</w:t>
            </w:r>
            <w:r w:rsidR="00EB3E8A" w:rsidRPr="00FE6AC6">
              <w:rPr>
                <w:color w:val="000000"/>
                <w:lang w:val="bg-BG"/>
              </w:rPr>
              <w:t>в зависимост от възрастта</w:t>
            </w:r>
            <w:r w:rsidRPr="00FE6AC6">
              <w:rPr>
                <w:color w:val="000000"/>
              </w:rPr>
              <w:t xml:space="preserve">): </w:t>
            </w:r>
            <w:r w:rsidR="00EB3E8A" w:rsidRPr="00FE6AC6">
              <w:rPr>
                <w:color w:val="000000"/>
                <w:lang w:val="bg-BG"/>
              </w:rPr>
              <w:t>САМО ден</w:t>
            </w:r>
            <w:r w:rsidRPr="00FE6AC6">
              <w:rPr>
                <w:color w:val="000000"/>
              </w:rPr>
              <w:t> 1</w:t>
            </w:r>
          </w:p>
          <w:p w14:paraId="3E54FEB8" w14:textId="77777777" w:rsidR="00512CD0" w:rsidRPr="00FE6AC6" w:rsidRDefault="00EB3E8A" w:rsidP="0063575E">
            <w:pPr>
              <w:pStyle w:val="EndnoteText"/>
              <w:keepNext/>
              <w:keepLines/>
              <w:widowControl w:val="0"/>
              <w:rPr>
                <w:color w:val="000000"/>
              </w:rPr>
            </w:pPr>
            <w:r w:rsidRPr="00FE6AC6">
              <w:rPr>
                <w:color w:val="000000"/>
                <w:lang w:val="bg-BG"/>
              </w:rPr>
              <w:t>Тройна</w:t>
            </w:r>
            <w:r w:rsidR="00512CD0" w:rsidRPr="00FE6AC6">
              <w:rPr>
                <w:color w:val="000000"/>
              </w:rPr>
              <w:t xml:space="preserve"> IT </w:t>
            </w:r>
            <w:r w:rsidRPr="00FE6AC6">
              <w:rPr>
                <w:color w:val="000000"/>
                <w:lang w:val="bg-BG"/>
              </w:rPr>
              <w:t>терапия</w:t>
            </w:r>
            <w:r w:rsidR="00512CD0" w:rsidRPr="00FE6AC6">
              <w:rPr>
                <w:color w:val="000000"/>
              </w:rPr>
              <w:t xml:space="preserve"> (</w:t>
            </w:r>
            <w:r w:rsidRPr="00FE6AC6">
              <w:rPr>
                <w:color w:val="000000"/>
                <w:lang w:val="bg-BG"/>
              </w:rPr>
              <w:t>в зависимост от възрастта</w:t>
            </w:r>
            <w:r w:rsidR="00512CD0" w:rsidRPr="00FE6AC6">
              <w:rPr>
                <w:color w:val="000000"/>
              </w:rPr>
              <w:t xml:space="preserve">): </w:t>
            </w:r>
            <w:r w:rsidRPr="00FE6AC6">
              <w:rPr>
                <w:color w:val="000000"/>
                <w:lang w:val="bg-BG"/>
              </w:rPr>
              <w:t>дни</w:t>
            </w:r>
            <w:r w:rsidR="00512CD0" w:rsidRPr="00FE6AC6">
              <w:rPr>
                <w:color w:val="000000"/>
              </w:rPr>
              <w:t> 8, 15</w:t>
            </w:r>
          </w:p>
        </w:tc>
      </w:tr>
      <w:tr w:rsidR="001A7A03" w:rsidRPr="00FE6AC6" w14:paraId="3E54FEC1" w14:textId="77777777" w:rsidTr="00F40727">
        <w:trPr>
          <w:cantSplit/>
        </w:trPr>
        <w:tc>
          <w:tcPr>
            <w:tcW w:w="2358" w:type="dxa"/>
            <w:shd w:val="clear" w:color="auto" w:fill="auto"/>
          </w:tcPr>
          <w:p w14:paraId="3E54FEBA" w14:textId="77777777" w:rsidR="00512CD0" w:rsidRPr="00FE6AC6" w:rsidRDefault="00EB3E8A" w:rsidP="0063575E">
            <w:pPr>
              <w:pStyle w:val="EndnoteText"/>
              <w:widowControl w:val="0"/>
              <w:rPr>
                <w:color w:val="000000"/>
              </w:rPr>
            </w:pPr>
            <w:r w:rsidRPr="00FE6AC6">
              <w:rPr>
                <w:color w:val="000000"/>
                <w:lang w:val="bg-BG"/>
              </w:rPr>
              <w:t>Консолидационен блок</w:t>
            </w:r>
            <w:r w:rsidR="00512CD0" w:rsidRPr="00FE6AC6">
              <w:rPr>
                <w:color w:val="000000"/>
              </w:rPr>
              <w:t> 2</w:t>
            </w:r>
          </w:p>
          <w:p w14:paraId="3E54FEBB" w14:textId="77777777" w:rsidR="00512CD0" w:rsidRPr="00FE6AC6" w:rsidRDefault="00512CD0" w:rsidP="0063575E">
            <w:pPr>
              <w:pStyle w:val="EndnoteText"/>
              <w:widowControl w:val="0"/>
              <w:rPr>
                <w:color w:val="000000"/>
              </w:rPr>
            </w:pPr>
            <w:r w:rsidRPr="00FE6AC6">
              <w:rPr>
                <w:color w:val="000000"/>
              </w:rPr>
              <w:t>(3 </w:t>
            </w:r>
            <w:r w:rsidR="00EB3E8A" w:rsidRPr="00FE6AC6">
              <w:rPr>
                <w:color w:val="000000"/>
                <w:lang w:val="bg-BG"/>
              </w:rPr>
              <w:t>седмици</w:t>
            </w:r>
            <w:r w:rsidRPr="00FE6AC6">
              <w:rPr>
                <w:color w:val="000000"/>
              </w:rPr>
              <w:t>)</w:t>
            </w:r>
          </w:p>
        </w:tc>
        <w:tc>
          <w:tcPr>
            <w:tcW w:w="6929" w:type="dxa"/>
            <w:shd w:val="clear" w:color="auto" w:fill="auto"/>
          </w:tcPr>
          <w:p w14:paraId="3E54FEBC" w14:textId="77777777" w:rsidR="00512CD0" w:rsidRPr="00FE6AC6" w:rsidRDefault="00EB3E8A" w:rsidP="0063575E">
            <w:pPr>
              <w:pStyle w:val="EndnoteText"/>
              <w:widowControl w:val="0"/>
              <w:rPr>
                <w:color w:val="000000"/>
              </w:rPr>
            </w:pPr>
            <w:r w:rsidRPr="00FE6AC6">
              <w:rPr>
                <w:color w:val="000000"/>
                <w:lang w:val="bg-BG"/>
              </w:rPr>
              <w:t>Метотрексат</w:t>
            </w:r>
            <w:r w:rsidR="00512CD0" w:rsidRPr="00FE6AC6">
              <w:rPr>
                <w:color w:val="000000"/>
              </w:rPr>
              <w:t xml:space="preserve"> (5 g/m</w:t>
            </w:r>
            <w:r w:rsidR="00512CD0" w:rsidRPr="00FE6AC6">
              <w:rPr>
                <w:color w:val="000000"/>
                <w:vertAlign w:val="superscript"/>
              </w:rPr>
              <w:t>2</w:t>
            </w:r>
            <w:r w:rsidR="00512CD0" w:rsidRPr="00FE6AC6">
              <w:rPr>
                <w:color w:val="000000"/>
              </w:rPr>
              <w:t xml:space="preserve"> </w:t>
            </w:r>
            <w:r w:rsidRPr="00FE6AC6">
              <w:rPr>
                <w:color w:val="000000"/>
                <w:lang w:val="bg-BG"/>
              </w:rPr>
              <w:t>в продължение на</w:t>
            </w:r>
            <w:r w:rsidR="00512CD0" w:rsidRPr="00FE6AC6">
              <w:rPr>
                <w:color w:val="000000"/>
              </w:rPr>
              <w:t xml:space="preserve"> 24 </w:t>
            </w:r>
            <w:r w:rsidRPr="00FE6AC6">
              <w:rPr>
                <w:color w:val="000000"/>
                <w:lang w:val="bg-BG"/>
              </w:rPr>
              <w:t>часа</w:t>
            </w:r>
            <w:r w:rsidR="00512CD0" w:rsidRPr="00FE6AC6">
              <w:rPr>
                <w:color w:val="000000"/>
              </w:rPr>
              <w:t xml:space="preserve">, IV): </w:t>
            </w:r>
            <w:r w:rsidRPr="00FE6AC6">
              <w:rPr>
                <w:color w:val="000000"/>
                <w:lang w:val="bg-BG"/>
              </w:rPr>
              <w:t>ден</w:t>
            </w:r>
            <w:r w:rsidR="00512CD0" w:rsidRPr="00FE6AC6">
              <w:rPr>
                <w:color w:val="000000"/>
              </w:rPr>
              <w:t> 1</w:t>
            </w:r>
          </w:p>
          <w:p w14:paraId="3E54FEBD" w14:textId="77777777" w:rsidR="00512CD0" w:rsidRPr="00FE6AC6" w:rsidRDefault="00EB3E8A" w:rsidP="0063575E">
            <w:pPr>
              <w:pStyle w:val="EndnoteText"/>
              <w:widowControl w:val="0"/>
              <w:rPr>
                <w:color w:val="000000"/>
              </w:rPr>
            </w:pPr>
            <w:r w:rsidRPr="00FE6AC6">
              <w:rPr>
                <w:color w:val="000000"/>
                <w:lang w:val="bg-BG"/>
              </w:rPr>
              <w:t>Левковорин</w:t>
            </w:r>
            <w:r w:rsidR="00512CD0" w:rsidRPr="00FE6AC6">
              <w:rPr>
                <w:color w:val="000000"/>
              </w:rPr>
              <w:t xml:space="preserve"> (75 mg/m</w:t>
            </w:r>
            <w:r w:rsidR="00512CD0" w:rsidRPr="00FE6AC6">
              <w:rPr>
                <w:color w:val="000000"/>
                <w:vertAlign w:val="superscript"/>
              </w:rPr>
              <w:t>2</w:t>
            </w:r>
            <w:r w:rsidR="00512CD0" w:rsidRPr="00FE6AC6">
              <w:rPr>
                <w:color w:val="000000"/>
              </w:rPr>
              <w:t xml:space="preserve"> </w:t>
            </w:r>
            <w:r w:rsidRPr="00FE6AC6">
              <w:rPr>
                <w:color w:val="000000"/>
                <w:lang w:val="bg-BG"/>
              </w:rPr>
              <w:t xml:space="preserve">на </w:t>
            </w:r>
            <w:r w:rsidR="00512CD0" w:rsidRPr="00FE6AC6">
              <w:rPr>
                <w:color w:val="000000"/>
              </w:rPr>
              <w:t>36</w:t>
            </w:r>
            <w:r w:rsidRPr="00FE6AC6">
              <w:rPr>
                <w:color w:val="000000"/>
                <w:lang w:val="bg-BG"/>
              </w:rPr>
              <w:noBreakHyphen/>
              <w:t>ти час</w:t>
            </w:r>
            <w:r w:rsidR="00512CD0" w:rsidRPr="00FE6AC6">
              <w:rPr>
                <w:color w:val="000000"/>
              </w:rPr>
              <w:t>, IV; 15 mg/m</w:t>
            </w:r>
            <w:r w:rsidR="00512CD0" w:rsidRPr="00FE6AC6">
              <w:rPr>
                <w:color w:val="000000"/>
                <w:vertAlign w:val="superscript"/>
              </w:rPr>
              <w:t>2</w:t>
            </w:r>
            <w:r w:rsidR="00512CD0" w:rsidRPr="00FE6AC6">
              <w:rPr>
                <w:color w:val="000000"/>
              </w:rPr>
              <w:t xml:space="preserve"> IV </w:t>
            </w:r>
            <w:r w:rsidRPr="00FE6AC6">
              <w:rPr>
                <w:color w:val="000000"/>
                <w:lang w:val="bg-BG"/>
              </w:rPr>
              <w:t>или</w:t>
            </w:r>
            <w:r w:rsidR="00512CD0" w:rsidRPr="00FE6AC6">
              <w:rPr>
                <w:color w:val="000000"/>
              </w:rPr>
              <w:t xml:space="preserve"> PO </w:t>
            </w:r>
            <w:r w:rsidRPr="00FE6AC6">
              <w:rPr>
                <w:color w:val="000000"/>
                <w:lang w:val="bg-BG"/>
              </w:rPr>
              <w:t>на 6 ч</w:t>
            </w:r>
            <w:r w:rsidR="00512CD0" w:rsidRPr="00FE6AC6">
              <w:rPr>
                <w:color w:val="000000"/>
              </w:rPr>
              <w:t xml:space="preserve"> x 6 </w:t>
            </w:r>
            <w:r w:rsidRPr="00FE6AC6">
              <w:rPr>
                <w:color w:val="000000"/>
                <w:lang w:val="bg-BG"/>
              </w:rPr>
              <w:t>дози</w:t>
            </w:r>
            <w:r w:rsidR="00512CD0" w:rsidRPr="00FE6AC6">
              <w:rPr>
                <w:color w:val="000000"/>
              </w:rPr>
              <w:t>)</w:t>
            </w:r>
            <w:r w:rsidR="003F32B6" w:rsidRPr="00FE6AC6">
              <w:rPr>
                <w:color w:val="000000"/>
                <w:lang w:val="en-US"/>
              </w:rPr>
              <w:t>iii</w:t>
            </w:r>
            <w:r w:rsidR="00512CD0" w:rsidRPr="00FE6AC6">
              <w:rPr>
                <w:color w:val="000000"/>
              </w:rPr>
              <w:t xml:space="preserve">: </w:t>
            </w:r>
            <w:r w:rsidR="008F45E0" w:rsidRPr="00FE6AC6">
              <w:rPr>
                <w:color w:val="000000"/>
                <w:lang w:val="bg-BG"/>
              </w:rPr>
              <w:t>д</w:t>
            </w:r>
            <w:r w:rsidRPr="00FE6AC6">
              <w:rPr>
                <w:color w:val="000000"/>
                <w:lang w:val="bg-BG"/>
              </w:rPr>
              <w:t>ни</w:t>
            </w:r>
            <w:r w:rsidR="00512CD0" w:rsidRPr="00FE6AC6">
              <w:rPr>
                <w:color w:val="000000"/>
              </w:rPr>
              <w:t xml:space="preserve"> 2 </w:t>
            </w:r>
            <w:r w:rsidRPr="00FE6AC6">
              <w:rPr>
                <w:color w:val="000000"/>
                <w:lang w:val="bg-BG"/>
              </w:rPr>
              <w:t>и</w:t>
            </w:r>
            <w:r w:rsidR="00512CD0" w:rsidRPr="00FE6AC6">
              <w:rPr>
                <w:color w:val="000000"/>
              </w:rPr>
              <w:t xml:space="preserve"> 3</w:t>
            </w:r>
          </w:p>
          <w:p w14:paraId="3E54FEBE" w14:textId="77777777" w:rsidR="00512CD0" w:rsidRPr="00FE6AC6" w:rsidRDefault="00EB3E8A" w:rsidP="0063575E">
            <w:pPr>
              <w:pStyle w:val="EndnoteText"/>
              <w:widowControl w:val="0"/>
              <w:rPr>
                <w:color w:val="000000"/>
              </w:rPr>
            </w:pPr>
            <w:r w:rsidRPr="00FE6AC6">
              <w:rPr>
                <w:color w:val="000000"/>
                <w:lang w:val="bg-BG"/>
              </w:rPr>
              <w:t>Тройна</w:t>
            </w:r>
            <w:r w:rsidR="00512CD0" w:rsidRPr="00FE6AC6">
              <w:rPr>
                <w:color w:val="000000"/>
              </w:rPr>
              <w:t xml:space="preserve"> IT </w:t>
            </w:r>
            <w:r w:rsidRPr="00FE6AC6">
              <w:rPr>
                <w:color w:val="000000"/>
                <w:lang w:val="bg-BG"/>
              </w:rPr>
              <w:t>терапия</w:t>
            </w:r>
            <w:r w:rsidR="00512CD0" w:rsidRPr="00FE6AC6">
              <w:rPr>
                <w:color w:val="000000"/>
              </w:rPr>
              <w:t xml:space="preserve"> (</w:t>
            </w:r>
            <w:r w:rsidRPr="00FE6AC6">
              <w:rPr>
                <w:color w:val="000000"/>
                <w:lang w:val="bg-BG"/>
              </w:rPr>
              <w:t>в зависимост от възрастта</w:t>
            </w:r>
            <w:r w:rsidR="00512CD0" w:rsidRPr="00FE6AC6">
              <w:rPr>
                <w:color w:val="000000"/>
              </w:rPr>
              <w:t xml:space="preserve">): </w:t>
            </w:r>
            <w:r w:rsidRPr="00FE6AC6">
              <w:rPr>
                <w:color w:val="000000"/>
                <w:lang w:val="bg-BG"/>
              </w:rPr>
              <w:t>ден</w:t>
            </w:r>
            <w:r w:rsidR="00512CD0" w:rsidRPr="00FE6AC6">
              <w:rPr>
                <w:color w:val="000000"/>
              </w:rPr>
              <w:t> 1</w:t>
            </w:r>
          </w:p>
          <w:p w14:paraId="3E54FEBF" w14:textId="77777777" w:rsidR="00512CD0" w:rsidRPr="00FE6AC6" w:rsidRDefault="00512CD0" w:rsidP="0063575E">
            <w:pPr>
              <w:pStyle w:val="EndnoteText"/>
              <w:widowControl w:val="0"/>
              <w:rPr>
                <w:color w:val="000000"/>
              </w:rPr>
            </w:pPr>
            <w:r w:rsidRPr="00FE6AC6">
              <w:rPr>
                <w:color w:val="000000"/>
              </w:rPr>
              <w:t>ARA-C (3 g/m</w:t>
            </w:r>
            <w:r w:rsidRPr="00FE6AC6">
              <w:rPr>
                <w:color w:val="000000"/>
                <w:vertAlign w:val="superscript"/>
              </w:rPr>
              <w:t>2</w:t>
            </w:r>
            <w:r w:rsidRPr="00FE6AC6">
              <w:rPr>
                <w:color w:val="000000"/>
              </w:rPr>
              <w:t>/</w:t>
            </w:r>
            <w:r w:rsidR="00EB3E8A" w:rsidRPr="00FE6AC6">
              <w:rPr>
                <w:color w:val="000000"/>
                <w:lang w:val="bg-BG"/>
              </w:rPr>
              <w:t>доза на</w:t>
            </w:r>
            <w:r w:rsidRPr="00FE6AC6">
              <w:rPr>
                <w:color w:val="000000"/>
              </w:rPr>
              <w:t xml:space="preserve"> 12 </w:t>
            </w:r>
            <w:r w:rsidR="00EB3E8A" w:rsidRPr="00FE6AC6">
              <w:rPr>
                <w:color w:val="000000"/>
                <w:lang w:val="bg-BG"/>
              </w:rPr>
              <w:t>ч</w:t>
            </w:r>
            <w:r w:rsidRPr="00FE6AC6">
              <w:rPr>
                <w:color w:val="000000"/>
              </w:rPr>
              <w:t xml:space="preserve"> x 4, IV): </w:t>
            </w:r>
            <w:r w:rsidR="00EB3E8A" w:rsidRPr="00FE6AC6">
              <w:rPr>
                <w:color w:val="000000"/>
                <w:lang w:val="bg-BG"/>
              </w:rPr>
              <w:t>дни</w:t>
            </w:r>
            <w:r w:rsidRPr="00FE6AC6">
              <w:rPr>
                <w:color w:val="000000"/>
              </w:rPr>
              <w:t xml:space="preserve"> 2 </w:t>
            </w:r>
            <w:r w:rsidR="00EB3E8A" w:rsidRPr="00FE6AC6">
              <w:rPr>
                <w:color w:val="000000"/>
                <w:lang w:val="bg-BG"/>
              </w:rPr>
              <w:t>и</w:t>
            </w:r>
            <w:r w:rsidRPr="00FE6AC6">
              <w:rPr>
                <w:color w:val="000000"/>
              </w:rPr>
              <w:t xml:space="preserve"> 3</w:t>
            </w:r>
          </w:p>
          <w:p w14:paraId="3E54FEC0" w14:textId="77777777" w:rsidR="00512CD0" w:rsidRPr="00FE6AC6" w:rsidRDefault="00512CD0" w:rsidP="0063575E">
            <w:pPr>
              <w:pStyle w:val="EndnoteText"/>
              <w:widowControl w:val="0"/>
              <w:rPr>
                <w:color w:val="000000"/>
              </w:rPr>
            </w:pPr>
            <w:r w:rsidRPr="00FE6AC6">
              <w:rPr>
                <w:color w:val="000000"/>
              </w:rPr>
              <w:t xml:space="preserve">G-CSF (5 μg/kg, SC): </w:t>
            </w:r>
            <w:r w:rsidR="00EB3E8A" w:rsidRPr="00FE6AC6">
              <w:rPr>
                <w:color w:val="000000"/>
                <w:lang w:val="bg-BG"/>
              </w:rPr>
              <w:t>дни</w:t>
            </w:r>
            <w:r w:rsidRPr="00FE6AC6">
              <w:rPr>
                <w:color w:val="000000"/>
              </w:rPr>
              <w:t xml:space="preserve"> 4-13 </w:t>
            </w:r>
            <w:r w:rsidR="00EB3E8A" w:rsidRPr="00FE6AC6">
              <w:rPr>
                <w:color w:val="000000"/>
                <w:lang w:val="bg-BG"/>
              </w:rPr>
              <w:t>или докато</w:t>
            </w:r>
            <w:r w:rsidRPr="00FE6AC6">
              <w:rPr>
                <w:color w:val="000000"/>
              </w:rPr>
              <w:t xml:space="preserve"> ANC &gt;1</w:t>
            </w:r>
            <w:r w:rsidR="00600B48" w:rsidRPr="00FE6AC6">
              <w:rPr>
                <w:color w:val="000000"/>
              </w:rPr>
              <w:t> </w:t>
            </w:r>
            <w:r w:rsidRPr="00FE6AC6">
              <w:rPr>
                <w:color w:val="000000"/>
              </w:rPr>
              <w:t xml:space="preserve">500 </w:t>
            </w:r>
            <w:r w:rsidR="00EB3E8A" w:rsidRPr="00FE6AC6">
              <w:rPr>
                <w:color w:val="000000"/>
                <w:lang w:val="bg-BG"/>
              </w:rPr>
              <w:t>след надир</w:t>
            </w:r>
          </w:p>
        </w:tc>
      </w:tr>
      <w:tr w:rsidR="001A7A03" w:rsidRPr="004015AA" w14:paraId="3E54FECB" w14:textId="77777777" w:rsidTr="00F40727">
        <w:trPr>
          <w:cantSplit/>
        </w:trPr>
        <w:tc>
          <w:tcPr>
            <w:tcW w:w="2358" w:type="dxa"/>
            <w:shd w:val="clear" w:color="auto" w:fill="auto"/>
          </w:tcPr>
          <w:p w14:paraId="3E54FEC2" w14:textId="77777777" w:rsidR="00512CD0" w:rsidRPr="00FE6AC6" w:rsidRDefault="009144B7" w:rsidP="0063575E">
            <w:pPr>
              <w:pStyle w:val="EndnoteText"/>
              <w:widowControl w:val="0"/>
              <w:rPr>
                <w:color w:val="000000"/>
              </w:rPr>
            </w:pPr>
            <w:r w:rsidRPr="00FE6AC6">
              <w:rPr>
                <w:color w:val="000000"/>
                <w:lang w:val="bg-BG"/>
              </w:rPr>
              <w:t>Реиндукционен блок</w:t>
            </w:r>
            <w:r w:rsidR="00512CD0" w:rsidRPr="00FE6AC6">
              <w:rPr>
                <w:color w:val="000000"/>
              </w:rPr>
              <w:t> 1</w:t>
            </w:r>
          </w:p>
          <w:p w14:paraId="3E54FEC3" w14:textId="77777777" w:rsidR="00512CD0" w:rsidRPr="00FE6AC6" w:rsidRDefault="00512CD0" w:rsidP="0063575E">
            <w:pPr>
              <w:pStyle w:val="EndnoteText"/>
              <w:widowControl w:val="0"/>
              <w:rPr>
                <w:color w:val="000000"/>
              </w:rPr>
            </w:pPr>
            <w:r w:rsidRPr="00FE6AC6">
              <w:rPr>
                <w:color w:val="000000"/>
              </w:rPr>
              <w:t>(3 </w:t>
            </w:r>
            <w:r w:rsidR="009144B7" w:rsidRPr="00FE6AC6">
              <w:rPr>
                <w:color w:val="000000"/>
                <w:lang w:val="bg-BG"/>
              </w:rPr>
              <w:t>седмици</w:t>
            </w:r>
            <w:r w:rsidRPr="00FE6AC6">
              <w:rPr>
                <w:color w:val="000000"/>
              </w:rPr>
              <w:t>)</w:t>
            </w:r>
          </w:p>
        </w:tc>
        <w:tc>
          <w:tcPr>
            <w:tcW w:w="6929" w:type="dxa"/>
            <w:shd w:val="clear" w:color="auto" w:fill="auto"/>
          </w:tcPr>
          <w:p w14:paraId="3E54FEC4" w14:textId="77777777" w:rsidR="00512CD0" w:rsidRPr="00FE6AC6" w:rsidRDefault="00512CD0" w:rsidP="0063575E">
            <w:pPr>
              <w:pStyle w:val="EndnoteText"/>
              <w:widowControl w:val="0"/>
              <w:rPr>
                <w:color w:val="000000"/>
              </w:rPr>
            </w:pPr>
            <w:r w:rsidRPr="00FE6AC6">
              <w:rPr>
                <w:color w:val="000000"/>
              </w:rPr>
              <w:t>VCR (1</w:t>
            </w:r>
            <w:r w:rsidR="009144B7" w:rsidRPr="00FE6AC6">
              <w:rPr>
                <w:color w:val="000000"/>
                <w:lang w:val="bg-BG"/>
              </w:rPr>
              <w:t>,</w:t>
            </w:r>
            <w:r w:rsidRPr="00FE6AC6">
              <w:rPr>
                <w:color w:val="000000"/>
              </w:rPr>
              <w:t>5 mg/m</w:t>
            </w:r>
            <w:r w:rsidRPr="00FE6AC6">
              <w:rPr>
                <w:color w:val="000000"/>
                <w:vertAlign w:val="superscript"/>
              </w:rPr>
              <w:t>2</w:t>
            </w:r>
            <w:r w:rsidRPr="00FE6AC6">
              <w:rPr>
                <w:color w:val="000000"/>
              </w:rPr>
              <w:t>/</w:t>
            </w:r>
            <w:r w:rsidR="009144B7" w:rsidRPr="00FE6AC6">
              <w:rPr>
                <w:color w:val="000000"/>
                <w:lang w:val="bg-BG"/>
              </w:rPr>
              <w:t>ден</w:t>
            </w:r>
            <w:r w:rsidRPr="00FE6AC6">
              <w:rPr>
                <w:color w:val="000000"/>
              </w:rPr>
              <w:t xml:space="preserve">, IV): </w:t>
            </w:r>
            <w:r w:rsidR="009144B7" w:rsidRPr="00FE6AC6">
              <w:rPr>
                <w:color w:val="000000"/>
                <w:lang w:val="bg-BG"/>
              </w:rPr>
              <w:t>дни</w:t>
            </w:r>
            <w:r w:rsidRPr="00FE6AC6">
              <w:rPr>
                <w:color w:val="000000"/>
              </w:rPr>
              <w:t> 1, 8</w:t>
            </w:r>
            <w:r w:rsidR="009144B7" w:rsidRPr="00FE6AC6">
              <w:rPr>
                <w:color w:val="000000"/>
                <w:lang w:val="bg-BG"/>
              </w:rPr>
              <w:t xml:space="preserve"> и</w:t>
            </w:r>
            <w:r w:rsidRPr="00FE6AC6">
              <w:rPr>
                <w:color w:val="000000"/>
              </w:rPr>
              <w:t xml:space="preserve"> 15</w:t>
            </w:r>
          </w:p>
          <w:p w14:paraId="3E54FEC5" w14:textId="77777777" w:rsidR="00512CD0" w:rsidRPr="00FE6AC6" w:rsidRDefault="00512CD0" w:rsidP="0063575E">
            <w:pPr>
              <w:pStyle w:val="EndnoteText"/>
              <w:widowControl w:val="0"/>
              <w:rPr>
                <w:color w:val="000000"/>
              </w:rPr>
            </w:pPr>
            <w:r w:rsidRPr="00FE6AC6">
              <w:rPr>
                <w:color w:val="000000"/>
              </w:rPr>
              <w:t>DAUN (45 mg/m</w:t>
            </w:r>
            <w:r w:rsidRPr="00FE6AC6">
              <w:rPr>
                <w:color w:val="000000"/>
                <w:vertAlign w:val="superscript"/>
              </w:rPr>
              <w:t>2</w:t>
            </w:r>
            <w:r w:rsidRPr="00FE6AC6">
              <w:rPr>
                <w:color w:val="000000"/>
              </w:rPr>
              <w:t>/</w:t>
            </w:r>
            <w:r w:rsidR="009144B7" w:rsidRPr="00FE6AC6">
              <w:rPr>
                <w:color w:val="000000"/>
                <w:lang w:val="bg-BG"/>
              </w:rPr>
              <w:t>ден болус</w:t>
            </w:r>
            <w:r w:rsidRPr="00FE6AC6">
              <w:rPr>
                <w:color w:val="000000"/>
              </w:rPr>
              <w:t xml:space="preserve">, IV): </w:t>
            </w:r>
            <w:r w:rsidR="009144B7" w:rsidRPr="00FE6AC6">
              <w:rPr>
                <w:color w:val="000000"/>
                <w:lang w:val="bg-BG"/>
              </w:rPr>
              <w:t>дни</w:t>
            </w:r>
            <w:r w:rsidRPr="00FE6AC6">
              <w:rPr>
                <w:color w:val="000000"/>
              </w:rPr>
              <w:t xml:space="preserve"> 1 </w:t>
            </w:r>
            <w:r w:rsidR="009144B7" w:rsidRPr="00FE6AC6">
              <w:rPr>
                <w:color w:val="000000"/>
                <w:lang w:val="bg-BG"/>
              </w:rPr>
              <w:t>и</w:t>
            </w:r>
            <w:r w:rsidRPr="00FE6AC6">
              <w:rPr>
                <w:color w:val="000000"/>
              </w:rPr>
              <w:t xml:space="preserve"> 2</w:t>
            </w:r>
          </w:p>
          <w:p w14:paraId="3E54FEC6" w14:textId="77777777" w:rsidR="00512CD0" w:rsidRPr="00FE6AC6" w:rsidRDefault="00512CD0" w:rsidP="0063575E">
            <w:pPr>
              <w:pStyle w:val="EndnoteText"/>
              <w:widowControl w:val="0"/>
              <w:rPr>
                <w:color w:val="000000"/>
              </w:rPr>
            </w:pPr>
            <w:r w:rsidRPr="00FE6AC6">
              <w:rPr>
                <w:color w:val="000000"/>
              </w:rPr>
              <w:t>CPM (250 mg/m</w:t>
            </w:r>
            <w:r w:rsidRPr="00FE6AC6">
              <w:rPr>
                <w:color w:val="000000"/>
                <w:vertAlign w:val="superscript"/>
              </w:rPr>
              <w:t>2</w:t>
            </w:r>
            <w:r w:rsidRPr="00FE6AC6">
              <w:rPr>
                <w:color w:val="000000"/>
              </w:rPr>
              <w:t>/</w:t>
            </w:r>
            <w:r w:rsidR="009144B7" w:rsidRPr="00FE6AC6">
              <w:rPr>
                <w:color w:val="000000"/>
                <w:lang w:val="bg-BG"/>
              </w:rPr>
              <w:t xml:space="preserve">доза на </w:t>
            </w:r>
            <w:r w:rsidRPr="00FE6AC6">
              <w:rPr>
                <w:color w:val="000000"/>
              </w:rPr>
              <w:t>12</w:t>
            </w:r>
            <w:r w:rsidR="009144B7" w:rsidRPr="00FE6AC6">
              <w:rPr>
                <w:color w:val="000000"/>
                <w:lang w:val="bg-BG"/>
              </w:rPr>
              <w:t> ч</w:t>
            </w:r>
            <w:r w:rsidRPr="00FE6AC6">
              <w:rPr>
                <w:color w:val="000000"/>
              </w:rPr>
              <w:t xml:space="preserve"> x 4 </w:t>
            </w:r>
            <w:r w:rsidR="009144B7" w:rsidRPr="00FE6AC6">
              <w:rPr>
                <w:color w:val="000000"/>
                <w:lang w:val="bg-BG"/>
              </w:rPr>
              <w:t>дози</w:t>
            </w:r>
            <w:r w:rsidRPr="00FE6AC6">
              <w:rPr>
                <w:color w:val="000000"/>
              </w:rPr>
              <w:t xml:space="preserve">, IV): </w:t>
            </w:r>
            <w:r w:rsidR="009144B7" w:rsidRPr="00FE6AC6">
              <w:rPr>
                <w:color w:val="000000"/>
                <w:lang w:val="bg-BG"/>
              </w:rPr>
              <w:t>дни</w:t>
            </w:r>
            <w:r w:rsidRPr="00FE6AC6">
              <w:rPr>
                <w:color w:val="000000"/>
              </w:rPr>
              <w:t xml:space="preserve"> 3 </w:t>
            </w:r>
            <w:r w:rsidR="009144B7" w:rsidRPr="00FE6AC6">
              <w:rPr>
                <w:color w:val="000000"/>
                <w:lang w:val="bg-BG"/>
              </w:rPr>
              <w:t>и</w:t>
            </w:r>
            <w:r w:rsidRPr="00FE6AC6">
              <w:rPr>
                <w:color w:val="000000"/>
              </w:rPr>
              <w:t xml:space="preserve"> 4</w:t>
            </w:r>
          </w:p>
          <w:p w14:paraId="3E54FEC7" w14:textId="77777777" w:rsidR="00512CD0" w:rsidRPr="00FE6AC6" w:rsidRDefault="00512CD0" w:rsidP="0063575E">
            <w:pPr>
              <w:pStyle w:val="EndnoteText"/>
              <w:widowControl w:val="0"/>
              <w:rPr>
                <w:color w:val="000000"/>
                <w:lang w:val="de-CH"/>
              </w:rPr>
            </w:pPr>
            <w:r w:rsidRPr="00FE6AC6">
              <w:rPr>
                <w:color w:val="000000"/>
                <w:lang w:val="de-CH"/>
              </w:rPr>
              <w:t>PEG-ASP (2500 IUnits/m</w:t>
            </w:r>
            <w:r w:rsidRPr="00FE6AC6">
              <w:rPr>
                <w:color w:val="000000"/>
                <w:vertAlign w:val="superscript"/>
                <w:lang w:val="de-CH"/>
              </w:rPr>
              <w:t>2</w:t>
            </w:r>
            <w:r w:rsidRPr="00FE6AC6">
              <w:rPr>
                <w:color w:val="000000"/>
                <w:lang w:val="de-CH"/>
              </w:rPr>
              <w:t xml:space="preserve">, IM): </w:t>
            </w:r>
            <w:r w:rsidR="009144B7" w:rsidRPr="00FE6AC6">
              <w:rPr>
                <w:color w:val="000000"/>
                <w:lang w:val="bg-BG"/>
              </w:rPr>
              <w:t>ден</w:t>
            </w:r>
            <w:r w:rsidRPr="00FE6AC6">
              <w:rPr>
                <w:color w:val="000000"/>
                <w:lang w:val="de-CH"/>
              </w:rPr>
              <w:t> 4</w:t>
            </w:r>
          </w:p>
          <w:p w14:paraId="3E54FEC8" w14:textId="77777777" w:rsidR="00512CD0" w:rsidRPr="00FE6AC6" w:rsidRDefault="00512CD0" w:rsidP="0063575E">
            <w:pPr>
              <w:pStyle w:val="EndnoteText"/>
              <w:widowControl w:val="0"/>
              <w:rPr>
                <w:color w:val="000000"/>
                <w:lang w:val="de-CH"/>
              </w:rPr>
            </w:pPr>
            <w:r w:rsidRPr="00FE6AC6">
              <w:rPr>
                <w:color w:val="000000"/>
                <w:lang w:val="de-CH"/>
              </w:rPr>
              <w:t>G-CSF (5 </w:t>
            </w:r>
            <w:r w:rsidRPr="00FE6AC6">
              <w:rPr>
                <w:color w:val="000000"/>
              </w:rPr>
              <w:t>μ</w:t>
            </w:r>
            <w:r w:rsidRPr="00FE6AC6">
              <w:rPr>
                <w:color w:val="000000"/>
                <w:lang w:val="de-CH"/>
              </w:rPr>
              <w:t xml:space="preserve">g/kg, SC): </w:t>
            </w:r>
            <w:r w:rsidR="009144B7" w:rsidRPr="00FE6AC6">
              <w:rPr>
                <w:color w:val="000000"/>
                <w:lang w:val="bg-BG"/>
              </w:rPr>
              <w:t>дни</w:t>
            </w:r>
            <w:r w:rsidRPr="00FE6AC6">
              <w:rPr>
                <w:color w:val="000000"/>
                <w:lang w:val="de-CH"/>
              </w:rPr>
              <w:t> 5</w:t>
            </w:r>
            <w:r w:rsidRPr="00FE6AC6">
              <w:rPr>
                <w:color w:val="000000"/>
                <w:lang w:val="de-CH"/>
              </w:rPr>
              <w:noBreakHyphen/>
              <w:t xml:space="preserve">14 </w:t>
            </w:r>
            <w:r w:rsidR="009144B7" w:rsidRPr="00FE6AC6">
              <w:rPr>
                <w:color w:val="000000"/>
                <w:lang w:val="bg-BG"/>
              </w:rPr>
              <w:t>или докато</w:t>
            </w:r>
            <w:r w:rsidRPr="00FE6AC6">
              <w:rPr>
                <w:color w:val="000000"/>
                <w:lang w:val="de-CH"/>
              </w:rPr>
              <w:t xml:space="preserve"> ANC &gt;1</w:t>
            </w:r>
            <w:r w:rsidR="00600B48" w:rsidRPr="00FE6AC6">
              <w:rPr>
                <w:color w:val="000000"/>
                <w:lang w:val="de-CH"/>
              </w:rPr>
              <w:t> </w:t>
            </w:r>
            <w:r w:rsidRPr="00FE6AC6">
              <w:rPr>
                <w:color w:val="000000"/>
                <w:lang w:val="de-CH"/>
              </w:rPr>
              <w:t xml:space="preserve">500 </w:t>
            </w:r>
            <w:r w:rsidR="009144B7" w:rsidRPr="00FE6AC6">
              <w:rPr>
                <w:color w:val="000000"/>
                <w:lang w:val="bg-BG"/>
              </w:rPr>
              <w:t>след надир</w:t>
            </w:r>
          </w:p>
          <w:p w14:paraId="3E54FEC9" w14:textId="77777777" w:rsidR="00512CD0" w:rsidRPr="00FE6AC6" w:rsidRDefault="009144B7" w:rsidP="0063575E">
            <w:pPr>
              <w:pStyle w:val="EndnoteText"/>
              <w:widowControl w:val="0"/>
              <w:rPr>
                <w:color w:val="000000"/>
                <w:lang w:val="de-CH"/>
              </w:rPr>
            </w:pPr>
            <w:r w:rsidRPr="00FE6AC6">
              <w:rPr>
                <w:color w:val="000000"/>
                <w:lang w:val="bg-BG"/>
              </w:rPr>
              <w:t>Тройна</w:t>
            </w:r>
            <w:r w:rsidR="00512CD0" w:rsidRPr="00FE6AC6">
              <w:rPr>
                <w:color w:val="000000"/>
                <w:lang w:val="de-CH"/>
              </w:rPr>
              <w:t xml:space="preserve"> IT </w:t>
            </w:r>
            <w:r w:rsidRPr="00FE6AC6">
              <w:rPr>
                <w:color w:val="000000"/>
                <w:lang w:val="bg-BG"/>
              </w:rPr>
              <w:t>терапия</w:t>
            </w:r>
            <w:r w:rsidR="00512CD0" w:rsidRPr="00FE6AC6">
              <w:rPr>
                <w:color w:val="000000"/>
                <w:lang w:val="de-CH"/>
              </w:rPr>
              <w:t xml:space="preserve"> (</w:t>
            </w:r>
            <w:r w:rsidRPr="00FE6AC6">
              <w:rPr>
                <w:color w:val="000000"/>
                <w:lang w:val="bg-BG"/>
              </w:rPr>
              <w:t>в зависимост от възрастта</w:t>
            </w:r>
            <w:r w:rsidR="00512CD0" w:rsidRPr="00FE6AC6">
              <w:rPr>
                <w:color w:val="000000"/>
                <w:lang w:val="de-CH"/>
              </w:rPr>
              <w:t xml:space="preserve">): </w:t>
            </w:r>
            <w:r w:rsidRPr="00FE6AC6">
              <w:rPr>
                <w:color w:val="000000"/>
                <w:lang w:val="bg-BG"/>
              </w:rPr>
              <w:t>дни</w:t>
            </w:r>
            <w:r w:rsidR="00512CD0" w:rsidRPr="00FE6AC6">
              <w:rPr>
                <w:color w:val="000000"/>
                <w:lang w:val="de-CH"/>
              </w:rPr>
              <w:t xml:space="preserve"> 1 </w:t>
            </w:r>
            <w:r w:rsidRPr="00FE6AC6">
              <w:rPr>
                <w:color w:val="000000"/>
                <w:lang w:val="bg-BG"/>
              </w:rPr>
              <w:t>и</w:t>
            </w:r>
            <w:r w:rsidR="00512CD0" w:rsidRPr="00FE6AC6">
              <w:rPr>
                <w:color w:val="000000"/>
                <w:lang w:val="de-CH"/>
              </w:rPr>
              <w:t xml:space="preserve"> 15</w:t>
            </w:r>
          </w:p>
          <w:p w14:paraId="3E54FECA" w14:textId="77777777" w:rsidR="00512CD0" w:rsidRPr="00FE6AC6" w:rsidRDefault="00512CD0" w:rsidP="0063575E">
            <w:pPr>
              <w:pStyle w:val="EndnoteText"/>
              <w:widowControl w:val="0"/>
              <w:rPr>
                <w:color w:val="000000"/>
                <w:lang w:val="de-CH"/>
              </w:rPr>
            </w:pPr>
            <w:r w:rsidRPr="00FE6AC6">
              <w:rPr>
                <w:color w:val="000000"/>
                <w:lang w:val="de-CH"/>
              </w:rPr>
              <w:t>DEX (6 mg/m</w:t>
            </w:r>
            <w:r w:rsidRPr="00FE6AC6">
              <w:rPr>
                <w:color w:val="000000"/>
                <w:vertAlign w:val="superscript"/>
                <w:lang w:val="de-CH"/>
              </w:rPr>
              <w:t>2</w:t>
            </w:r>
            <w:r w:rsidRPr="00FE6AC6">
              <w:rPr>
                <w:color w:val="000000"/>
                <w:lang w:val="de-CH"/>
              </w:rPr>
              <w:t>/</w:t>
            </w:r>
            <w:r w:rsidR="009144B7" w:rsidRPr="00FE6AC6">
              <w:rPr>
                <w:color w:val="000000"/>
                <w:lang w:val="bg-BG"/>
              </w:rPr>
              <w:t>ден</w:t>
            </w:r>
            <w:r w:rsidRPr="00FE6AC6">
              <w:rPr>
                <w:color w:val="000000"/>
                <w:lang w:val="de-CH"/>
              </w:rPr>
              <w:t xml:space="preserve">, PO): </w:t>
            </w:r>
            <w:r w:rsidR="009144B7" w:rsidRPr="00FE6AC6">
              <w:rPr>
                <w:color w:val="000000"/>
                <w:lang w:val="bg-BG"/>
              </w:rPr>
              <w:t>дни</w:t>
            </w:r>
            <w:r w:rsidRPr="00FE6AC6">
              <w:rPr>
                <w:color w:val="000000"/>
                <w:lang w:val="de-CH"/>
              </w:rPr>
              <w:t> 1</w:t>
            </w:r>
            <w:r w:rsidRPr="00FE6AC6">
              <w:rPr>
                <w:color w:val="000000"/>
                <w:lang w:val="de-CH"/>
              </w:rPr>
              <w:noBreakHyphen/>
              <w:t xml:space="preserve">7 </w:t>
            </w:r>
            <w:r w:rsidR="009144B7" w:rsidRPr="00FE6AC6">
              <w:rPr>
                <w:color w:val="000000"/>
                <w:lang w:val="bg-BG"/>
              </w:rPr>
              <w:t>и</w:t>
            </w:r>
            <w:r w:rsidRPr="00FE6AC6">
              <w:rPr>
                <w:color w:val="000000"/>
                <w:lang w:val="de-CH"/>
              </w:rPr>
              <w:t xml:space="preserve"> 15</w:t>
            </w:r>
            <w:r w:rsidRPr="00FE6AC6">
              <w:rPr>
                <w:color w:val="000000"/>
                <w:lang w:val="de-CH"/>
              </w:rPr>
              <w:noBreakHyphen/>
              <w:t>21</w:t>
            </w:r>
          </w:p>
        </w:tc>
      </w:tr>
      <w:tr w:rsidR="001A7A03" w:rsidRPr="004015AA" w14:paraId="3E54FED7" w14:textId="77777777" w:rsidTr="00F40727">
        <w:trPr>
          <w:cantSplit/>
        </w:trPr>
        <w:tc>
          <w:tcPr>
            <w:tcW w:w="2358" w:type="dxa"/>
            <w:shd w:val="clear" w:color="auto" w:fill="auto"/>
          </w:tcPr>
          <w:p w14:paraId="3E54FECC" w14:textId="77777777" w:rsidR="00512CD0" w:rsidRPr="00FE6AC6" w:rsidRDefault="001A7A03" w:rsidP="0063575E">
            <w:pPr>
              <w:pStyle w:val="EndnoteText"/>
              <w:widowControl w:val="0"/>
              <w:rPr>
                <w:color w:val="000000"/>
              </w:rPr>
            </w:pPr>
            <w:r w:rsidRPr="00FE6AC6">
              <w:rPr>
                <w:color w:val="000000"/>
                <w:lang w:val="bg-BG"/>
              </w:rPr>
              <w:t>Интензифициращ блок</w:t>
            </w:r>
            <w:r w:rsidR="00512CD0" w:rsidRPr="00FE6AC6">
              <w:rPr>
                <w:color w:val="000000"/>
              </w:rPr>
              <w:t> 1</w:t>
            </w:r>
          </w:p>
          <w:p w14:paraId="3E54FECD" w14:textId="77777777" w:rsidR="00512CD0" w:rsidRPr="00FE6AC6" w:rsidRDefault="00512CD0" w:rsidP="0063575E">
            <w:pPr>
              <w:pStyle w:val="EndnoteText"/>
              <w:widowControl w:val="0"/>
              <w:rPr>
                <w:color w:val="000000"/>
              </w:rPr>
            </w:pPr>
            <w:r w:rsidRPr="00FE6AC6">
              <w:rPr>
                <w:color w:val="000000"/>
              </w:rPr>
              <w:t>(9 </w:t>
            </w:r>
            <w:r w:rsidR="001A7A03" w:rsidRPr="00FE6AC6">
              <w:rPr>
                <w:color w:val="000000"/>
                <w:lang w:val="bg-BG"/>
              </w:rPr>
              <w:t>седмици</w:t>
            </w:r>
            <w:r w:rsidRPr="00FE6AC6">
              <w:rPr>
                <w:color w:val="000000"/>
              </w:rPr>
              <w:t>)</w:t>
            </w:r>
          </w:p>
        </w:tc>
        <w:tc>
          <w:tcPr>
            <w:tcW w:w="6929" w:type="dxa"/>
            <w:shd w:val="clear" w:color="auto" w:fill="auto"/>
          </w:tcPr>
          <w:p w14:paraId="3E54FECE" w14:textId="77777777" w:rsidR="00512CD0" w:rsidRPr="00FE6AC6" w:rsidRDefault="001A7A03" w:rsidP="0063575E">
            <w:pPr>
              <w:pStyle w:val="EndnoteText"/>
              <w:widowControl w:val="0"/>
              <w:rPr>
                <w:color w:val="000000"/>
              </w:rPr>
            </w:pPr>
            <w:r w:rsidRPr="00FE6AC6">
              <w:rPr>
                <w:color w:val="000000"/>
                <w:lang w:val="bg-BG"/>
              </w:rPr>
              <w:t>Метотрексат</w:t>
            </w:r>
            <w:r w:rsidR="00512CD0" w:rsidRPr="00FE6AC6">
              <w:rPr>
                <w:color w:val="000000"/>
              </w:rPr>
              <w:t xml:space="preserve"> (5 g/m</w:t>
            </w:r>
            <w:r w:rsidR="00512CD0" w:rsidRPr="00FE6AC6">
              <w:rPr>
                <w:color w:val="000000"/>
                <w:vertAlign w:val="superscript"/>
              </w:rPr>
              <w:t>2</w:t>
            </w:r>
            <w:r w:rsidR="00512CD0" w:rsidRPr="00FE6AC6">
              <w:rPr>
                <w:color w:val="000000"/>
              </w:rPr>
              <w:t xml:space="preserve"> </w:t>
            </w:r>
            <w:r w:rsidRPr="00FE6AC6">
              <w:rPr>
                <w:color w:val="000000"/>
                <w:lang w:val="bg-BG"/>
              </w:rPr>
              <w:t>в продължение на</w:t>
            </w:r>
            <w:r w:rsidR="00512CD0" w:rsidRPr="00FE6AC6">
              <w:rPr>
                <w:color w:val="000000"/>
              </w:rPr>
              <w:t xml:space="preserve"> 24 </w:t>
            </w:r>
            <w:r w:rsidRPr="00FE6AC6">
              <w:rPr>
                <w:color w:val="000000"/>
                <w:lang w:val="bg-BG"/>
              </w:rPr>
              <w:t>часа</w:t>
            </w:r>
            <w:r w:rsidR="00512CD0" w:rsidRPr="00FE6AC6">
              <w:rPr>
                <w:color w:val="000000"/>
              </w:rPr>
              <w:t xml:space="preserve">, IV): </w:t>
            </w:r>
            <w:r w:rsidRPr="00FE6AC6">
              <w:rPr>
                <w:color w:val="000000"/>
                <w:lang w:val="bg-BG"/>
              </w:rPr>
              <w:t>дни</w:t>
            </w:r>
            <w:r w:rsidR="00512CD0" w:rsidRPr="00FE6AC6">
              <w:rPr>
                <w:color w:val="000000"/>
              </w:rPr>
              <w:t xml:space="preserve"> 1 </w:t>
            </w:r>
            <w:r w:rsidRPr="00FE6AC6">
              <w:rPr>
                <w:color w:val="000000"/>
                <w:lang w:val="bg-BG"/>
              </w:rPr>
              <w:t>и</w:t>
            </w:r>
            <w:r w:rsidR="00512CD0" w:rsidRPr="00FE6AC6">
              <w:rPr>
                <w:color w:val="000000"/>
              </w:rPr>
              <w:t xml:space="preserve"> 15</w:t>
            </w:r>
          </w:p>
          <w:p w14:paraId="3E54FECF" w14:textId="77777777" w:rsidR="00512CD0" w:rsidRPr="00FE6AC6" w:rsidRDefault="001A7A03" w:rsidP="0063575E">
            <w:pPr>
              <w:pStyle w:val="EndnoteText"/>
              <w:widowControl w:val="0"/>
              <w:rPr>
                <w:color w:val="000000"/>
              </w:rPr>
            </w:pPr>
            <w:r w:rsidRPr="00FE6AC6">
              <w:rPr>
                <w:color w:val="000000"/>
                <w:lang w:val="bg-BG"/>
              </w:rPr>
              <w:t>Левковорин</w:t>
            </w:r>
            <w:r w:rsidR="00512CD0" w:rsidRPr="00FE6AC6">
              <w:rPr>
                <w:color w:val="000000"/>
              </w:rPr>
              <w:t xml:space="preserve"> (75 mg/m</w:t>
            </w:r>
            <w:r w:rsidR="00512CD0" w:rsidRPr="00FE6AC6">
              <w:rPr>
                <w:color w:val="000000"/>
                <w:vertAlign w:val="superscript"/>
              </w:rPr>
              <w:t>2</w:t>
            </w:r>
            <w:r w:rsidR="00512CD0" w:rsidRPr="00FE6AC6">
              <w:rPr>
                <w:color w:val="000000"/>
              </w:rPr>
              <w:t xml:space="preserve"> </w:t>
            </w:r>
            <w:r w:rsidRPr="00FE6AC6">
              <w:rPr>
                <w:color w:val="000000"/>
                <w:lang w:val="bg-BG"/>
              </w:rPr>
              <w:t>на 36</w:t>
            </w:r>
            <w:r w:rsidRPr="00FE6AC6">
              <w:rPr>
                <w:color w:val="000000"/>
                <w:lang w:val="bg-BG"/>
              </w:rPr>
              <w:noBreakHyphen/>
              <w:t>ти час</w:t>
            </w:r>
            <w:r w:rsidR="00512CD0" w:rsidRPr="00FE6AC6">
              <w:rPr>
                <w:color w:val="000000"/>
              </w:rPr>
              <w:t>, IV; 15 mg/m</w:t>
            </w:r>
            <w:r w:rsidR="00512CD0" w:rsidRPr="00FE6AC6">
              <w:rPr>
                <w:color w:val="000000"/>
                <w:vertAlign w:val="superscript"/>
              </w:rPr>
              <w:t>2</w:t>
            </w:r>
            <w:r w:rsidR="00512CD0" w:rsidRPr="00FE6AC6">
              <w:rPr>
                <w:color w:val="000000"/>
              </w:rPr>
              <w:t xml:space="preserve"> IV </w:t>
            </w:r>
            <w:r w:rsidRPr="00FE6AC6">
              <w:rPr>
                <w:color w:val="000000"/>
                <w:lang w:val="bg-BG"/>
              </w:rPr>
              <w:t>или</w:t>
            </w:r>
            <w:r w:rsidR="00512CD0" w:rsidRPr="00FE6AC6">
              <w:rPr>
                <w:color w:val="000000"/>
              </w:rPr>
              <w:t xml:space="preserve"> PO </w:t>
            </w:r>
            <w:r w:rsidRPr="00FE6AC6">
              <w:rPr>
                <w:color w:val="000000"/>
                <w:lang w:val="bg-BG"/>
              </w:rPr>
              <w:t xml:space="preserve">на </w:t>
            </w:r>
            <w:r w:rsidR="00512CD0" w:rsidRPr="00FE6AC6">
              <w:rPr>
                <w:color w:val="000000"/>
              </w:rPr>
              <w:t>6</w:t>
            </w:r>
            <w:r w:rsidRPr="00FE6AC6">
              <w:rPr>
                <w:color w:val="000000"/>
                <w:lang w:val="bg-BG"/>
              </w:rPr>
              <w:t> ч</w:t>
            </w:r>
            <w:r w:rsidR="00512CD0" w:rsidRPr="00FE6AC6">
              <w:rPr>
                <w:color w:val="000000"/>
              </w:rPr>
              <w:t xml:space="preserve"> x 6 </w:t>
            </w:r>
            <w:r w:rsidRPr="00FE6AC6">
              <w:rPr>
                <w:color w:val="000000"/>
                <w:lang w:val="bg-BG"/>
              </w:rPr>
              <w:t>дози</w:t>
            </w:r>
            <w:r w:rsidR="00512CD0" w:rsidRPr="00FE6AC6">
              <w:rPr>
                <w:color w:val="000000"/>
              </w:rPr>
              <w:t>)</w:t>
            </w:r>
            <w:r w:rsidR="003F32B6" w:rsidRPr="00FE6AC6">
              <w:rPr>
                <w:color w:val="000000"/>
              </w:rPr>
              <w:t>iii</w:t>
            </w:r>
            <w:r w:rsidR="00512CD0" w:rsidRPr="00FE6AC6">
              <w:rPr>
                <w:color w:val="000000"/>
              </w:rPr>
              <w:t xml:space="preserve">: </w:t>
            </w:r>
            <w:r w:rsidR="000F3FD7" w:rsidRPr="00FE6AC6">
              <w:rPr>
                <w:color w:val="000000"/>
                <w:lang w:val="bg-BG"/>
              </w:rPr>
              <w:t>д</w:t>
            </w:r>
            <w:r w:rsidRPr="00FE6AC6">
              <w:rPr>
                <w:color w:val="000000"/>
                <w:lang w:val="bg-BG"/>
              </w:rPr>
              <w:t>ни</w:t>
            </w:r>
            <w:r w:rsidR="00512CD0" w:rsidRPr="00FE6AC6">
              <w:rPr>
                <w:color w:val="000000"/>
              </w:rPr>
              <w:t> 2, 3, 16</w:t>
            </w:r>
            <w:r w:rsidRPr="00FE6AC6">
              <w:rPr>
                <w:color w:val="000000"/>
                <w:lang w:val="bg-BG"/>
              </w:rPr>
              <w:t xml:space="preserve"> и</w:t>
            </w:r>
            <w:r w:rsidR="00512CD0" w:rsidRPr="00FE6AC6">
              <w:rPr>
                <w:color w:val="000000"/>
              </w:rPr>
              <w:t xml:space="preserve"> 17</w:t>
            </w:r>
          </w:p>
          <w:p w14:paraId="3E54FED0" w14:textId="77777777" w:rsidR="00512CD0" w:rsidRPr="00FE6AC6" w:rsidRDefault="001A7A03" w:rsidP="0063575E">
            <w:pPr>
              <w:pStyle w:val="EndnoteText"/>
              <w:widowControl w:val="0"/>
              <w:rPr>
                <w:color w:val="000000"/>
              </w:rPr>
            </w:pPr>
            <w:r w:rsidRPr="00FE6AC6">
              <w:rPr>
                <w:color w:val="000000"/>
                <w:lang w:val="bg-BG"/>
              </w:rPr>
              <w:t>Тройна</w:t>
            </w:r>
            <w:r w:rsidR="00512CD0" w:rsidRPr="00FE6AC6">
              <w:rPr>
                <w:color w:val="000000"/>
              </w:rPr>
              <w:t xml:space="preserve"> IT </w:t>
            </w:r>
            <w:r w:rsidRPr="00FE6AC6">
              <w:rPr>
                <w:color w:val="000000"/>
                <w:lang w:val="bg-BG"/>
              </w:rPr>
              <w:t>терапия</w:t>
            </w:r>
            <w:r w:rsidR="00512CD0" w:rsidRPr="00FE6AC6">
              <w:rPr>
                <w:color w:val="000000"/>
              </w:rPr>
              <w:t xml:space="preserve"> (</w:t>
            </w:r>
            <w:r w:rsidRPr="00FE6AC6">
              <w:rPr>
                <w:color w:val="000000"/>
                <w:lang w:val="bg-BG"/>
              </w:rPr>
              <w:t>в зависимост от възрастта</w:t>
            </w:r>
            <w:r w:rsidR="00512CD0" w:rsidRPr="00FE6AC6">
              <w:rPr>
                <w:color w:val="000000"/>
              </w:rPr>
              <w:t xml:space="preserve">): </w:t>
            </w:r>
            <w:r w:rsidRPr="00FE6AC6">
              <w:rPr>
                <w:color w:val="000000"/>
                <w:lang w:val="bg-BG"/>
              </w:rPr>
              <w:t>дни</w:t>
            </w:r>
            <w:r w:rsidR="00512CD0" w:rsidRPr="00FE6AC6">
              <w:rPr>
                <w:color w:val="000000"/>
              </w:rPr>
              <w:t xml:space="preserve"> 1 </w:t>
            </w:r>
            <w:r w:rsidRPr="00FE6AC6">
              <w:rPr>
                <w:color w:val="000000"/>
                <w:lang w:val="bg-BG"/>
              </w:rPr>
              <w:t>и</w:t>
            </w:r>
            <w:r w:rsidR="00512CD0" w:rsidRPr="00FE6AC6">
              <w:rPr>
                <w:color w:val="000000"/>
              </w:rPr>
              <w:t xml:space="preserve"> 22</w:t>
            </w:r>
          </w:p>
          <w:p w14:paraId="3E54FED1" w14:textId="77777777" w:rsidR="00512CD0" w:rsidRPr="00FE6AC6" w:rsidRDefault="00512CD0" w:rsidP="0063575E">
            <w:pPr>
              <w:pStyle w:val="EndnoteText"/>
              <w:widowControl w:val="0"/>
              <w:rPr>
                <w:color w:val="000000"/>
              </w:rPr>
            </w:pPr>
            <w:r w:rsidRPr="00FE6AC6">
              <w:rPr>
                <w:color w:val="000000"/>
              </w:rPr>
              <w:t>VP-16 (100 mg/m</w:t>
            </w:r>
            <w:r w:rsidRPr="00FE6AC6">
              <w:rPr>
                <w:color w:val="000000"/>
                <w:vertAlign w:val="superscript"/>
              </w:rPr>
              <w:t>2</w:t>
            </w:r>
            <w:r w:rsidRPr="00FE6AC6">
              <w:rPr>
                <w:color w:val="000000"/>
              </w:rPr>
              <w:t>/</w:t>
            </w:r>
            <w:r w:rsidR="001A7A03" w:rsidRPr="00FE6AC6">
              <w:rPr>
                <w:color w:val="000000"/>
                <w:lang w:val="bg-BG"/>
              </w:rPr>
              <w:t>ден</w:t>
            </w:r>
            <w:r w:rsidRPr="00FE6AC6">
              <w:rPr>
                <w:color w:val="000000"/>
              </w:rPr>
              <w:t xml:space="preserve">, IV): </w:t>
            </w:r>
            <w:r w:rsidR="001A7A03" w:rsidRPr="00FE6AC6">
              <w:rPr>
                <w:color w:val="000000"/>
                <w:lang w:val="bg-BG"/>
              </w:rPr>
              <w:t>дни</w:t>
            </w:r>
            <w:r w:rsidRPr="00FE6AC6">
              <w:rPr>
                <w:color w:val="000000"/>
              </w:rPr>
              <w:t> 22</w:t>
            </w:r>
            <w:r w:rsidRPr="00FE6AC6">
              <w:rPr>
                <w:color w:val="000000"/>
              </w:rPr>
              <w:noBreakHyphen/>
              <w:t>26</w:t>
            </w:r>
          </w:p>
          <w:p w14:paraId="3E54FED2" w14:textId="77777777" w:rsidR="00512CD0" w:rsidRPr="00FE6AC6" w:rsidRDefault="00512CD0" w:rsidP="0063575E">
            <w:pPr>
              <w:pStyle w:val="EndnoteText"/>
              <w:widowControl w:val="0"/>
              <w:rPr>
                <w:color w:val="000000"/>
              </w:rPr>
            </w:pPr>
            <w:r w:rsidRPr="00FE6AC6">
              <w:rPr>
                <w:color w:val="000000"/>
              </w:rPr>
              <w:t>CPM (300 mg/m</w:t>
            </w:r>
            <w:r w:rsidRPr="00FE6AC6">
              <w:rPr>
                <w:color w:val="000000"/>
                <w:vertAlign w:val="superscript"/>
              </w:rPr>
              <w:t>2</w:t>
            </w:r>
            <w:r w:rsidRPr="00FE6AC6">
              <w:rPr>
                <w:color w:val="000000"/>
              </w:rPr>
              <w:t>/</w:t>
            </w:r>
            <w:r w:rsidR="001A7A03" w:rsidRPr="00FE6AC6">
              <w:rPr>
                <w:color w:val="000000"/>
                <w:lang w:val="bg-BG"/>
              </w:rPr>
              <w:t>ден</w:t>
            </w:r>
            <w:r w:rsidRPr="00FE6AC6">
              <w:rPr>
                <w:color w:val="000000"/>
              </w:rPr>
              <w:t xml:space="preserve">, IV): </w:t>
            </w:r>
            <w:r w:rsidR="001A7A03" w:rsidRPr="00FE6AC6">
              <w:rPr>
                <w:color w:val="000000"/>
                <w:lang w:val="bg-BG"/>
              </w:rPr>
              <w:t>дни</w:t>
            </w:r>
            <w:r w:rsidRPr="00FE6AC6">
              <w:rPr>
                <w:color w:val="000000"/>
              </w:rPr>
              <w:t> 22</w:t>
            </w:r>
            <w:r w:rsidRPr="00FE6AC6">
              <w:rPr>
                <w:color w:val="000000"/>
              </w:rPr>
              <w:noBreakHyphen/>
              <w:t>26</w:t>
            </w:r>
          </w:p>
          <w:p w14:paraId="3E54FED3" w14:textId="77777777" w:rsidR="00512CD0" w:rsidRPr="00FE6AC6" w:rsidRDefault="00512CD0" w:rsidP="0063575E">
            <w:pPr>
              <w:pStyle w:val="EndnoteText"/>
              <w:widowControl w:val="0"/>
              <w:rPr>
                <w:color w:val="000000"/>
              </w:rPr>
            </w:pPr>
            <w:r w:rsidRPr="00FE6AC6">
              <w:rPr>
                <w:color w:val="000000"/>
              </w:rPr>
              <w:t>MESNA (150 mg/m</w:t>
            </w:r>
            <w:r w:rsidRPr="00FE6AC6">
              <w:rPr>
                <w:color w:val="000000"/>
                <w:vertAlign w:val="superscript"/>
              </w:rPr>
              <w:t>2</w:t>
            </w:r>
            <w:r w:rsidRPr="00FE6AC6">
              <w:rPr>
                <w:color w:val="000000"/>
              </w:rPr>
              <w:t>/</w:t>
            </w:r>
            <w:r w:rsidR="001A7A03" w:rsidRPr="00FE6AC6">
              <w:rPr>
                <w:color w:val="000000"/>
                <w:lang w:val="bg-BG"/>
              </w:rPr>
              <w:t>ден</w:t>
            </w:r>
            <w:r w:rsidRPr="00FE6AC6">
              <w:rPr>
                <w:color w:val="000000"/>
              </w:rPr>
              <w:t xml:space="preserve">, IV): </w:t>
            </w:r>
            <w:r w:rsidR="001A7A03" w:rsidRPr="00FE6AC6">
              <w:rPr>
                <w:color w:val="000000"/>
                <w:lang w:val="bg-BG"/>
              </w:rPr>
              <w:t>дни</w:t>
            </w:r>
            <w:r w:rsidRPr="00FE6AC6">
              <w:rPr>
                <w:color w:val="000000"/>
              </w:rPr>
              <w:t> 22</w:t>
            </w:r>
            <w:r w:rsidRPr="00FE6AC6">
              <w:rPr>
                <w:color w:val="000000"/>
              </w:rPr>
              <w:noBreakHyphen/>
              <w:t>26</w:t>
            </w:r>
          </w:p>
          <w:p w14:paraId="3E54FED4" w14:textId="77777777" w:rsidR="00512CD0" w:rsidRPr="00FE6AC6" w:rsidRDefault="00512CD0" w:rsidP="0063575E">
            <w:pPr>
              <w:pStyle w:val="EndnoteText"/>
              <w:widowControl w:val="0"/>
              <w:rPr>
                <w:color w:val="000000"/>
              </w:rPr>
            </w:pPr>
            <w:r w:rsidRPr="00FE6AC6">
              <w:rPr>
                <w:color w:val="000000"/>
              </w:rPr>
              <w:t xml:space="preserve">G-CSF (5 μg/kg, SC): </w:t>
            </w:r>
            <w:r w:rsidR="001A7A03" w:rsidRPr="00FE6AC6">
              <w:rPr>
                <w:color w:val="000000"/>
                <w:lang w:val="bg-BG"/>
              </w:rPr>
              <w:t>дни</w:t>
            </w:r>
            <w:r w:rsidRPr="00FE6AC6">
              <w:rPr>
                <w:color w:val="000000"/>
              </w:rPr>
              <w:t xml:space="preserve"> 27-36 </w:t>
            </w:r>
            <w:r w:rsidR="001A7A03" w:rsidRPr="00FE6AC6">
              <w:rPr>
                <w:color w:val="000000"/>
                <w:lang w:val="bg-BG"/>
              </w:rPr>
              <w:t>или докато</w:t>
            </w:r>
            <w:r w:rsidRPr="00FE6AC6">
              <w:rPr>
                <w:color w:val="000000"/>
              </w:rPr>
              <w:t xml:space="preserve"> ANC &gt;1</w:t>
            </w:r>
            <w:r w:rsidR="00600B48" w:rsidRPr="00FE6AC6">
              <w:rPr>
                <w:color w:val="000000"/>
              </w:rPr>
              <w:t> </w:t>
            </w:r>
            <w:r w:rsidRPr="00FE6AC6">
              <w:rPr>
                <w:color w:val="000000"/>
              </w:rPr>
              <w:t xml:space="preserve">500 </w:t>
            </w:r>
            <w:r w:rsidR="001A7A03" w:rsidRPr="00FE6AC6">
              <w:rPr>
                <w:color w:val="000000"/>
                <w:lang w:val="bg-BG"/>
              </w:rPr>
              <w:t>след надир</w:t>
            </w:r>
          </w:p>
          <w:p w14:paraId="3E54FED5" w14:textId="77777777" w:rsidR="00512CD0" w:rsidRPr="00FE6AC6" w:rsidRDefault="00512CD0" w:rsidP="0063575E">
            <w:pPr>
              <w:pStyle w:val="EndnoteText"/>
              <w:widowControl w:val="0"/>
              <w:rPr>
                <w:color w:val="000000"/>
              </w:rPr>
            </w:pPr>
            <w:r w:rsidRPr="00FE6AC6">
              <w:rPr>
                <w:color w:val="000000"/>
              </w:rPr>
              <w:t>ARA-C (3 g/m</w:t>
            </w:r>
            <w:r w:rsidRPr="00FE6AC6">
              <w:rPr>
                <w:color w:val="000000"/>
                <w:vertAlign w:val="superscript"/>
              </w:rPr>
              <w:t>2</w:t>
            </w:r>
            <w:r w:rsidRPr="00FE6AC6">
              <w:rPr>
                <w:color w:val="000000"/>
              </w:rPr>
              <w:t xml:space="preserve">, </w:t>
            </w:r>
            <w:r w:rsidR="001A7A03" w:rsidRPr="00FE6AC6">
              <w:rPr>
                <w:color w:val="000000"/>
                <w:lang w:val="bg-BG"/>
              </w:rPr>
              <w:t xml:space="preserve">на </w:t>
            </w:r>
            <w:r w:rsidRPr="00FE6AC6">
              <w:rPr>
                <w:color w:val="000000"/>
              </w:rPr>
              <w:t>12</w:t>
            </w:r>
            <w:r w:rsidR="001A7A03" w:rsidRPr="00FE6AC6">
              <w:rPr>
                <w:color w:val="000000"/>
                <w:lang w:val="bg-BG"/>
              </w:rPr>
              <w:t> ч</w:t>
            </w:r>
            <w:r w:rsidRPr="00FE6AC6">
              <w:rPr>
                <w:color w:val="000000"/>
              </w:rPr>
              <w:t xml:space="preserve">, IV): </w:t>
            </w:r>
            <w:r w:rsidR="001A7A03" w:rsidRPr="00FE6AC6">
              <w:rPr>
                <w:color w:val="000000"/>
                <w:lang w:val="bg-BG"/>
              </w:rPr>
              <w:t>дни</w:t>
            </w:r>
            <w:r w:rsidRPr="00FE6AC6">
              <w:rPr>
                <w:color w:val="000000"/>
              </w:rPr>
              <w:t> 43, 44</w:t>
            </w:r>
          </w:p>
          <w:p w14:paraId="3E54FED6" w14:textId="77777777" w:rsidR="00512CD0" w:rsidRPr="00FE6AC6" w:rsidRDefault="00512CD0" w:rsidP="0063575E">
            <w:pPr>
              <w:pStyle w:val="EndnoteText"/>
              <w:widowControl w:val="0"/>
              <w:rPr>
                <w:color w:val="000000"/>
                <w:lang w:val="de-CH"/>
              </w:rPr>
            </w:pPr>
            <w:r w:rsidRPr="00FE6AC6">
              <w:rPr>
                <w:color w:val="000000"/>
                <w:lang w:val="de-CH"/>
              </w:rPr>
              <w:t>L-ASP (6</w:t>
            </w:r>
            <w:r w:rsidR="00600B48" w:rsidRPr="00FE6AC6">
              <w:rPr>
                <w:color w:val="000000"/>
                <w:lang w:val="de-CH"/>
              </w:rPr>
              <w:t> </w:t>
            </w:r>
            <w:r w:rsidRPr="00FE6AC6">
              <w:rPr>
                <w:color w:val="000000"/>
                <w:lang w:val="de-CH"/>
              </w:rPr>
              <w:t>000 IUnits/m</w:t>
            </w:r>
            <w:r w:rsidRPr="00FE6AC6">
              <w:rPr>
                <w:color w:val="000000"/>
                <w:vertAlign w:val="superscript"/>
                <w:lang w:val="de-CH"/>
              </w:rPr>
              <w:t>2</w:t>
            </w:r>
            <w:r w:rsidRPr="00FE6AC6">
              <w:rPr>
                <w:color w:val="000000"/>
                <w:lang w:val="de-CH"/>
              </w:rPr>
              <w:t xml:space="preserve">, IM): </w:t>
            </w:r>
            <w:r w:rsidR="001A7A03" w:rsidRPr="00FE6AC6">
              <w:rPr>
                <w:color w:val="000000"/>
                <w:lang w:val="bg-BG"/>
              </w:rPr>
              <w:t>ден</w:t>
            </w:r>
            <w:r w:rsidRPr="00FE6AC6">
              <w:rPr>
                <w:color w:val="000000"/>
                <w:lang w:val="de-CH"/>
              </w:rPr>
              <w:t> 44</w:t>
            </w:r>
          </w:p>
        </w:tc>
      </w:tr>
      <w:tr w:rsidR="001A7A03" w:rsidRPr="004015AA" w14:paraId="3E54FEE1" w14:textId="77777777" w:rsidTr="00F40727">
        <w:trPr>
          <w:cantSplit/>
        </w:trPr>
        <w:tc>
          <w:tcPr>
            <w:tcW w:w="2358" w:type="dxa"/>
            <w:shd w:val="clear" w:color="auto" w:fill="auto"/>
          </w:tcPr>
          <w:p w14:paraId="3E54FED8" w14:textId="77777777" w:rsidR="00512CD0" w:rsidRPr="00FE6AC6" w:rsidRDefault="001A7A03" w:rsidP="0063575E">
            <w:pPr>
              <w:pStyle w:val="EndnoteText"/>
              <w:widowControl w:val="0"/>
              <w:rPr>
                <w:color w:val="000000"/>
              </w:rPr>
            </w:pPr>
            <w:r w:rsidRPr="00FE6AC6">
              <w:rPr>
                <w:color w:val="000000"/>
                <w:lang w:val="bg-BG"/>
              </w:rPr>
              <w:t>Реиндукционен блок</w:t>
            </w:r>
            <w:r w:rsidR="00512CD0" w:rsidRPr="00FE6AC6">
              <w:rPr>
                <w:color w:val="000000"/>
              </w:rPr>
              <w:t> 2</w:t>
            </w:r>
          </w:p>
          <w:p w14:paraId="3E54FED9" w14:textId="77777777" w:rsidR="00512CD0" w:rsidRPr="00FE6AC6" w:rsidRDefault="00512CD0" w:rsidP="0063575E">
            <w:pPr>
              <w:pStyle w:val="EndnoteText"/>
              <w:widowControl w:val="0"/>
              <w:rPr>
                <w:color w:val="000000"/>
              </w:rPr>
            </w:pPr>
            <w:r w:rsidRPr="00FE6AC6">
              <w:rPr>
                <w:color w:val="000000"/>
              </w:rPr>
              <w:t>(3 </w:t>
            </w:r>
            <w:r w:rsidR="001A7A03" w:rsidRPr="00FE6AC6">
              <w:rPr>
                <w:color w:val="000000"/>
                <w:lang w:val="bg-BG"/>
              </w:rPr>
              <w:t>седмици</w:t>
            </w:r>
            <w:r w:rsidRPr="00FE6AC6">
              <w:rPr>
                <w:color w:val="000000"/>
              </w:rPr>
              <w:t>)</w:t>
            </w:r>
          </w:p>
        </w:tc>
        <w:tc>
          <w:tcPr>
            <w:tcW w:w="6929" w:type="dxa"/>
            <w:shd w:val="clear" w:color="auto" w:fill="auto"/>
          </w:tcPr>
          <w:p w14:paraId="3E54FEDA" w14:textId="77777777" w:rsidR="00512CD0" w:rsidRPr="00FE6AC6" w:rsidRDefault="00512CD0" w:rsidP="0063575E">
            <w:pPr>
              <w:pStyle w:val="EndnoteText"/>
              <w:widowControl w:val="0"/>
              <w:rPr>
                <w:color w:val="000000"/>
              </w:rPr>
            </w:pPr>
            <w:r w:rsidRPr="00FE6AC6">
              <w:rPr>
                <w:color w:val="000000"/>
              </w:rPr>
              <w:t>VCR (1</w:t>
            </w:r>
            <w:r w:rsidR="001A7A03" w:rsidRPr="00FE6AC6">
              <w:rPr>
                <w:color w:val="000000"/>
                <w:lang w:val="bg-BG"/>
              </w:rPr>
              <w:t>,</w:t>
            </w:r>
            <w:r w:rsidRPr="00FE6AC6">
              <w:rPr>
                <w:color w:val="000000"/>
              </w:rPr>
              <w:t>5 mg/m</w:t>
            </w:r>
            <w:r w:rsidRPr="00FE6AC6">
              <w:rPr>
                <w:color w:val="000000"/>
                <w:vertAlign w:val="superscript"/>
              </w:rPr>
              <w:t>2</w:t>
            </w:r>
            <w:r w:rsidRPr="00FE6AC6">
              <w:rPr>
                <w:color w:val="000000"/>
              </w:rPr>
              <w:t>/</w:t>
            </w:r>
            <w:r w:rsidR="001A7A03" w:rsidRPr="00FE6AC6">
              <w:rPr>
                <w:color w:val="000000"/>
                <w:lang w:val="bg-BG"/>
              </w:rPr>
              <w:t>ден</w:t>
            </w:r>
            <w:r w:rsidRPr="00FE6AC6">
              <w:rPr>
                <w:color w:val="000000"/>
              </w:rPr>
              <w:t xml:space="preserve">, IV): </w:t>
            </w:r>
            <w:r w:rsidR="001A7A03" w:rsidRPr="00FE6AC6">
              <w:rPr>
                <w:color w:val="000000"/>
                <w:lang w:val="bg-BG"/>
              </w:rPr>
              <w:t>дни</w:t>
            </w:r>
            <w:r w:rsidRPr="00FE6AC6">
              <w:rPr>
                <w:color w:val="000000"/>
              </w:rPr>
              <w:t xml:space="preserve"> 1, 8 </w:t>
            </w:r>
            <w:r w:rsidR="001A7A03" w:rsidRPr="00FE6AC6">
              <w:rPr>
                <w:color w:val="000000"/>
                <w:lang w:val="bg-BG"/>
              </w:rPr>
              <w:t>и</w:t>
            </w:r>
            <w:r w:rsidRPr="00FE6AC6">
              <w:rPr>
                <w:color w:val="000000"/>
              </w:rPr>
              <w:t xml:space="preserve"> 15</w:t>
            </w:r>
          </w:p>
          <w:p w14:paraId="3E54FEDB" w14:textId="77777777" w:rsidR="00512CD0" w:rsidRPr="00FE6AC6" w:rsidRDefault="00512CD0" w:rsidP="0063575E">
            <w:pPr>
              <w:pStyle w:val="EndnoteText"/>
              <w:widowControl w:val="0"/>
              <w:rPr>
                <w:color w:val="000000"/>
              </w:rPr>
            </w:pPr>
            <w:r w:rsidRPr="00FE6AC6">
              <w:rPr>
                <w:color w:val="000000"/>
              </w:rPr>
              <w:t>DAUN (45 mg/m</w:t>
            </w:r>
            <w:r w:rsidRPr="00FE6AC6">
              <w:rPr>
                <w:color w:val="000000"/>
                <w:vertAlign w:val="superscript"/>
              </w:rPr>
              <w:t>2</w:t>
            </w:r>
            <w:r w:rsidRPr="00FE6AC6">
              <w:rPr>
                <w:color w:val="000000"/>
              </w:rPr>
              <w:t>/</w:t>
            </w:r>
            <w:r w:rsidR="001A7A03" w:rsidRPr="00FE6AC6">
              <w:rPr>
                <w:color w:val="000000"/>
                <w:lang w:val="bg-BG"/>
              </w:rPr>
              <w:t>ден болус</w:t>
            </w:r>
            <w:r w:rsidRPr="00FE6AC6">
              <w:rPr>
                <w:color w:val="000000"/>
              </w:rPr>
              <w:t xml:space="preserve">, IV): </w:t>
            </w:r>
            <w:r w:rsidR="001A7A03" w:rsidRPr="00FE6AC6">
              <w:rPr>
                <w:color w:val="000000"/>
                <w:lang w:val="bg-BG"/>
              </w:rPr>
              <w:t>ден</w:t>
            </w:r>
            <w:r w:rsidRPr="00FE6AC6">
              <w:rPr>
                <w:color w:val="000000"/>
              </w:rPr>
              <w:t xml:space="preserve"> 1 </w:t>
            </w:r>
            <w:r w:rsidR="001A7A03" w:rsidRPr="00FE6AC6">
              <w:rPr>
                <w:color w:val="000000"/>
                <w:lang w:val="bg-BG"/>
              </w:rPr>
              <w:t>и</w:t>
            </w:r>
            <w:r w:rsidRPr="00FE6AC6">
              <w:rPr>
                <w:color w:val="000000"/>
              </w:rPr>
              <w:t xml:space="preserve"> 2</w:t>
            </w:r>
          </w:p>
          <w:p w14:paraId="3E54FEDC" w14:textId="77777777" w:rsidR="00512CD0" w:rsidRPr="00FE6AC6" w:rsidRDefault="00512CD0" w:rsidP="0063575E">
            <w:pPr>
              <w:pStyle w:val="EndnoteText"/>
              <w:widowControl w:val="0"/>
              <w:rPr>
                <w:color w:val="000000"/>
              </w:rPr>
            </w:pPr>
            <w:r w:rsidRPr="00FE6AC6">
              <w:rPr>
                <w:color w:val="000000"/>
              </w:rPr>
              <w:t>CPM (250 mg/m</w:t>
            </w:r>
            <w:r w:rsidRPr="00FE6AC6">
              <w:rPr>
                <w:color w:val="000000"/>
                <w:vertAlign w:val="superscript"/>
              </w:rPr>
              <w:t>2</w:t>
            </w:r>
            <w:r w:rsidRPr="00FE6AC6">
              <w:rPr>
                <w:color w:val="000000"/>
              </w:rPr>
              <w:t>/</w:t>
            </w:r>
            <w:r w:rsidR="001A7A03" w:rsidRPr="00FE6AC6">
              <w:rPr>
                <w:color w:val="000000"/>
                <w:lang w:val="bg-BG"/>
              </w:rPr>
              <w:t xml:space="preserve">доза на </w:t>
            </w:r>
            <w:r w:rsidRPr="00FE6AC6">
              <w:rPr>
                <w:color w:val="000000"/>
              </w:rPr>
              <w:t>12</w:t>
            </w:r>
            <w:r w:rsidR="001A7A03" w:rsidRPr="00FE6AC6">
              <w:rPr>
                <w:color w:val="000000"/>
                <w:lang w:val="bg-BG"/>
              </w:rPr>
              <w:t> ч</w:t>
            </w:r>
            <w:r w:rsidRPr="00FE6AC6">
              <w:rPr>
                <w:color w:val="000000"/>
              </w:rPr>
              <w:t xml:space="preserve"> x 4 </w:t>
            </w:r>
            <w:r w:rsidR="001A7A03" w:rsidRPr="00FE6AC6">
              <w:rPr>
                <w:color w:val="000000"/>
                <w:lang w:val="bg-BG"/>
              </w:rPr>
              <w:t>дози</w:t>
            </w:r>
            <w:r w:rsidRPr="00FE6AC6">
              <w:rPr>
                <w:color w:val="000000"/>
              </w:rPr>
              <w:t xml:space="preserve">, iv): </w:t>
            </w:r>
            <w:r w:rsidR="000F3FD7" w:rsidRPr="00FE6AC6">
              <w:rPr>
                <w:color w:val="000000"/>
                <w:lang w:val="bg-BG"/>
              </w:rPr>
              <w:t>д</w:t>
            </w:r>
            <w:r w:rsidR="001A7A03" w:rsidRPr="00FE6AC6">
              <w:rPr>
                <w:color w:val="000000"/>
                <w:lang w:val="bg-BG"/>
              </w:rPr>
              <w:t>ни</w:t>
            </w:r>
            <w:r w:rsidRPr="00FE6AC6">
              <w:rPr>
                <w:color w:val="000000"/>
              </w:rPr>
              <w:t xml:space="preserve"> 3 </w:t>
            </w:r>
            <w:r w:rsidR="001A7A03" w:rsidRPr="00FE6AC6">
              <w:rPr>
                <w:color w:val="000000"/>
                <w:lang w:val="bg-BG"/>
              </w:rPr>
              <w:t>и</w:t>
            </w:r>
            <w:r w:rsidRPr="00FE6AC6">
              <w:rPr>
                <w:color w:val="000000"/>
              </w:rPr>
              <w:t xml:space="preserve"> 4</w:t>
            </w:r>
          </w:p>
          <w:p w14:paraId="3E54FEDD" w14:textId="77777777" w:rsidR="00512CD0" w:rsidRPr="00FE6AC6" w:rsidRDefault="00512CD0" w:rsidP="0063575E">
            <w:pPr>
              <w:pStyle w:val="EndnoteText"/>
              <w:widowControl w:val="0"/>
              <w:rPr>
                <w:color w:val="000000"/>
                <w:lang w:val="de-CH"/>
              </w:rPr>
            </w:pPr>
            <w:r w:rsidRPr="00FE6AC6">
              <w:rPr>
                <w:color w:val="000000"/>
                <w:lang w:val="de-CH"/>
              </w:rPr>
              <w:t>PEG-ASP (2</w:t>
            </w:r>
            <w:r w:rsidR="00600B48" w:rsidRPr="00FE6AC6">
              <w:rPr>
                <w:color w:val="000000"/>
                <w:lang w:val="de-CH"/>
              </w:rPr>
              <w:t> </w:t>
            </w:r>
            <w:r w:rsidRPr="00FE6AC6">
              <w:rPr>
                <w:color w:val="000000"/>
                <w:lang w:val="de-CH"/>
              </w:rPr>
              <w:t>500 IUnits/m</w:t>
            </w:r>
            <w:r w:rsidRPr="00FE6AC6">
              <w:rPr>
                <w:color w:val="000000"/>
                <w:vertAlign w:val="superscript"/>
                <w:lang w:val="de-CH"/>
              </w:rPr>
              <w:t>2</w:t>
            </w:r>
            <w:r w:rsidRPr="00FE6AC6">
              <w:rPr>
                <w:color w:val="000000"/>
                <w:lang w:val="de-CH"/>
              </w:rPr>
              <w:t xml:space="preserve">, IM): </w:t>
            </w:r>
            <w:r w:rsidR="001A7A03" w:rsidRPr="00FE6AC6">
              <w:rPr>
                <w:color w:val="000000"/>
                <w:lang w:val="bg-BG"/>
              </w:rPr>
              <w:t>ден</w:t>
            </w:r>
            <w:r w:rsidRPr="00FE6AC6">
              <w:rPr>
                <w:color w:val="000000"/>
                <w:lang w:val="de-CH"/>
              </w:rPr>
              <w:t> 4</w:t>
            </w:r>
          </w:p>
          <w:p w14:paraId="3E54FEDE" w14:textId="77777777" w:rsidR="00512CD0" w:rsidRPr="00FE6AC6" w:rsidRDefault="00512CD0" w:rsidP="0063575E">
            <w:pPr>
              <w:pStyle w:val="EndnoteText"/>
              <w:widowControl w:val="0"/>
              <w:rPr>
                <w:color w:val="000000"/>
                <w:lang w:val="de-CH"/>
              </w:rPr>
            </w:pPr>
            <w:r w:rsidRPr="00FE6AC6">
              <w:rPr>
                <w:color w:val="000000"/>
                <w:lang w:val="de-CH"/>
              </w:rPr>
              <w:t>G-CSF (5 </w:t>
            </w:r>
            <w:r w:rsidRPr="00FE6AC6">
              <w:rPr>
                <w:color w:val="000000"/>
              </w:rPr>
              <w:t>μ</w:t>
            </w:r>
            <w:r w:rsidRPr="00FE6AC6">
              <w:rPr>
                <w:color w:val="000000"/>
                <w:lang w:val="de-CH"/>
              </w:rPr>
              <w:t xml:space="preserve">g/kg, SC): </w:t>
            </w:r>
            <w:r w:rsidR="001A7A03" w:rsidRPr="00FE6AC6">
              <w:rPr>
                <w:color w:val="000000"/>
                <w:lang w:val="bg-BG"/>
              </w:rPr>
              <w:t>дни</w:t>
            </w:r>
            <w:r w:rsidRPr="00FE6AC6">
              <w:rPr>
                <w:color w:val="000000"/>
                <w:lang w:val="de-CH"/>
              </w:rPr>
              <w:t xml:space="preserve"> 5-14 </w:t>
            </w:r>
            <w:r w:rsidR="001A7A03" w:rsidRPr="00FE6AC6">
              <w:rPr>
                <w:color w:val="000000"/>
                <w:lang w:val="bg-BG"/>
              </w:rPr>
              <w:t>или докато</w:t>
            </w:r>
            <w:r w:rsidRPr="00FE6AC6">
              <w:rPr>
                <w:color w:val="000000"/>
                <w:lang w:val="de-CH"/>
              </w:rPr>
              <w:t xml:space="preserve"> ANC &gt;1</w:t>
            </w:r>
            <w:r w:rsidR="00600B48" w:rsidRPr="00FE6AC6">
              <w:rPr>
                <w:color w:val="000000"/>
                <w:lang w:val="de-CH"/>
              </w:rPr>
              <w:t> </w:t>
            </w:r>
            <w:r w:rsidRPr="00FE6AC6">
              <w:rPr>
                <w:color w:val="000000"/>
                <w:lang w:val="de-CH"/>
              </w:rPr>
              <w:t xml:space="preserve">500 </w:t>
            </w:r>
            <w:r w:rsidR="001A7A03" w:rsidRPr="00FE6AC6">
              <w:rPr>
                <w:color w:val="000000"/>
                <w:lang w:val="bg-BG"/>
              </w:rPr>
              <w:t>след надир</w:t>
            </w:r>
          </w:p>
          <w:p w14:paraId="3E54FEDF" w14:textId="77777777" w:rsidR="00512CD0" w:rsidRPr="00FE6AC6" w:rsidRDefault="001A7A03" w:rsidP="0063575E">
            <w:pPr>
              <w:pStyle w:val="EndnoteText"/>
              <w:widowControl w:val="0"/>
              <w:rPr>
                <w:color w:val="000000"/>
                <w:lang w:val="de-CH"/>
              </w:rPr>
            </w:pPr>
            <w:r w:rsidRPr="00FE6AC6">
              <w:rPr>
                <w:color w:val="000000"/>
                <w:lang w:val="bg-BG"/>
              </w:rPr>
              <w:t>Тройна</w:t>
            </w:r>
            <w:r w:rsidR="00512CD0" w:rsidRPr="00FE6AC6">
              <w:rPr>
                <w:color w:val="000000"/>
                <w:lang w:val="de-CH"/>
              </w:rPr>
              <w:t xml:space="preserve"> IT </w:t>
            </w:r>
            <w:r w:rsidRPr="00FE6AC6">
              <w:rPr>
                <w:color w:val="000000"/>
                <w:lang w:val="bg-BG"/>
              </w:rPr>
              <w:t>терапия</w:t>
            </w:r>
            <w:r w:rsidR="00512CD0" w:rsidRPr="00FE6AC6">
              <w:rPr>
                <w:color w:val="000000"/>
                <w:lang w:val="de-CH"/>
              </w:rPr>
              <w:t xml:space="preserve"> (</w:t>
            </w:r>
            <w:r w:rsidRPr="00FE6AC6">
              <w:rPr>
                <w:color w:val="000000"/>
                <w:lang w:val="bg-BG"/>
              </w:rPr>
              <w:t>в зависимост от възрастта</w:t>
            </w:r>
            <w:r w:rsidR="00512CD0" w:rsidRPr="00FE6AC6">
              <w:rPr>
                <w:color w:val="000000"/>
                <w:lang w:val="de-CH"/>
              </w:rPr>
              <w:t xml:space="preserve">): </w:t>
            </w:r>
            <w:r w:rsidRPr="00FE6AC6">
              <w:rPr>
                <w:color w:val="000000"/>
                <w:lang w:val="bg-BG"/>
              </w:rPr>
              <w:t>дни</w:t>
            </w:r>
            <w:r w:rsidR="00512CD0" w:rsidRPr="00FE6AC6">
              <w:rPr>
                <w:color w:val="000000"/>
                <w:lang w:val="de-CH"/>
              </w:rPr>
              <w:t xml:space="preserve"> 1 </w:t>
            </w:r>
            <w:r w:rsidRPr="00FE6AC6">
              <w:rPr>
                <w:color w:val="000000"/>
                <w:lang w:val="bg-BG"/>
              </w:rPr>
              <w:t>и</w:t>
            </w:r>
            <w:r w:rsidR="00512CD0" w:rsidRPr="00FE6AC6">
              <w:rPr>
                <w:color w:val="000000"/>
                <w:lang w:val="de-CH"/>
              </w:rPr>
              <w:t xml:space="preserve"> 15</w:t>
            </w:r>
          </w:p>
          <w:p w14:paraId="3E54FEE0" w14:textId="77777777" w:rsidR="00512CD0" w:rsidRPr="00FE6AC6" w:rsidRDefault="00512CD0" w:rsidP="0063575E">
            <w:pPr>
              <w:pStyle w:val="EndnoteText"/>
              <w:widowControl w:val="0"/>
              <w:rPr>
                <w:color w:val="000000"/>
                <w:lang w:val="de-CH"/>
              </w:rPr>
            </w:pPr>
            <w:r w:rsidRPr="00FE6AC6">
              <w:rPr>
                <w:color w:val="000000"/>
                <w:lang w:val="de-CH"/>
              </w:rPr>
              <w:t>DEX (6 mg/m</w:t>
            </w:r>
            <w:r w:rsidRPr="00FE6AC6">
              <w:rPr>
                <w:color w:val="000000"/>
                <w:vertAlign w:val="superscript"/>
                <w:lang w:val="de-CH"/>
              </w:rPr>
              <w:t>2</w:t>
            </w:r>
            <w:r w:rsidRPr="00FE6AC6">
              <w:rPr>
                <w:color w:val="000000"/>
                <w:lang w:val="de-CH"/>
              </w:rPr>
              <w:t>/</w:t>
            </w:r>
            <w:r w:rsidR="001A7A03" w:rsidRPr="00FE6AC6">
              <w:rPr>
                <w:color w:val="000000"/>
                <w:lang w:val="bg-BG"/>
              </w:rPr>
              <w:t>ден</w:t>
            </w:r>
            <w:r w:rsidRPr="00FE6AC6">
              <w:rPr>
                <w:color w:val="000000"/>
                <w:lang w:val="de-CH"/>
              </w:rPr>
              <w:t xml:space="preserve">, PO): </w:t>
            </w:r>
            <w:r w:rsidR="001A7A03" w:rsidRPr="00FE6AC6">
              <w:rPr>
                <w:color w:val="000000"/>
                <w:lang w:val="bg-BG"/>
              </w:rPr>
              <w:t>дни</w:t>
            </w:r>
            <w:r w:rsidRPr="00FE6AC6">
              <w:rPr>
                <w:color w:val="000000"/>
                <w:lang w:val="de-CH"/>
              </w:rPr>
              <w:t> 1</w:t>
            </w:r>
            <w:r w:rsidRPr="00FE6AC6">
              <w:rPr>
                <w:color w:val="000000"/>
                <w:lang w:val="de-CH"/>
              </w:rPr>
              <w:noBreakHyphen/>
              <w:t xml:space="preserve">7 </w:t>
            </w:r>
            <w:r w:rsidR="001A7A03" w:rsidRPr="00FE6AC6">
              <w:rPr>
                <w:color w:val="000000"/>
                <w:lang w:val="bg-BG"/>
              </w:rPr>
              <w:t>и</w:t>
            </w:r>
            <w:r w:rsidRPr="00FE6AC6">
              <w:rPr>
                <w:color w:val="000000"/>
                <w:lang w:val="de-CH"/>
              </w:rPr>
              <w:t xml:space="preserve"> 15</w:t>
            </w:r>
            <w:r w:rsidRPr="00FE6AC6">
              <w:rPr>
                <w:color w:val="000000"/>
                <w:lang w:val="de-CH"/>
              </w:rPr>
              <w:noBreakHyphen/>
              <w:t>21</w:t>
            </w:r>
          </w:p>
        </w:tc>
      </w:tr>
      <w:tr w:rsidR="001A7A03" w:rsidRPr="004015AA" w14:paraId="3E54FEED" w14:textId="77777777" w:rsidTr="00F40727">
        <w:trPr>
          <w:cantSplit/>
        </w:trPr>
        <w:tc>
          <w:tcPr>
            <w:tcW w:w="2358" w:type="dxa"/>
            <w:shd w:val="clear" w:color="auto" w:fill="auto"/>
          </w:tcPr>
          <w:p w14:paraId="3E54FEE2" w14:textId="77777777" w:rsidR="00512CD0" w:rsidRPr="00FE6AC6" w:rsidRDefault="003E1C64" w:rsidP="0063575E">
            <w:pPr>
              <w:pStyle w:val="EndnoteText"/>
              <w:widowControl w:val="0"/>
              <w:rPr>
                <w:color w:val="000000"/>
              </w:rPr>
            </w:pPr>
            <w:r w:rsidRPr="00FE6AC6">
              <w:rPr>
                <w:color w:val="000000"/>
                <w:lang w:val="bg-BG"/>
              </w:rPr>
              <w:t>Интезифициращ блок</w:t>
            </w:r>
            <w:r w:rsidR="00512CD0" w:rsidRPr="00FE6AC6">
              <w:rPr>
                <w:color w:val="000000"/>
              </w:rPr>
              <w:t> 2</w:t>
            </w:r>
          </w:p>
          <w:p w14:paraId="3E54FEE3" w14:textId="77777777" w:rsidR="00512CD0" w:rsidRPr="00FE6AC6" w:rsidRDefault="00512CD0" w:rsidP="0063575E">
            <w:pPr>
              <w:pStyle w:val="EndnoteText"/>
              <w:widowControl w:val="0"/>
              <w:rPr>
                <w:color w:val="000000"/>
              </w:rPr>
            </w:pPr>
            <w:r w:rsidRPr="00FE6AC6">
              <w:rPr>
                <w:color w:val="000000"/>
              </w:rPr>
              <w:t>(9 </w:t>
            </w:r>
            <w:r w:rsidR="003E1C64" w:rsidRPr="00FE6AC6">
              <w:rPr>
                <w:color w:val="000000"/>
                <w:lang w:val="bg-BG"/>
              </w:rPr>
              <w:t>седмици</w:t>
            </w:r>
            <w:r w:rsidRPr="00FE6AC6">
              <w:rPr>
                <w:color w:val="000000"/>
              </w:rPr>
              <w:t>)</w:t>
            </w:r>
          </w:p>
        </w:tc>
        <w:tc>
          <w:tcPr>
            <w:tcW w:w="6929" w:type="dxa"/>
            <w:shd w:val="clear" w:color="auto" w:fill="auto"/>
          </w:tcPr>
          <w:p w14:paraId="3E54FEE4" w14:textId="77777777" w:rsidR="00512CD0" w:rsidRPr="00FE6AC6" w:rsidRDefault="003E1C64" w:rsidP="0063575E">
            <w:pPr>
              <w:pStyle w:val="EndnoteText"/>
              <w:widowControl w:val="0"/>
              <w:rPr>
                <w:color w:val="000000"/>
              </w:rPr>
            </w:pPr>
            <w:r w:rsidRPr="00FE6AC6">
              <w:rPr>
                <w:color w:val="000000"/>
                <w:lang w:val="bg-BG"/>
              </w:rPr>
              <w:t>Метотрексат</w:t>
            </w:r>
            <w:r w:rsidR="00512CD0" w:rsidRPr="00FE6AC6">
              <w:rPr>
                <w:color w:val="000000"/>
              </w:rPr>
              <w:t xml:space="preserve"> (5 g/m</w:t>
            </w:r>
            <w:r w:rsidR="00512CD0" w:rsidRPr="00FE6AC6">
              <w:rPr>
                <w:color w:val="000000"/>
                <w:vertAlign w:val="superscript"/>
              </w:rPr>
              <w:t>2</w:t>
            </w:r>
            <w:r w:rsidR="00512CD0" w:rsidRPr="00FE6AC6">
              <w:rPr>
                <w:color w:val="000000"/>
              </w:rPr>
              <w:t xml:space="preserve"> </w:t>
            </w:r>
            <w:r w:rsidRPr="00FE6AC6">
              <w:rPr>
                <w:color w:val="000000"/>
                <w:lang w:val="bg-BG"/>
              </w:rPr>
              <w:t>в продължение на</w:t>
            </w:r>
            <w:r w:rsidR="00512CD0" w:rsidRPr="00FE6AC6">
              <w:rPr>
                <w:color w:val="000000"/>
              </w:rPr>
              <w:t xml:space="preserve"> 24 </w:t>
            </w:r>
            <w:r w:rsidRPr="00FE6AC6">
              <w:rPr>
                <w:color w:val="000000"/>
                <w:lang w:val="bg-BG"/>
              </w:rPr>
              <w:t>часа</w:t>
            </w:r>
            <w:r w:rsidR="00512CD0" w:rsidRPr="00FE6AC6">
              <w:rPr>
                <w:color w:val="000000"/>
              </w:rPr>
              <w:t xml:space="preserve">, IV): </w:t>
            </w:r>
            <w:r w:rsidRPr="00FE6AC6">
              <w:rPr>
                <w:color w:val="000000"/>
                <w:lang w:val="bg-BG"/>
              </w:rPr>
              <w:t>дни</w:t>
            </w:r>
            <w:r w:rsidR="00512CD0" w:rsidRPr="00FE6AC6">
              <w:rPr>
                <w:color w:val="000000"/>
              </w:rPr>
              <w:t xml:space="preserve"> 1 </w:t>
            </w:r>
            <w:r w:rsidRPr="00FE6AC6">
              <w:rPr>
                <w:color w:val="000000"/>
                <w:lang w:val="bg-BG"/>
              </w:rPr>
              <w:t>и</w:t>
            </w:r>
            <w:r w:rsidR="00512CD0" w:rsidRPr="00FE6AC6">
              <w:rPr>
                <w:color w:val="000000"/>
              </w:rPr>
              <w:t xml:space="preserve"> 15</w:t>
            </w:r>
          </w:p>
          <w:p w14:paraId="3E54FEE5" w14:textId="77777777" w:rsidR="00512CD0" w:rsidRPr="00FE6AC6" w:rsidRDefault="003E1C64" w:rsidP="0063575E">
            <w:pPr>
              <w:pStyle w:val="EndnoteText"/>
              <w:widowControl w:val="0"/>
              <w:rPr>
                <w:color w:val="000000"/>
              </w:rPr>
            </w:pPr>
            <w:r w:rsidRPr="00FE6AC6">
              <w:rPr>
                <w:color w:val="000000"/>
                <w:lang w:val="bg-BG"/>
              </w:rPr>
              <w:t>Левковорин</w:t>
            </w:r>
            <w:r w:rsidR="00512CD0" w:rsidRPr="00FE6AC6">
              <w:rPr>
                <w:color w:val="000000"/>
              </w:rPr>
              <w:t xml:space="preserve"> (75 mg/m</w:t>
            </w:r>
            <w:r w:rsidR="00512CD0" w:rsidRPr="00FE6AC6">
              <w:rPr>
                <w:color w:val="000000"/>
                <w:vertAlign w:val="superscript"/>
              </w:rPr>
              <w:t>2</w:t>
            </w:r>
            <w:r w:rsidR="00512CD0" w:rsidRPr="00FE6AC6">
              <w:rPr>
                <w:color w:val="000000"/>
              </w:rPr>
              <w:t xml:space="preserve"> </w:t>
            </w:r>
            <w:r w:rsidRPr="00FE6AC6">
              <w:rPr>
                <w:color w:val="000000"/>
                <w:lang w:val="bg-BG"/>
              </w:rPr>
              <w:t>на 36</w:t>
            </w:r>
            <w:r w:rsidRPr="00FE6AC6">
              <w:rPr>
                <w:color w:val="000000"/>
                <w:lang w:val="bg-BG"/>
              </w:rPr>
              <w:noBreakHyphen/>
              <w:t>ти час</w:t>
            </w:r>
            <w:r w:rsidR="00512CD0" w:rsidRPr="00FE6AC6">
              <w:rPr>
                <w:color w:val="000000"/>
              </w:rPr>
              <w:t>, IV; 15 mg/m</w:t>
            </w:r>
            <w:r w:rsidR="00512CD0" w:rsidRPr="00FE6AC6">
              <w:rPr>
                <w:color w:val="000000"/>
                <w:vertAlign w:val="superscript"/>
              </w:rPr>
              <w:t>2</w:t>
            </w:r>
            <w:r w:rsidR="00512CD0" w:rsidRPr="00FE6AC6">
              <w:rPr>
                <w:color w:val="000000"/>
              </w:rPr>
              <w:t xml:space="preserve"> IV </w:t>
            </w:r>
            <w:r w:rsidRPr="00FE6AC6">
              <w:rPr>
                <w:color w:val="000000"/>
                <w:lang w:val="bg-BG"/>
              </w:rPr>
              <w:t>или</w:t>
            </w:r>
            <w:r w:rsidR="00512CD0" w:rsidRPr="00FE6AC6">
              <w:rPr>
                <w:color w:val="000000"/>
              </w:rPr>
              <w:t xml:space="preserve"> PO </w:t>
            </w:r>
            <w:r w:rsidRPr="00FE6AC6">
              <w:rPr>
                <w:color w:val="000000"/>
                <w:lang w:val="bg-BG"/>
              </w:rPr>
              <w:t xml:space="preserve">на </w:t>
            </w:r>
            <w:r w:rsidR="00512CD0" w:rsidRPr="00FE6AC6">
              <w:rPr>
                <w:color w:val="000000"/>
              </w:rPr>
              <w:t>6</w:t>
            </w:r>
            <w:r w:rsidRPr="00FE6AC6">
              <w:rPr>
                <w:color w:val="000000"/>
                <w:lang w:val="bg-BG"/>
              </w:rPr>
              <w:t> ч</w:t>
            </w:r>
            <w:r w:rsidR="00512CD0" w:rsidRPr="00FE6AC6">
              <w:rPr>
                <w:color w:val="000000"/>
              </w:rPr>
              <w:t xml:space="preserve"> x 6 </w:t>
            </w:r>
            <w:r w:rsidRPr="00FE6AC6">
              <w:rPr>
                <w:color w:val="000000"/>
                <w:lang w:val="bg-BG"/>
              </w:rPr>
              <w:t>дози</w:t>
            </w:r>
            <w:r w:rsidR="00512CD0" w:rsidRPr="00FE6AC6">
              <w:rPr>
                <w:color w:val="000000"/>
              </w:rPr>
              <w:t>)</w:t>
            </w:r>
            <w:r w:rsidR="003F32B6" w:rsidRPr="00FE6AC6">
              <w:rPr>
                <w:color w:val="000000"/>
              </w:rPr>
              <w:t>iii</w:t>
            </w:r>
            <w:r w:rsidR="00512CD0" w:rsidRPr="00FE6AC6">
              <w:rPr>
                <w:color w:val="000000"/>
              </w:rPr>
              <w:t xml:space="preserve">: </w:t>
            </w:r>
            <w:r w:rsidRPr="00FE6AC6">
              <w:rPr>
                <w:color w:val="000000"/>
                <w:lang w:val="bg-BG"/>
              </w:rPr>
              <w:t>дни</w:t>
            </w:r>
            <w:r w:rsidR="00512CD0" w:rsidRPr="00FE6AC6">
              <w:rPr>
                <w:color w:val="000000"/>
              </w:rPr>
              <w:t> 2, 3, 16</w:t>
            </w:r>
            <w:r w:rsidRPr="00FE6AC6">
              <w:rPr>
                <w:color w:val="000000"/>
                <w:lang w:val="bg-BG"/>
              </w:rPr>
              <w:t xml:space="preserve"> и</w:t>
            </w:r>
            <w:r w:rsidR="00512CD0" w:rsidRPr="00FE6AC6">
              <w:rPr>
                <w:color w:val="000000"/>
              </w:rPr>
              <w:t xml:space="preserve"> 17</w:t>
            </w:r>
          </w:p>
          <w:p w14:paraId="3E54FEE6" w14:textId="77777777" w:rsidR="00512CD0" w:rsidRPr="00FE6AC6" w:rsidRDefault="003E1C64" w:rsidP="0063575E">
            <w:pPr>
              <w:pStyle w:val="EndnoteText"/>
              <w:widowControl w:val="0"/>
              <w:rPr>
                <w:color w:val="000000"/>
              </w:rPr>
            </w:pPr>
            <w:r w:rsidRPr="00FE6AC6">
              <w:rPr>
                <w:color w:val="000000"/>
                <w:lang w:val="bg-BG"/>
              </w:rPr>
              <w:t>Тройна</w:t>
            </w:r>
            <w:r w:rsidR="00512CD0" w:rsidRPr="00FE6AC6">
              <w:rPr>
                <w:color w:val="000000"/>
              </w:rPr>
              <w:t xml:space="preserve"> IT </w:t>
            </w:r>
            <w:r w:rsidRPr="00FE6AC6">
              <w:rPr>
                <w:color w:val="000000"/>
                <w:lang w:val="bg-BG"/>
              </w:rPr>
              <w:t>терапия</w:t>
            </w:r>
            <w:r w:rsidR="00512CD0" w:rsidRPr="00FE6AC6">
              <w:rPr>
                <w:color w:val="000000"/>
              </w:rPr>
              <w:t xml:space="preserve"> (</w:t>
            </w:r>
            <w:r w:rsidRPr="00FE6AC6">
              <w:rPr>
                <w:color w:val="000000"/>
                <w:lang w:val="bg-BG"/>
              </w:rPr>
              <w:t>в зависимост от възрастта</w:t>
            </w:r>
            <w:r w:rsidR="00512CD0" w:rsidRPr="00FE6AC6">
              <w:rPr>
                <w:color w:val="000000"/>
              </w:rPr>
              <w:t xml:space="preserve">): </w:t>
            </w:r>
            <w:r w:rsidRPr="00FE6AC6">
              <w:rPr>
                <w:color w:val="000000"/>
                <w:lang w:val="bg-BG"/>
              </w:rPr>
              <w:t>дни</w:t>
            </w:r>
            <w:r w:rsidR="00512CD0" w:rsidRPr="00FE6AC6">
              <w:rPr>
                <w:color w:val="000000"/>
              </w:rPr>
              <w:t xml:space="preserve"> 1 </w:t>
            </w:r>
            <w:r w:rsidRPr="00FE6AC6">
              <w:rPr>
                <w:color w:val="000000"/>
                <w:lang w:val="bg-BG"/>
              </w:rPr>
              <w:t>и</w:t>
            </w:r>
            <w:r w:rsidR="00512CD0" w:rsidRPr="00FE6AC6">
              <w:rPr>
                <w:color w:val="000000"/>
              </w:rPr>
              <w:t xml:space="preserve"> 22</w:t>
            </w:r>
          </w:p>
          <w:p w14:paraId="3E54FEE7" w14:textId="77777777" w:rsidR="00512CD0" w:rsidRPr="00FE6AC6" w:rsidRDefault="00512CD0" w:rsidP="0063575E">
            <w:pPr>
              <w:pStyle w:val="EndnoteText"/>
              <w:widowControl w:val="0"/>
              <w:rPr>
                <w:color w:val="000000"/>
              </w:rPr>
            </w:pPr>
            <w:r w:rsidRPr="00FE6AC6">
              <w:rPr>
                <w:color w:val="000000"/>
              </w:rPr>
              <w:t>VP-16 (100 mg/m</w:t>
            </w:r>
            <w:r w:rsidRPr="00FE6AC6">
              <w:rPr>
                <w:color w:val="000000"/>
                <w:vertAlign w:val="superscript"/>
              </w:rPr>
              <w:t>2</w:t>
            </w:r>
            <w:r w:rsidRPr="00FE6AC6">
              <w:rPr>
                <w:color w:val="000000"/>
              </w:rPr>
              <w:t>/</w:t>
            </w:r>
            <w:r w:rsidR="003E1C64" w:rsidRPr="00FE6AC6">
              <w:rPr>
                <w:color w:val="000000"/>
                <w:lang w:val="bg-BG"/>
              </w:rPr>
              <w:t>ден</w:t>
            </w:r>
            <w:r w:rsidRPr="00FE6AC6">
              <w:rPr>
                <w:color w:val="000000"/>
              </w:rPr>
              <w:t xml:space="preserve">, IV): </w:t>
            </w:r>
            <w:r w:rsidR="003E1C64" w:rsidRPr="00FE6AC6">
              <w:rPr>
                <w:color w:val="000000"/>
                <w:lang w:val="bg-BG"/>
              </w:rPr>
              <w:t>дни</w:t>
            </w:r>
            <w:r w:rsidRPr="00FE6AC6">
              <w:rPr>
                <w:color w:val="000000"/>
              </w:rPr>
              <w:t> 22</w:t>
            </w:r>
            <w:r w:rsidRPr="00FE6AC6">
              <w:rPr>
                <w:color w:val="000000"/>
              </w:rPr>
              <w:noBreakHyphen/>
              <w:t>26</w:t>
            </w:r>
          </w:p>
          <w:p w14:paraId="3E54FEE8" w14:textId="77777777" w:rsidR="00512CD0" w:rsidRPr="00FE6AC6" w:rsidRDefault="00512CD0" w:rsidP="0063575E">
            <w:pPr>
              <w:pStyle w:val="EndnoteText"/>
              <w:widowControl w:val="0"/>
              <w:rPr>
                <w:color w:val="000000"/>
              </w:rPr>
            </w:pPr>
            <w:r w:rsidRPr="00FE6AC6">
              <w:rPr>
                <w:color w:val="000000"/>
              </w:rPr>
              <w:t>CPM (300 mg/m</w:t>
            </w:r>
            <w:r w:rsidRPr="00FE6AC6">
              <w:rPr>
                <w:color w:val="000000"/>
                <w:vertAlign w:val="superscript"/>
              </w:rPr>
              <w:t>2</w:t>
            </w:r>
            <w:r w:rsidRPr="00FE6AC6">
              <w:rPr>
                <w:color w:val="000000"/>
              </w:rPr>
              <w:t>/</w:t>
            </w:r>
            <w:r w:rsidR="003E1C64" w:rsidRPr="00FE6AC6">
              <w:rPr>
                <w:color w:val="000000"/>
                <w:lang w:val="bg-BG"/>
              </w:rPr>
              <w:t>ден</w:t>
            </w:r>
            <w:r w:rsidRPr="00FE6AC6">
              <w:rPr>
                <w:color w:val="000000"/>
              </w:rPr>
              <w:t xml:space="preserve">, IV): </w:t>
            </w:r>
            <w:r w:rsidR="003E1C64" w:rsidRPr="00FE6AC6">
              <w:rPr>
                <w:color w:val="000000"/>
                <w:lang w:val="bg-BG"/>
              </w:rPr>
              <w:t>дни</w:t>
            </w:r>
            <w:r w:rsidRPr="00FE6AC6">
              <w:rPr>
                <w:color w:val="000000"/>
              </w:rPr>
              <w:t> 22</w:t>
            </w:r>
            <w:r w:rsidRPr="00FE6AC6">
              <w:rPr>
                <w:color w:val="000000"/>
              </w:rPr>
              <w:noBreakHyphen/>
              <w:t>26</w:t>
            </w:r>
          </w:p>
          <w:p w14:paraId="3E54FEE9" w14:textId="77777777" w:rsidR="00512CD0" w:rsidRPr="00FE6AC6" w:rsidRDefault="00512CD0" w:rsidP="0063575E">
            <w:pPr>
              <w:pStyle w:val="EndnoteText"/>
              <w:widowControl w:val="0"/>
              <w:rPr>
                <w:color w:val="000000"/>
              </w:rPr>
            </w:pPr>
            <w:r w:rsidRPr="00FE6AC6">
              <w:rPr>
                <w:color w:val="000000"/>
              </w:rPr>
              <w:t>MESNA (150 mg/m</w:t>
            </w:r>
            <w:r w:rsidRPr="00FE6AC6">
              <w:rPr>
                <w:color w:val="000000"/>
                <w:vertAlign w:val="superscript"/>
              </w:rPr>
              <w:t>2</w:t>
            </w:r>
            <w:r w:rsidRPr="00FE6AC6">
              <w:rPr>
                <w:color w:val="000000"/>
              </w:rPr>
              <w:t>/</w:t>
            </w:r>
            <w:r w:rsidR="003E1C64" w:rsidRPr="00FE6AC6">
              <w:rPr>
                <w:color w:val="000000"/>
                <w:lang w:val="bg-BG"/>
              </w:rPr>
              <w:t>ден</w:t>
            </w:r>
            <w:r w:rsidRPr="00FE6AC6">
              <w:rPr>
                <w:color w:val="000000"/>
              </w:rPr>
              <w:t xml:space="preserve">, IV): </w:t>
            </w:r>
            <w:r w:rsidR="003E1C64" w:rsidRPr="00FE6AC6">
              <w:rPr>
                <w:color w:val="000000"/>
                <w:lang w:val="bg-BG"/>
              </w:rPr>
              <w:t>дни</w:t>
            </w:r>
            <w:r w:rsidRPr="00FE6AC6">
              <w:rPr>
                <w:color w:val="000000"/>
              </w:rPr>
              <w:t> 22</w:t>
            </w:r>
            <w:r w:rsidRPr="00FE6AC6">
              <w:rPr>
                <w:color w:val="000000"/>
              </w:rPr>
              <w:noBreakHyphen/>
              <w:t>26</w:t>
            </w:r>
          </w:p>
          <w:p w14:paraId="3E54FEEA" w14:textId="77777777" w:rsidR="00512CD0" w:rsidRPr="00FE6AC6" w:rsidRDefault="00512CD0" w:rsidP="0063575E">
            <w:pPr>
              <w:pStyle w:val="EndnoteText"/>
              <w:widowControl w:val="0"/>
              <w:rPr>
                <w:color w:val="000000"/>
              </w:rPr>
            </w:pPr>
            <w:r w:rsidRPr="00FE6AC6">
              <w:rPr>
                <w:color w:val="000000"/>
              </w:rPr>
              <w:t xml:space="preserve">G-CSF (5 μg/kg, SC): </w:t>
            </w:r>
            <w:r w:rsidR="003E1C64" w:rsidRPr="00FE6AC6">
              <w:rPr>
                <w:color w:val="000000"/>
                <w:lang w:val="bg-BG"/>
              </w:rPr>
              <w:t>дни</w:t>
            </w:r>
            <w:r w:rsidRPr="00FE6AC6">
              <w:rPr>
                <w:color w:val="000000"/>
              </w:rPr>
              <w:t> 27</w:t>
            </w:r>
            <w:r w:rsidRPr="00FE6AC6">
              <w:rPr>
                <w:color w:val="000000"/>
              </w:rPr>
              <w:noBreakHyphen/>
              <w:t xml:space="preserve">36 </w:t>
            </w:r>
            <w:r w:rsidR="003E1C64" w:rsidRPr="00FE6AC6">
              <w:rPr>
                <w:color w:val="000000"/>
                <w:lang w:val="bg-BG"/>
              </w:rPr>
              <w:t>или докато</w:t>
            </w:r>
            <w:r w:rsidRPr="00FE6AC6">
              <w:rPr>
                <w:color w:val="000000"/>
              </w:rPr>
              <w:t xml:space="preserve"> ANC &gt;1</w:t>
            </w:r>
            <w:r w:rsidR="00600B48" w:rsidRPr="00FE6AC6">
              <w:rPr>
                <w:color w:val="000000"/>
              </w:rPr>
              <w:t> </w:t>
            </w:r>
            <w:r w:rsidRPr="00FE6AC6">
              <w:rPr>
                <w:color w:val="000000"/>
              </w:rPr>
              <w:t>500 </w:t>
            </w:r>
            <w:r w:rsidR="003E1C64" w:rsidRPr="00FE6AC6">
              <w:rPr>
                <w:color w:val="000000"/>
                <w:lang w:val="bg-BG"/>
              </w:rPr>
              <w:t>след надир</w:t>
            </w:r>
          </w:p>
          <w:p w14:paraId="3E54FEEB" w14:textId="77777777" w:rsidR="00512CD0" w:rsidRPr="00FE6AC6" w:rsidRDefault="00512CD0" w:rsidP="0063575E">
            <w:pPr>
              <w:pStyle w:val="EndnoteText"/>
              <w:widowControl w:val="0"/>
              <w:rPr>
                <w:color w:val="000000"/>
              </w:rPr>
            </w:pPr>
            <w:r w:rsidRPr="00FE6AC6">
              <w:rPr>
                <w:color w:val="000000"/>
              </w:rPr>
              <w:t>ARA-C (3</w:t>
            </w:r>
            <w:r w:rsidR="00053EB3" w:rsidRPr="00FE6AC6">
              <w:rPr>
                <w:color w:val="000000"/>
                <w:lang w:val="bg-BG"/>
              </w:rPr>
              <w:t> </w:t>
            </w:r>
            <w:r w:rsidRPr="00FE6AC6">
              <w:rPr>
                <w:color w:val="000000"/>
              </w:rPr>
              <w:t>g/m</w:t>
            </w:r>
            <w:r w:rsidRPr="00FE6AC6">
              <w:rPr>
                <w:color w:val="000000"/>
                <w:vertAlign w:val="superscript"/>
              </w:rPr>
              <w:t>2</w:t>
            </w:r>
            <w:r w:rsidRPr="00FE6AC6">
              <w:rPr>
                <w:color w:val="000000"/>
              </w:rPr>
              <w:t xml:space="preserve">, </w:t>
            </w:r>
            <w:r w:rsidR="003E1C64" w:rsidRPr="00FE6AC6">
              <w:rPr>
                <w:color w:val="000000"/>
                <w:lang w:val="bg-BG"/>
              </w:rPr>
              <w:t xml:space="preserve">на </w:t>
            </w:r>
            <w:r w:rsidRPr="00FE6AC6">
              <w:rPr>
                <w:color w:val="000000"/>
              </w:rPr>
              <w:t>12</w:t>
            </w:r>
            <w:r w:rsidR="003E1C64" w:rsidRPr="00FE6AC6">
              <w:rPr>
                <w:color w:val="000000"/>
                <w:lang w:val="bg-BG"/>
              </w:rPr>
              <w:t> ч</w:t>
            </w:r>
            <w:r w:rsidRPr="00FE6AC6">
              <w:rPr>
                <w:color w:val="000000"/>
              </w:rPr>
              <w:t xml:space="preserve">, IV): </w:t>
            </w:r>
            <w:r w:rsidR="003E1C64" w:rsidRPr="00FE6AC6">
              <w:rPr>
                <w:color w:val="000000"/>
                <w:lang w:val="bg-BG"/>
              </w:rPr>
              <w:t>дни</w:t>
            </w:r>
            <w:r w:rsidRPr="00FE6AC6">
              <w:rPr>
                <w:color w:val="000000"/>
              </w:rPr>
              <w:t> 43, 44</w:t>
            </w:r>
          </w:p>
          <w:p w14:paraId="3E54FEEC" w14:textId="77777777" w:rsidR="00512CD0" w:rsidRPr="00FE6AC6" w:rsidRDefault="00512CD0" w:rsidP="0063575E">
            <w:pPr>
              <w:pStyle w:val="EndnoteText"/>
              <w:widowControl w:val="0"/>
              <w:rPr>
                <w:color w:val="000000"/>
                <w:lang w:val="de-CH"/>
              </w:rPr>
            </w:pPr>
            <w:r w:rsidRPr="00FE6AC6">
              <w:rPr>
                <w:color w:val="000000"/>
                <w:lang w:val="de-CH"/>
              </w:rPr>
              <w:t>L-ASP (6</w:t>
            </w:r>
            <w:r w:rsidR="00600B48" w:rsidRPr="00FE6AC6">
              <w:rPr>
                <w:color w:val="000000"/>
                <w:lang w:val="de-CH"/>
              </w:rPr>
              <w:t> </w:t>
            </w:r>
            <w:r w:rsidRPr="00FE6AC6">
              <w:rPr>
                <w:color w:val="000000"/>
                <w:lang w:val="de-CH"/>
              </w:rPr>
              <w:t>000 IUnits/m</w:t>
            </w:r>
            <w:r w:rsidRPr="00FE6AC6">
              <w:rPr>
                <w:color w:val="000000"/>
                <w:vertAlign w:val="superscript"/>
                <w:lang w:val="de-CH"/>
              </w:rPr>
              <w:t>2</w:t>
            </w:r>
            <w:r w:rsidRPr="00FE6AC6">
              <w:rPr>
                <w:color w:val="000000"/>
                <w:lang w:val="de-CH"/>
              </w:rPr>
              <w:t xml:space="preserve">, IM): </w:t>
            </w:r>
            <w:r w:rsidR="00891426" w:rsidRPr="00FE6AC6">
              <w:rPr>
                <w:color w:val="000000"/>
                <w:lang w:val="bg-BG"/>
              </w:rPr>
              <w:t>ден</w:t>
            </w:r>
            <w:r w:rsidRPr="00FE6AC6">
              <w:rPr>
                <w:color w:val="000000"/>
                <w:lang w:val="de-CH"/>
              </w:rPr>
              <w:t> 44</w:t>
            </w:r>
          </w:p>
        </w:tc>
      </w:tr>
      <w:tr w:rsidR="001A7A03" w:rsidRPr="00FE6AC6" w14:paraId="3E54FEFC" w14:textId="77777777" w:rsidTr="00F40727">
        <w:trPr>
          <w:cantSplit/>
        </w:trPr>
        <w:tc>
          <w:tcPr>
            <w:tcW w:w="2358" w:type="dxa"/>
            <w:shd w:val="clear" w:color="auto" w:fill="auto"/>
          </w:tcPr>
          <w:p w14:paraId="3E54FEEE" w14:textId="77777777" w:rsidR="00512CD0" w:rsidRPr="00FE6AC6" w:rsidRDefault="00EA0450" w:rsidP="0063575E">
            <w:pPr>
              <w:pStyle w:val="EndnoteText"/>
              <w:widowControl w:val="0"/>
              <w:rPr>
                <w:color w:val="000000"/>
              </w:rPr>
            </w:pPr>
            <w:r w:rsidRPr="00FE6AC6">
              <w:rPr>
                <w:color w:val="000000"/>
                <w:lang w:val="bg-BG"/>
              </w:rPr>
              <w:t>Поддържане</w:t>
            </w:r>
          </w:p>
          <w:p w14:paraId="3E54FEEF" w14:textId="77777777" w:rsidR="00512CD0" w:rsidRPr="00FE6AC6" w:rsidRDefault="00512CD0" w:rsidP="0063575E">
            <w:pPr>
              <w:pStyle w:val="EndnoteText"/>
              <w:widowControl w:val="0"/>
              <w:rPr>
                <w:color w:val="000000"/>
              </w:rPr>
            </w:pPr>
            <w:r w:rsidRPr="00FE6AC6">
              <w:rPr>
                <w:color w:val="000000"/>
              </w:rPr>
              <w:t>(8-</w:t>
            </w:r>
            <w:r w:rsidR="00EA0450" w:rsidRPr="00FE6AC6">
              <w:rPr>
                <w:color w:val="000000"/>
                <w:lang w:val="bg-BG"/>
              </w:rPr>
              <w:t>седмични цикли</w:t>
            </w:r>
            <w:r w:rsidRPr="00FE6AC6">
              <w:rPr>
                <w:color w:val="000000"/>
              </w:rPr>
              <w:t>)</w:t>
            </w:r>
          </w:p>
          <w:p w14:paraId="3E54FEF0" w14:textId="77777777" w:rsidR="00512CD0" w:rsidRPr="00FE6AC6" w:rsidRDefault="00EA0450" w:rsidP="0063575E">
            <w:pPr>
              <w:pStyle w:val="EndnoteText"/>
              <w:widowControl w:val="0"/>
              <w:rPr>
                <w:color w:val="000000"/>
              </w:rPr>
            </w:pPr>
            <w:r w:rsidRPr="00FE6AC6">
              <w:rPr>
                <w:color w:val="000000"/>
                <w:lang w:val="bg-BG"/>
              </w:rPr>
              <w:t>Цикли</w:t>
            </w:r>
            <w:r w:rsidR="00512CD0" w:rsidRPr="00FE6AC6">
              <w:rPr>
                <w:color w:val="000000"/>
              </w:rPr>
              <w:t> 1–4</w:t>
            </w:r>
          </w:p>
        </w:tc>
        <w:tc>
          <w:tcPr>
            <w:tcW w:w="6929" w:type="dxa"/>
            <w:shd w:val="clear" w:color="auto" w:fill="auto"/>
          </w:tcPr>
          <w:p w14:paraId="3E54FEF1" w14:textId="77777777" w:rsidR="00512CD0" w:rsidRPr="00FE6AC6" w:rsidRDefault="00512CD0" w:rsidP="0063575E">
            <w:pPr>
              <w:pStyle w:val="EndnoteText"/>
              <w:widowControl w:val="0"/>
              <w:rPr>
                <w:color w:val="000000"/>
              </w:rPr>
            </w:pPr>
            <w:r w:rsidRPr="00FE6AC6">
              <w:rPr>
                <w:color w:val="000000"/>
              </w:rPr>
              <w:t>MTX (5 g/m</w:t>
            </w:r>
            <w:r w:rsidRPr="00FE6AC6">
              <w:rPr>
                <w:color w:val="000000"/>
                <w:vertAlign w:val="superscript"/>
              </w:rPr>
              <w:t>2</w:t>
            </w:r>
            <w:r w:rsidRPr="00FE6AC6">
              <w:rPr>
                <w:color w:val="000000"/>
              </w:rPr>
              <w:t xml:space="preserve"> </w:t>
            </w:r>
            <w:r w:rsidR="00EA0450" w:rsidRPr="00FE6AC6">
              <w:rPr>
                <w:color w:val="000000"/>
                <w:lang w:val="bg-BG"/>
              </w:rPr>
              <w:t>в продължение на</w:t>
            </w:r>
            <w:r w:rsidRPr="00FE6AC6">
              <w:rPr>
                <w:color w:val="000000"/>
              </w:rPr>
              <w:t xml:space="preserve"> 24 </w:t>
            </w:r>
            <w:r w:rsidR="00EA0450" w:rsidRPr="00FE6AC6">
              <w:rPr>
                <w:color w:val="000000"/>
                <w:lang w:val="bg-BG"/>
              </w:rPr>
              <w:t>часа</w:t>
            </w:r>
            <w:r w:rsidRPr="00FE6AC6">
              <w:rPr>
                <w:color w:val="000000"/>
              </w:rPr>
              <w:t xml:space="preserve">, IV): </w:t>
            </w:r>
            <w:r w:rsidR="00EA0450" w:rsidRPr="00FE6AC6">
              <w:rPr>
                <w:color w:val="000000"/>
                <w:lang w:val="bg-BG"/>
              </w:rPr>
              <w:t>ден</w:t>
            </w:r>
            <w:r w:rsidRPr="00FE6AC6">
              <w:rPr>
                <w:color w:val="000000"/>
              </w:rPr>
              <w:t> 1</w:t>
            </w:r>
          </w:p>
          <w:p w14:paraId="3E54FEF2" w14:textId="77777777" w:rsidR="00512CD0" w:rsidRPr="00FE6AC6" w:rsidRDefault="003F32B6" w:rsidP="0063575E">
            <w:pPr>
              <w:pStyle w:val="EndnoteText"/>
              <w:widowControl w:val="0"/>
              <w:rPr>
                <w:color w:val="000000"/>
              </w:rPr>
            </w:pPr>
            <w:r w:rsidRPr="00FE6AC6">
              <w:rPr>
                <w:color w:val="000000"/>
                <w:lang w:val="bg-BG"/>
              </w:rPr>
              <w:t>Л</w:t>
            </w:r>
            <w:r w:rsidR="00EA0450" w:rsidRPr="00FE6AC6">
              <w:rPr>
                <w:color w:val="000000"/>
                <w:lang w:val="bg-BG"/>
              </w:rPr>
              <w:t>евковорин</w:t>
            </w:r>
            <w:r w:rsidR="00512CD0" w:rsidRPr="00FE6AC6">
              <w:rPr>
                <w:color w:val="000000"/>
              </w:rPr>
              <w:t xml:space="preserve"> (75 mg/m</w:t>
            </w:r>
            <w:r w:rsidR="00512CD0" w:rsidRPr="00FE6AC6">
              <w:rPr>
                <w:color w:val="000000"/>
                <w:vertAlign w:val="superscript"/>
              </w:rPr>
              <w:t>2</w:t>
            </w:r>
            <w:r w:rsidR="00512CD0" w:rsidRPr="00FE6AC6">
              <w:rPr>
                <w:color w:val="000000"/>
              </w:rPr>
              <w:t xml:space="preserve"> </w:t>
            </w:r>
            <w:r w:rsidR="00EA0450" w:rsidRPr="00FE6AC6">
              <w:rPr>
                <w:color w:val="000000"/>
                <w:lang w:val="bg-BG"/>
              </w:rPr>
              <w:t>на 36</w:t>
            </w:r>
            <w:r w:rsidR="00EA0450" w:rsidRPr="00FE6AC6">
              <w:rPr>
                <w:color w:val="000000"/>
                <w:lang w:val="bg-BG"/>
              </w:rPr>
              <w:noBreakHyphen/>
              <w:t>ти час</w:t>
            </w:r>
            <w:r w:rsidR="00512CD0" w:rsidRPr="00FE6AC6">
              <w:rPr>
                <w:color w:val="000000"/>
              </w:rPr>
              <w:t>, IV; 15 mg/m</w:t>
            </w:r>
            <w:r w:rsidR="00512CD0" w:rsidRPr="00FE6AC6">
              <w:rPr>
                <w:color w:val="000000"/>
                <w:vertAlign w:val="superscript"/>
              </w:rPr>
              <w:t>2</w:t>
            </w:r>
            <w:r w:rsidR="00512CD0" w:rsidRPr="00FE6AC6">
              <w:rPr>
                <w:color w:val="000000"/>
              </w:rPr>
              <w:t xml:space="preserve"> IV </w:t>
            </w:r>
            <w:r w:rsidR="00EA0450" w:rsidRPr="00FE6AC6">
              <w:rPr>
                <w:color w:val="000000"/>
                <w:lang w:val="bg-BG"/>
              </w:rPr>
              <w:t>или</w:t>
            </w:r>
            <w:r w:rsidR="00512CD0" w:rsidRPr="00FE6AC6">
              <w:rPr>
                <w:color w:val="000000"/>
              </w:rPr>
              <w:t xml:space="preserve"> PO </w:t>
            </w:r>
            <w:r w:rsidR="00EA0450" w:rsidRPr="00FE6AC6">
              <w:rPr>
                <w:color w:val="000000"/>
                <w:lang w:val="bg-BG"/>
              </w:rPr>
              <w:t xml:space="preserve">на </w:t>
            </w:r>
            <w:r w:rsidR="00512CD0" w:rsidRPr="00FE6AC6">
              <w:rPr>
                <w:color w:val="000000"/>
              </w:rPr>
              <w:t>6</w:t>
            </w:r>
            <w:r w:rsidR="00EA0450" w:rsidRPr="00FE6AC6">
              <w:rPr>
                <w:color w:val="000000"/>
                <w:lang w:val="bg-BG"/>
              </w:rPr>
              <w:t> ч</w:t>
            </w:r>
            <w:r w:rsidR="00512CD0" w:rsidRPr="00FE6AC6">
              <w:rPr>
                <w:color w:val="000000"/>
              </w:rPr>
              <w:t xml:space="preserve"> x 6 </w:t>
            </w:r>
            <w:r w:rsidR="00EA0450" w:rsidRPr="00FE6AC6">
              <w:rPr>
                <w:color w:val="000000"/>
                <w:lang w:val="bg-BG"/>
              </w:rPr>
              <w:t>дози</w:t>
            </w:r>
            <w:r w:rsidR="00512CD0" w:rsidRPr="00FE6AC6">
              <w:rPr>
                <w:color w:val="000000"/>
              </w:rPr>
              <w:t>)</w:t>
            </w:r>
            <w:r w:rsidRPr="00FE6AC6">
              <w:rPr>
                <w:color w:val="000000"/>
              </w:rPr>
              <w:t>iii</w:t>
            </w:r>
            <w:r w:rsidR="00512CD0" w:rsidRPr="00FE6AC6">
              <w:rPr>
                <w:color w:val="000000"/>
              </w:rPr>
              <w:t xml:space="preserve">: </w:t>
            </w:r>
            <w:r w:rsidR="00EA0450" w:rsidRPr="00FE6AC6">
              <w:rPr>
                <w:color w:val="000000"/>
                <w:lang w:val="bg-BG"/>
              </w:rPr>
              <w:t>дни</w:t>
            </w:r>
            <w:r w:rsidR="00512CD0" w:rsidRPr="00FE6AC6">
              <w:rPr>
                <w:color w:val="000000"/>
              </w:rPr>
              <w:t xml:space="preserve"> 2 </w:t>
            </w:r>
            <w:r w:rsidR="00EA0450" w:rsidRPr="00FE6AC6">
              <w:rPr>
                <w:color w:val="000000"/>
                <w:lang w:val="bg-BG"/>
              </w:rPr>
              <w:t>и</w:t>
            </w:r>
            <w:r w:rsidR="00512CD0" w:rsidRPr="00FE6AC6">
              <w:rPr>
                <w:color w:val="000000"/>
              </w:rPr>
              <w:t xml:space="preserve"> 3</w:t>
            </w:r>
          </w:p>
          <w:p w14:paraId="3E54FEF3" w14:textId="77777777" w:rsidR="00512CD0" w:rsidRPr="00FE6AC6" w:rsidRDefault="00EA0450" w:rsidP="0063575E">
            <w:pPr>
              <w:pStyle w:val="EndnoteText"/>
              <w:widowControl w:val="0"/>
              <w:rPr>
                <w:color w:val="000000"/>
              </w:rPr>
            </w:pPr>
            <w:r w:rsidRPr="00FE6AC6">
              <w:rPr>
                <w:color w:val="000000"/>
                <w:lang w:val="bg-BG"/>
              </w:rPr>
              <w:t>Тройна</w:t>
            </w:r>
            <w:r w:rsidR="00512CD0" w:rsidRPr="00FE6AC6">
              <w:rPr>
                <w:color w:val="000000"/>
              </w:rPr>
              <w:t xml:space="preserve"> IT </w:t>
            </w:r>
            <w:r w:rsidRPr="00FE6AC6">
              <w:rPr>
                <w:color w:val="000000"/>
                <w:lang w:val="bg-BG"/>
              </w:rPr>
              <w:t>терапия</w:t>
            </w:r>
            <w:r w:rsidR="00512CD0" w:rsidRPr="00FE6AC6">
              <w:rPr>
                <w:color w:val="000000"/>
              </w:rPr>
              <w:t xml:space="preserve"> (</w:t>
            </w:r>
            <w:r w:rsidRPr="00FE6AC6">
              <w:rPr>
                <w:color w:val="000000"/>
                <w:lang w:val="bg-BG"/>
              </w:rPr>
              <w:t>в зависимост от възрастта</w:t>
            </w:r>
            <w:r w:rsidR="00512CD0" w:rsidRPr="00FE6AC6">
              <w:rPr>
                <w:color w:val="000000"/>
              </w:rPr>
              <w:t xml:space="preserve">): </w:t>
            </w:r>
            <w:r w:rsidRPr="00FE6AC6">
              <w:rPr>
                <w:color w:val="000000"/>
                <w:lang w:val="bg-BG"/>
              </w:rPr>
              <w:t>дни</w:t>
            </w:r>
            <w:r w:rsidR="00512CD0" w:rsidRPr="00FE6AC6">
              <w:rPr>
                <w:color w:val="000000"/>
              </w:rPr>
              <w:t> 1, 29</w:t>
            </w:r>
          </w:p>
          <w:p w14:paraId="3E54FEF4" w14:textId="77777777" w:rsidR="00512CD0" w:rsidRPr="00FE6AC6" w:rsidRDefault="00512CD0" w:rsidP="0063575E">
            <w:pPr>
              <w:pStyle w:val="EndnoteText"/>
              <w:widowControl w:val="0"/>
              <w:rPr>
                <w:color w:val="000000"/>
              </w:rPr>
            </w:pPr>
            <w:r w:rsidRPr="00FE6AC6">
              <w:rPr>
                <w:color w:val="000000"/>
              </w:rPr>
              <w:t>VCR (1</w:t>
            </w:r>
            <w:r w:rsidR="00EA0450" w:rsidRPr="00FE6AC6">
              <w:rPr>
                <w:color w:val="000000"/>
                <w:lang w:val="bg-BG"/>
              </w:rPr>
              <w:t>,</w:t>
            </w:r>
            <w:r w:rsidRPr="00FE6AC6">
              <w:rPr>
                <w:color w:val="000000"/>
              </w:rPr>
              <w:t>5 mg/m</w:t>
            </w:r>
            <w:r w:rsidRPr="00FE6AC6">
              <w:rPr>
                <w:color w:val="000000"/>
                <w:vertAlign w:val="superscript"/>
              </w:rPr>
              <w:t>2</w:t>
            </w:r>
            <w:r w:rsidRPr="00FE6AC6">
              <w:rPr>
                <w:color w:val="000000"/>
              </w:rPr>
              <w:t xml:space="preserve">, IV): </w:t>
            </w:r>
            <w:r w:rsidR="00EA0450" w:rsidRPr="00FE6AC6">
              <w:rPr>
                <w:color w:val="000000"/>
                <w:lang w:val="bg-BG"/>
              </w:rPr>
              <w:t>дни</w:t>
            </w:r>
            <w:r w:rsidRPr="00FE6AC6">
              <w:rPr>
                <w:color w:val="000000"/>
              </w:rPr>
              <w:t> 1, 29</w:t>
            </w:r>
          </w:p>
          <w:p w14:paraId="3E54FEF5" w14:textId="77777777" w:rsidR="00512CD0" w:rsidRPr="00FE6AC6" w:rsidRDefault="00512CD0" w:rsidP="0063575E">
            <w:pPr>
              <w:pStyle w:val="EndnoteText"/>
              <w:widowControl w:val="0"/>
              <w:rPr>
                <w:color w:val="000000"/>
              </w:rPr>
            </w:pPr>
            <w:r w:rsidRPr="00FE6AC6">
              <w:rPr>
                <w:color w:val="000000"/>
              </w:rPr>
              <w:t>DEX (6 mg/m</w:t>
            </w:r>
            <w:r w:rsidRPr="00FE6AC6">
              <w:rPr>
                <w:color w:val="000000"/>
                <w:vertAlign w:val="superscript"/>
              </w:rPr>
              <w:t>2</w:t>
            </w:r>
            <w:r w:rsidRPr="00FE6AC6">
              <w:rPr>
                <w:color w:val="000000"/>
              </w:rPr>
              <w:t>/</w:t>
            </w:r>
            <w:r w:rsidR="00EA0450"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00EA0450" w:rsidRPr="00FE6AC6">
              <w:rPr>
                <w:color w:val="000000"/>
                <w:lang w:val="bg-BG"/>
              </w:rPr>
              <w:t>дни</w:t>
            </w:r>
            <w:r w:rsidRPr="00FE6AC6">
              <w:rPr>
                <w:color w:val="000000"/>
              </w:rPr>
              <w:t> 1</w:t>
            </w:r>
            <w:r w:rsidRPr="00FE6AC6">
              <w:rPr>
                <w:color w:val="000000"/>
              </w:rPr>
              <w:noBreakHyphen/>
              <w:t>5; 29</w:t>
            </w:r>
            <w:r w:rsidRPr="00FE6AC6">
              <w:rPr>
                <w:color w:val="000000"/>
              </w:rPr>
              <w:noBreakHyphen/>
              <w:t>33</w:t>
            </w:r>
          </w:p>
          <w:p w14:paraId="3E54FEF6" w14:textId="77777777" w:rsidR="00512CD0" w:rsidRPr="00FE6AC6" w:rsidRDefault="00512CD0" w:rsidP="0063575E">
            <w:pPr>
              <w:pStyle w:val="EndnoteText"/>
              <w:widowControl w:val="0"/>
              <w:rPr>
                <w:color w:val="000000"/>
              </w:rPr>
            </w:pPr>
            <w:r w:rsidRPr="00FE6AC6">
              <w:rPr>
                <w:color w:val="000000"/>
              </w:rPr>
              <w:t>6-MP (75 mg/m</w:t>
            </w:r>
            <w:r w:rsidRPr="00FE6AC6">
              <w:rPr>
                <w:color w:val="000000"/>
                <w:vertAlign w:val="superscript"/>
              </w:rPr>
              <w:t>2</w:t>
            </w:r>
            <w:r w:rsidRPr="00FE6AC6">
              <w:rPr>
                <w:color w:val="000000"/>
              </w:rPr>
              <w:t>/</w:t>
            </w:r>
            <w:r w:rsidR="00EA0450"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00EA0450" w:rsidRPr="00FE6AC6">
              <w:rPr>
                <w:color w:val="000000"/>
                <w:lang w:val="bg-BG"/>
              </w:rPr>
              <w:t>дни</w:t>
            </w:r>
            <w:r w:rsidRPr="00FE6AC6">
              <w:rPr>
                <w:color w:val="000000"/>
              </w:rPr>
              <w:t> 8-28</w:t>
            </w:r>
          </w:p>
          <w:p w14:paraId="3E54FEF7" w14:textId="77777777" w:rsidR="00512CD0" w:rsidRPr="00FE6AC6" w:rsidRDefault="00EA0450" w:rsidP="0063575E">
            <w:pPr>
              <w:pStyle w:val="EndnoteText"/>
              <w:widowControl w:val="0"/>
              <w:rPr>
                <w:color w:val="000000"/>
              </w:rPr>
            </w:pPr>
            <w:r w:rsidRPr="00FE6AC6">
              <w:rPr>
                <w:color w:val="000000"/>
                <w:lang w:val="bg-BG"/>
              </w:rPr>
              <w:t>Метотрексат</w:t>
            </w:r>
            <w:r w:rsidR="00512CD0" w:rsidRPr="00FE6AC6">
              <w:rPr>
                <w:color w:val="000000"/>
              </w:rPr>
              <w:t>e (20 mg/m</w:t>
            </w:r>
            <w:r w:rsidR="00512CD0" w:rsidRPr="00FE6AC6">
              <w:rPr>
                <w:color w:val="000000"/>
                <w:vertAlign w:val="superscript"/>
              </w:rPr>
              <w:t>2</w:t>
            </w:r>
            <w:r w:rsidR="00512CD0" w:rsidRPr="00FE6AC6">
              <w:rPr>
                <w:color w:val="000000"/>
              </w:rPr>
              <w:t>/</w:t>
            </w:r>
            <w:r w:rsidRPr="00FE6AC6">
              <w:rPr>
                <w:color w:val="000000"/>
                <w:lang w:val="bg-BG"/>
              </w:rPr>
              <w:t>седмица</w:t>
            </w:r>
            <w:r w:rsidR="00512CD0" w:rsidRPr="00FE6AC6">
              <w:rPr>
                <w:color w:val="000000"/>
              </w:rPr>
              <w:t xml:space="preserve">, PO): </w:t>
            </w:r>
            <w:r w:rsidRPr="00FE6AC6">
              <w:rPr>
                <w:color w:val="000000"/>
                <w:lang w:val="bg-BG"/>
              </w:rPr>
              <w:t>дни</w:t>
            </w:r>
            <w:r w:rsidR="00512CD0" w:rsidRPr="00FE6AC6">
              <w:rPr>
                <w:color w:val="000000"/>
              </w:rPr>
              <w:t> 8, 15, 22</w:t>
            </w:r>
          </w:p>
          <w:p w14:paraId="3E54FEF8" w14:textId="77777777" w:rsidR="00512CD0" w:rsidRPr="00FE6AC6" w:rsidRDefault="00512CD0" w:rsidP="0063575E">
            <w:pPr>
              <w:pStyle w:val="EndnoteText"/>
              <w:widowControl w:val="0"/>
              <w:rPr>
                <w:color w:val="000000"/>
              </w:rPr>
            </w:pPr>
            <w:r w:rsidRPr="00FE6AC6">
              <w:rPr>
                <w:color w:val="000000"/>
              </w:rPr>
              <w:t>VP-16 (100 mg/m</w:t>
            </w:r>
            <w:r w:rsidRPr="00FE6AC6">
              <w:rPr>
                <w:color w:val="000000"/>
                <w:vertAlign w:val="superscript"/>
              </w:rPr>
              <w:t>2</w:t>
            </w:r>
            <w:r w:rsidRPr="00FE6AC6">
              <w:rPr>
                <w:color w:val="000000"/>
              </w:rPr>
              <w:t xml:space="preserve">, IV): </w:t>
            </w:r>
            <w:r w:rsidR="00EA0450" w:rsidRPr="00FE6AC6">
              <w:rPr>
                <w:color w:val="000000"/>
                <w:lang w:val="bg-BG"/>
              </w:rPr>
              <w:t>дни</w:t>
            </w:r>
            <w:r w:rsidRPr="00FE6AC6">
              <w:rPr>
                <w:color w:val="000000"/>
              </w:rPr>
              <w:t> 29</w:t>
            </w:r>
            <w:r w:rsidRPr="00FE6AC6">
              <w:rPr>
                <w:color w:val="000000"/>
              </w:rPr>
              <w:noBreakHyphen/>
              <w:t>33</w:t>
            </w:r>
          </w:p>
          <w:p w14:paraId="3E54FEF9" w14:textId="77777777" w:rsidR="00512CD0" w:rsidRPr="00FE6AC6" w:rsidRDefault="00512CD0" w:rsidP="0063575E">
            <w:pPr>
              <w:pStyle w:val="EndnoteText"/>
              <w:widowControl w:val="0"/>
              <w:rPr>
                <w:color w:val="000000"/>
              </w:rPr>
            </w:pPr>
            <w:r w:rsidRPr="00FE6AC6">
              <w:rPr>
                <w:color w:val="000000"/>
              </w:rPr>
              <w:t>CPM (300 mg/m</w:t>
            </w:r>
            <w:r w:rsidRPr="00FE6AC6">
              <w:rPr>
                <w:color w:val="000000"/>
                <w:vertAlign w:val="superscript"/>
              </w:rPr>
              <w:t>2</w:t>
            </w:r>
            <w:r w:rsidRPr="00FE6AC6">
              <w:rPr>
                <w:color w:val="000000"/>
              </w:rPr>
              <w:t xml:space="preserve">, IV): </w:t>
            </w:r>
            <w:r w:rsidR="00EA0450" w:rsidRPr="00FE6AC6">
              <w:rPr>
                <w:color w:val="000000"/>
                <w:lang w:val="bg-BG"/>
              </w:rPr>
              <w:t>дни</w:t>
            </w:r>
            <w:r w:rsidRPr="00FE6AC6">
              <w:rPr>
                <w:color w:val="000000"/>
              </w:rPr>
              <w:t> 29</w:t>
            </w:r>
            <w:r w:rsidRPr="00FE6AC6">
              <w:rPr>
                <w:color w:val="000000"/>
              </w:rPr>
              <w:noBreakHyphen/>
              <w:t>33</w:t>
            </w:r>
          </w:p>
          <w:p w14:paraId="3E54FEFA" w14:textId="77777777" w:rsidR="00512CD0" w:rsidRPr="00FE6AC6" w:rsidRDefault="00512CD0" w:rsidP="0063575E">
            <w:pPr>
              <w:pStyle w:val="EndnoteText"/>
              <w:widowControl w:val="0"/>
              <w:rPr>
                <w:color w:val="000000"/>
              </w:rPr>
            </w:pPr>
            <w:r w:rsidRPr="00FE6AC6">
              <w:rPr>
                <w:color w:val="000000"/>
              </w:rPr>
              <w:t>M</w:t>
            </w:r>
            <w:r w:rsidR="003E3A37" w:rsidRPr="00FE6AC6">
              <w:rPr>
                <w:color w:val="000000"/>
                <w:lang w:val="en-US"/>
              </w:rPr>
              <w:t>ESNA</w:t>
            </w:r>
            <w:r w:rsidRPr="00FE6AC6">
              <w:rPr>
                <w:color w:val="000000"/>
              </w:rPr>
              <w:t xml:space="preserve"> IV </w:t>
            </w:r>
            <w:r w:rsidR="00EA0450" w:rsidRPr="00FE6AC6">
              <w:rPr>
                <w:color w:val="000000"/>
                <w:lang w:val="bg-BG"/>
              </w:rPr>
              <w:t>дни</w:t>
            </w:r>
            <w:r w:rsidRPr="00FE6AC6">
              <w:rPr>
                <w:color w:val="000000"/>
              </w:rPr>
              <w:t> 29</w:t>
            </w:r>
            <w:r w:rsidRPr="00FE6AC6">
              <w:rPr>
                <w:color w:val="000000"/>
              </w:rPr>
              <w:noBreakHyphen/>
              <w:t>33</w:t>
            </w:r>
          </w:p>
          <w:p w14:paraId="3E54FEFB" w14:textId="77777777" w:rsidR="00512CD0" w:rsidRPr="00FE6AC6" w:rsidRDefault="00512CD0" w:rsidP="0063575E">
            <w:pPr>
              <w:pStyle w:val="EndnoteText"/>
              <w:widowControl w:val="0"/>
              <w:rPr>
                <w:color w:val="000000"/>
              </w:rPr>
            </w:pPr>
            <w:r w:rsidRPr="00FE6AC6">
              <w:rPr>
                <w:color w:val="000000"/>
              </w:rPr>
              <w:t xml:space="preserve">G-CSF (5 μg/kg, SC): </w:t>
            </w:r>
            <w:r w:rsidR="00EA0450" w:rsidRPr="00FE6AC6">
              <w:rPr>
                <w:color w:val="000000"/>
                <w:lang w:val="bg-BG"/>
              </w:rPr>
              <w:t>дни</w:t>
            </w:r>
            <w:r w:rsidRPr="00FE6AC6">
              <w:rPr>
                <w:color w:val="000000"/>
              </w:rPr>
              <w:t> 34</w:t>
            </w:r>
            <w:r w:rsidRPr="00FE6AC6">
              <w:rPr>
                <w:color w:val="000000"/>
              </w:rPr>
              <w:noBreakHyphen/>
              <w:t>43</w:t>
            </w:r>
          </w:p>
        </w:tc>
      </w:tr>
      <w:tr w:rsidR="001A7A03" w:rsidRPr="00FE6AC6" w14:paraId="3E54FF07" w14:textId="77777777" w:rsidTr="00F40727">
        <w:trPr>
          <w:cantSplit/>
        </w:trPr>
        <w:tc>
          <w:tcPr>
            <w:tcW w:w="2358" w:type="dxa"/>
            <w:shd w:val="clear" w:color="auto" w:fill="auto"/>
          </w:tcPr>
          <w:p w14:paraId="3E54FEFD" w14:textId="77777777" w:rsidR="00512CD0" w:rsidRPr="00FE6AC6" w:rsidRDefault="005A38D9" w:rsidP="0063575E">
            <w:pPr>
              <w:pStyle w:val="EndnoteText"/>
              <w:widowControl w:val="0"/>
              <w:rPr>
                <w:color w:val="000000"/>
              </w:rPr>
            </w:pPr>
            <w:r w:rsidRPr="00FE6AC6">
              <w:rPr>
                <w:color w:val="000000"/>
                <w:lang w:val="bg-BG"/>
              </w:rPr>
              <w:t>Поддържане</w:t>
            </w:r>
          </w:p>
          <w:p w14:paraId="3E54FEFE" w14:textId="77777777" w:rsidR="00512CD0" w:rsidRPr="00FE6AC6" w:rsidRDefault="00512CD0" w:rsidP="0063575E">
            <w:pPr>
              <w:pStyle w:val="EndnoteText"/>
              <w:widowControl w:val="0"/>
              <w:rPr>
                <w:color w:val="000000"/>
              </w:rPr>
            </w:pPr>
            <w:r w:rsidRPr="00FE6AC6">
              <w:rPr>
                <w:color w:val="000000"/>
              </w:rPr>
              <w:t>(8-</w:t>
            </w:r>
            <w:r w:rsidR="005A38D9" w:rsidRPr="00FE6AC6">
              <w:rPr>
                <w:color w:val="000000"/>
                <w:lang w:val="bg-BG"/>
              </w:rPr>
              <w:t>седмични цикли</w:t>
            </w:r>
            <w:r w:rsidRPr="00FE6AC6">
              <w:rPr>
                <w:color w:val="000000"/>
              </w:rPr>
              <w:t>)</w:t>
            </w:r>
          </w:p>
          <w:p w14:paraId="3E54FEFF" w14:textId="77777777" w:rsidR="00512CD0" w:rsidRPr="00FE6AC6" w:rsidRDefault="005A38D9" w:rsidP="0063575E">
            <w:pPr>
              <w:pStyle w:val="EndnoteText"/>
              <w:widowControl w:val="0"/>
              <w:rPr>
                <w:color w:val="000000"/>
              </w:rPr>
            </w:pPr>
            <w:r w:rsidRPr="00FE6AC6">
              <w:rPr>
                <w:color w:val="000000"/>
                <w:lang w:val="bg-BG"/>
              </w:rPr>
              <w:t>Цикъл</w:t>
            </w:r>
            <w:r w:rsidR="00512CD0" w:rsidRPr="00FE6AC6">
              <w:rPr>
                <w:color w:val="000000"/>
              </w:rPr>
              <w:t> 5</w:t>
            </w:r>
          </w:p>
        </w:tc>
        <w:tc>
          <w:tcPr>
            <w:tcW w:w="6929" w:type="dxa"/>
            <w:shd w:val="clear" w:color="auto" w:fill="auto"/>
          </w:tcPr>
          <w:p w14:paraId="3E54FF00" w14:textId="77777777" w:rsidR="00512CD0" w:rsidRPr="00FE6AC6" w:rsidRDefault="00B97C0F" w:rsidP="0063575E">
            <w:pPr>
              <w:pStyle w:val="EndnoteText"/>
              <w:widowControl w:val="0"/>
              <w:rPr>
                <w:color w:val="000000"/>
              </w:rPr>
            </w:pPr>
            <w:r w:rsidRPr="00FE6AC6">
              <w:rPr>
                <w:color w:val="000000"/>
                <w:lang w:val="bg-BG"/>
              </w:rPr>
              <w:t>Краниална ирадиация</w:t>
            </w:r>
            <w:r w:rsidR="00512CD0" w:rsidRPr="00FE6AC6">
              <w:rPr>
                <w:color w:val="000000"/>
              </w:rPr>
              <w:t xml:space="preserve"> (</w:t>
            </w:r>
            <w:r w:rsidRPr="00FE6AC6">
              <w:rPr>
                <w:color w:val="000000"/>
                <w:lang w:val="bg-BG"/>
              </w:rPr>
              <w:t>Само блок</w:t>
            </w:r>
            <w:r w:rsidR="00512CD0" w:rsidRPr="00FE6AC6">
              <w:rPr>
                <w:color w:val="000000"/>
              </w:rPr>
              <w:t> 5)</w:t>
            </w:r>
          </w:p>
          <w:p w14:paraId="3E54FF01" w14:textId="77777777" w:rsidR="00512CD0" w:rsidRPr="00FE6AC6" w:rsidRDefault="00512CD0" w:rsidP="0063575E">
            <w:pPr>
              <w:pStyle w:val="EndnoteText"/>
              <w:widowControl w:val="0"/>
              <w:rPr>
                <w:color w:val="000000"/>
              </w:rPr>
            </w:pPr>
            <w:r w:rsidRPr="00FE6AC6">
              <w:rPr>
                <w:color w:val="000000"/>
              </w:rPr>
              <w:t xml:space="preserve">12 Gy </w:t>
            </w:r>
            <w:r w:rsidR="00B97C0F" w:rsidRPr="00FE6AC6">
              <w:rPr>
                <w:color w:val="000000"/>
                <w:lang w:val="bg-BG"/>
              </w:rPr>
              <w:t>на</w:t>
            </w:r>
            <w:r w:rsidRPr="00FE6AC6">
              <w:rPr>
                <w:color w:val="000000"/>
              </w:rPr>
              <w:t xml:space="preserve"> 8 </w:t>
            </w:r>
            <w:r w:rsidR="00B97C0F" w:rsidRPr="00FE6AC6">
              <w:rPr>
                <w:color w:val="000000"/>
                <w:lang w:val="bg-BG"/>
              </w:rPr>
              <w:t>фракции при всички пациенти, които са</w:t>
            </w:r>
            <w:r w:rsidRPr="00FE6AC6">
              <w:rPr>
                <w:color w:val="000000"/>
              </w:rPr>
              <w:t xml:space="preserve"> CNS1 </w:t>
            </w:r>
            <w:r w:rsidR="00B97C0F" w:rsidRPr="00FE6AC6">
              <w:rPr>
                <w:color w:val="000000"/>
                <w:lang w:val="bg-BG"/>
              </w:rPr>
              <w:t>и</w:t>
            </w:r>
            <w:r w:rsidRPr="00FE6AC6">
              <w:rPr>
                <w:color w:val="000000"/>
              </w:rPr>
              <w:t xml:space="preserve"> CNS2 </w:t>
            </w:r>
            <w:r w:rsidR="00B97C0F" w:rsidRPr="00FE6AC6">
              <w:rPr>
                <w:color w:val="000000"/>
                <w:lang w:val="bg-BG"/>
              </w:rPr>
              <w:t>при поставяне на диагнозата</w:t>
            </w:r>
          </w:p>
          <w:p w14:paraId="3E54FF02" w14:textId="77777777" w:rsidR="00512CD0" w:rsidRPr="00FE6AC6" w:rsidRDefault="00512CD0" w:rsidP="0063575E">
            <w:pPr>
              <w:pStyle w:val="EndnoteText"/>
              <w:widowControl w:val="0"/>
              <w:rPr>
                <w:color w:val="000000"/>
              </w:rPr>
            </w:pPr>
            <w:r w:rsidRPr="00FE6AC6">
              <w:rPr>
                <w:color w:val="000000"/>
              </w:rPr>
              <w:t xml:space="preserve">18 Gy </w:t>
            </w:r>
            <w:r w:rsidR="00B97C0F" w:rsidRPr="00FE6AC6">
              <w:rPr>
                <w:color w:val="000000"/>
                <w:lang w:val="bg-BG"/>
              </w:rPr>
              <w:t>на</w:t>
            </w:r>
            <w:r w:rsidRPr="00FE6AC6">
              <w:rPr>
                <w:color w:val="000000"/>
              </w:rPr>
              <w:t xml:space="preserve"> 10 </w:t>
            </w:r>
            <w:r w:rsidR="00B97C0F" w:rsidRPr="00FE6AC6">
              <w:rPr>
                <w:color w:val="000000"/>
                <w:lang w:val="bg-BG"/>
              </w:rPr>
              <w:t xml:space="preserve">фракции при пациенти, които са </w:t>
            </w:r>
            <w:r w:rsidRPr="00FE6AC6">
              <w:rPr>
                <w:color w:val="000000"/>
              </w:rPr>
              <w:t xml:space="preserve">CNS3 </w:t>
            </w:r>
            <w:r w:rsidR="00B97C0F" w:rsidRPr="00FE6AC6">
              <w:rPr>
                <w:color w:val="000000"/>
                <w:lang w:val="bg-BG"/>
              </w:rPr>
              <w:t>при поставяне на диагнозата</w:t>
            </w:r>
          </w:p>
          <w:p w14:paraId="3E54FF03" w14:textId="77777777" w:rsidR="00512CD0" w:rsidRPr="00FE6AC6" w:rsidRDefault="00512CD0" w:rsidP="0063575E">
            <w:pPr>
              <w:pStyle w:val="EndnoteText"/>
              <w:widowControl w:val="0"/>
              <w:rPr>
                <w:color w:val="000000"/>
              </w:rPr>
            </w:pPr>
            <w:r w:rsidRPr="00FE6AC6">
              <w:rPr>
                <w:color w:val="000000"/>
              </w:rPr>
              <w:t>VCR (1</w:t>
            </w:r>
            <w:r w:rsidR="00B97C0F" w:rsidRPr="00FE6AC6">
              <w:rPr>
                <w:color w:val="000000"/>
                <w:lang w:val="bg-BG"/>
              </w:rPr>
              <w:t>,</w:t>
            </w:r>
            <w:r w:rsidRPr="00FE6AC6">
              <w:rPr>
                <w:color w:val="000000"/>
              </w:rPr>
              <w:t>5 mg/m</w:t>
            </w:r>
            <w:r w:rsidRPr="00FE6AC6">
              <w:rPr>
                <w:color w:val="000000"/>
                <w:vertAlign w:val="superscript"/>
              </w:rPr>
              <w:t>2</w:t>
            </w:r>
            <w:r w:rsidRPr="00FE6AC6">
              <w:rPr>
                <w:color w:val="000000"/>
              </w:rPr>
              <w:t>/</w:t>
            </w:r>
            <w:r w:rsidR="00B97C0F" w:rsidRPr="00FE6AC6">
              <w:rPr>
                <w:color w:val="000000"/>
                <w:lang w:val="bg-BG"/>
              </w:rPr>
              <w:t>ден</w:t>
            </w:r>
            <w:r w:rsidRPr="00FE6AC6">
              <w:rPr>
                <w:color w:val="000000"/>
              </w:rPr>
              <w:t xml:space="preserve">, IV): </w:t>
            </w:r>
            <w:r w:rsidR="00B97C0F" w:rsidRPr="00FE6AC6">
              <w:rPr>
                <w:color w:val="000000"/>
                <w:lang w:val="bg-BG"/>
              </w:rPr>
              <w:t>дни</w:t>
            </w:r>
            <w:r w:rsidRPr="00FE6AC6">
              <w:rPr>
                <w:color w:val="000000"/>
              </w:rPr>
              <w:t> 1, 29</w:t>
            </w:r>
          </w:p>
          <w:p w14:paraId="3E54FF04" w14:textId="77777777" w:rsidR="00512CD0" w:rsidRPr="00FE6AC6" w:rsidRDefault="00512CD0" w:rsidP="0063575E">
            <w:pPr>
              <w:pStyle w:val="EndnoteText"/>
              <w:widowControl w:val="0"/>
              <w:rPr>
                <w:color w:val="000000"/>
              </w:rPr>
            </w:pPr>
            <w:r w:rsidRPr="00FE6AC6">
              <w:rPr>
                <w:color w:val="000000"/>
              </w:rPr>
              <w:t>DEX (6 mg/m</w:t>
            </w:r>
            <w:r w:rsidRPr="00FE6AC6">
              <w:rPr>
                <w:color w:val="000000"/>
                <w:vertAlign w:val="superscript"/>
              </w:rPr>
              <w:t>2</w:t>
            </w:r>
            <w:r w:rsidRPr="00FE6AC6">
              <w:rPr>
                <w:color w:val="000000"/>
              </w:rPr>
              <w:t>/</w:t>
            </w:r>
            <w:r w:rsidR="00B97C0F"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00B97C0F" w:rsidRPr="00FE6AC6">
              <w:rPr>
                <w:color w:val="000000"/>
                <w:lang w:val="bg-BG"/>
              </w:rPr>
              <w:t>дни</w:t>
            </w:r>
            <w:r w:rsidRPr="00FE6AC6">
              <w:rPr>
                <w:color w:val="000000"/>
              </w:rPr>
              <w:t> 1</w:t>
            </w:r>
            <w:r w:rsidRPr="00FE6AC6">
              <w:rPr>
                <w:color w:val="000000"/>
              </w:rPr>
              <w:noBreakHyphen/>
              <w:t>5; 29</w:t>
            </w:r>
            <w:r w:rsidRPr="00FE6AC6">
              <w:rPr>
                <w:color w:val="000000"/>
              </w:rPr>
              <w:noBreakHyphen/>
              <w:t>33</w:t>
            </w:r>
          </w:p>
          <w:p w14:paraId="3E54FF05" w14:textId="77777777" w:rsidR="00512CD0" w:rsidRPr="00FE6AC6" w:rsidRDefault="00512CD0" w:rsidP="0063575E">
            <w:pPr>
              <w:pStyle w:val="EndnoteText"/>
              <w:widowControl w:val="0"/>
              <w:rPr>
                <w:color w:val="000000"/>
              </w:rPr>
            </w:pPr>
            <w:r w:rsidRPr="00FE6AC6">
              <w:rPr>
                <w:color w:val="000000"/>
              </w:rPr>
              <w:t>6-MP (75 mg/m</w:t>
            </w:r>
            <w:r w:rsidRPr="00FE6AC6">
              <w:rPr>
                <w:color w:val="000000"/>
                <w:vertAlign w:val="superscript"/>
              </w:rPr>
              <w:t>2</w:t>
            </w:r>
            <w:r w:rsidRPr="00FE6AC6">
              <w:rPr>
                <w:color w:val="000000"/>
              </w:rPr>
              <w:t>/</w:t>
            </w:r>
            <w:r w:rsidR="00575AEE"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00575AEE" w:rsidRPr="00FE6AC6">
              <w:rPr>
                <w:color w:val="000000"/>
                <w:lang w:val="bg-BG"/>
              </w:rPr>
              <w:t>дни</w:t>
            </w:r>
            <w:r w:rsidRPr="00FE6AC6">
              <w:rPr>
                <w:color w:val="000000"/>
              </w:rPr>
              <w:t> 11</w:t>
            </w:r>
            <w:r w:rsidRPr="00FE6AC6">
              <w:rPr>
                <w:color w:val="000000"/>
              </w:rPr>
              <w:noBreakHyphen/>
              <w:t>56 (</w:t>
            </w:r>
            <w:r w:rsidR="00575AEE" w:rsidRPr="00FE6AC6">
              <w:rPr>
                <w:color w:val="000000"/>
                <w:lang w:val="bg-BG"/>
              </w:rPr>
              <w:t>Спиране на</w:t>
            </w:r>
            <w:r w:rsidRPr="00FE6AC6">
              <w:rPr>
                <w:color w:val="000000"/>
              </w:rPr>
              <w:t xml:space="preserve"> 6-MP</w:t>
            </w:r>
            <w:r w:rsidR="00391C81" w:rsidRPr="00FE6AC6">
              <w:rPr>
                <w:color w:val="000000"/>
                <w:lang w:val="bg-BG"/>
              </w:rPr>
              <w:t xml:space="preserve">, започнат на ден 1 от Цикъл 5 по време на </w:t>
            </w:r>
            <w:r w:rsidRPr="00FE6AC6">
              <w:rPr>
                <w:color w:val="000000"/>
              </w:rPr>
              <w:t>6</w:t>
            </w:r>
            <w:r w:rsidRPr="00FE6AC6">
              <w:rPr>
                <w:color w:val="000000"/>
              </w:rPr>
              <w:noBreakHyphen/>
              <w:t>10 </w:t>
            </w:r>
            <w:r w:rsidR="00391C81" w:rsidRPr="00FE6AC6">
              <w:rPr>
                <w:color w:val="000000"/>
                <w:lang w:val="bg-BG"/>
              </w:rPr>
              <w:t>дни краниална ирадиация</w:t>
            </w:r>
            <w:r w:rsidRPr="00FE6AC6">
              <w:rPr>
                <w:color w:val="000000"/>
              </w:rPr>
              <w:t xml:space="preserve">. </w:t>
            </w:r>
            <w:r w:rsidR="00391C81" w:rsidRPr="00FE6AC6">
              <w:rPr>
                <w:color w:val="000000"/>
                <w:lang w:val="bg-BG"/>
              </w:rPr>
              <w:t>Започване на</w:t>
            </w:r>
            <w:r w:rsidRPr="00FE6AC6">
              <w:rPr>
                <w:color w:val="000000"/>
              </w:rPr>
              <w:t xml:space="preserve"> 6-MP </w:t>
            </w:r>
            <w:r w:rsidR="00391C81" w:rsidRPr="00FE6AC6">
              <w:rPr>
                <w:color w:val="000000"/>
                <w:lang w:val="bg-BG"/>
              </w:rPr>
              <w:t>на 1</w:t>
            </w:r>
            <w:r w:rsidR="00391C81" w:rsidRPr="00FE6AC6">
              <w:rPr>
                <w:color w:val="000000"/>
                <w:lang w:val="bg-BG"/>
              </w:rPr>
              <w:noBreakHyphen/>
              <w:t>ия ден след приключване на краниалната ирадиация</w:t>
            </w:r>
            <w:r w:rsidRPr="00FE6AC6">
              <w:rPr>
                <w:color w:val="000000"/>
              </w:rPr>
              <w:t>.)</w:t>
            </w:r>
          </w:p>
          <w:p w14:paraId="3E54FF06" w14:textId="2FDF19C2" w:rsidR="00512CD0" w:rsidRPr="00FE6AC6" w:rsidRDefault="00391C81" w:rsidP="0063575E">
            <w:pPr>
              <w:pStyle w:val="EndnoteText"/>
              <w:widowControl w:val="0"/>
              <w:rPr>
                <w:color w:val="000000"/>
              </w:rPr>
            </w:pPr>
            <w:r w:rsidRPr="00FE6AC6">
              <w:rPr>
                <w:color w:val="000000"/>
                <w:lang w:val="bg-BG"/>
              </w:rPr>
              <w:t>Метотрексат</w:t>
            </w:r>
            <w:r w:rsidR="00512CD0" w:rsidRPr="00FE6AC6">
              <w:rPr>
                <w:color w:val="000000"/>
              </w:rPr>
              <w:t xml:space="preserve"> (20 mg/m</w:t>
            </w:r>
            <w:r w:rsidR="00512CD0" w:rsidRPr="00FE6AC6">
              <w:rPr>
                <w:color w:val="000000"/>
                <w:vertAlign w:val="superscript"/>
              </w:rPr>
              <w:t>2</w:t>
            </w:r>
            <w:r w:rsidR="00512CD0" w:rsidRPr="00FE6AC6">
              <w:rPr>
                <w:color w:val="000000"/>
              </w:rPr>
              <w:t>/</w:t>
            </w:r>
            <w:r w:rsidRPr="00FE6AC6">
              <w:rPr>
                <w:color w:val="000000"/>
                <w:lang w:val="bg-BG"/>
              </w:rPr>
              <w:t>седмица</w:t>
            </w:r>
            <w:r w:rsidR="00512CD0" w:rsidRPr="00FE6AC6">
              <w:rPr>
                <w:color w:val="000000"/>
              </w:rPr>
              <w:t xml:space="preserve">, PO): </w:t>
            </w:r>
            <w:r w:rsidRPr="00FE6AC6">
              <w:rPr>
                <w:color w:val="000000"/>
                <w:lang w:val="bg-BG"/>
              </w:rPr>
              <w:t>дни</w:t>
            </w:r>
            <w:r w:rsidR="00512CD0" w:rsidRPr="00FE6AC6">
              <w:rPr>
                <w:color w:val="000000"/>
              </w:rPr>
              <w:t> 8, 15, 22, 29, 36, 43, 50</w:t>
            </w:r>
          </w:p>
        </w:tc>
      </w:tr>
      <w:tr w:rsidR="001A7A03" w:rsidRPr="00FE6AC6" w14:paraId="3E54FF0F" w14:textId="77777777" w:rsidTr="00F40727">
        <w:trPr>
          <w:cantSplit/>
        </w:trPr>
        <w:tc>
          <w:tcPr>
            <w:tcW w:w="2358" w:type="dxa"/>
            <w:shd w:val="clear" w:color="auto" w:fill="auto"/>
          </w:tcPr>
          <w:p w14:paraId="3E54FF08" w14:textId="77777777" w:rsidR="00512CD0" w:rsidRPr="00FE6AC6" w:rsidRDefault="00391C81" w:rsidP="0063575E">
            <w:pPr>
              <w:pStyle w:val="EndnoteText"/>
              <w:keepNext/>
              <w:keepLines/>
              <w:widowControl w:val="0"/>
              <w:rPr>
                <w:color w:val="000000"/>
              </w:rPr>
            </w:pPr>
            <w:r w:rsidRPr="00FE6AC6">
              <w:rPr>
                <w:color w:val="000000"/>
                <w:lang w:val="bg-BG"/>
              </w:rPr>
              <w:t>Поддържане</w:t>
            </w:r>
          </w:p>
          <w:p w14:paraId="3E54FF09" w14:textId="77777777" w:rsidR="00512CD0" w:rsidRPr="00FE6AC6" w:rsidRDefault="00512CD0" w:rsidP="0063575E">
            <w:pPr>
              <w:pStyle w:val="EndnoteText"/>
              <w:keepNext/>
              <w:keepLines/>
              <w:widowControl w:val="0"/>
              <w:rPr>
                <w:color w:val="000000"/>
              </w:rPr>
            </w:pPr>
            <w:r w:rsidRPr="00FE6AC6">
              <w:rPr>
                <w:color w:val="000000"/>
              </w:rPr>
              <w:t>(8-</w:t>
            </w:r>
            <w:r w:rsidR="00391C81" w:rsidRPr="00FE6AC6">
              <w:rPr>
                <w:color w:val="000000"/>
                <w:lang w:val="bg-BG"/>
              </w:rPr>
              <w:t>седмични цикли</w:t>
            </w:r>
            <w:r w:rsidRPr="00FE6AC6">
              <w:rPr>
                <w:color w:val="000000"/>
              </w:rPr>
              <w:t>)</w:t>
            </w:r>
          </w:p>
          <w:p w14:paraId="3E54FF0A" w14:textId="77777777" w:rsidR="00512CD0" w:rsidRPr="00FE6AC6" w:rsidRDefault="00391C81" w:rsidP="0063575E">
            <w:pPr>
              <w:pStyle w:val="EndnoteText"/>
              <w:keepNext/>
              <w:keepLines/>
              <w:widowControl w:val="0"/>
              <w:rPr>
                <w:color w:val="000000"/>
              </w:rPr>
            </w:pPr>
            <w:r w:rsidRPr="00FE6AC6">
              <w:rPr>
                <w:color w:val="000000"/>
                <w:lang w:val="bg-BG"/>
              </w:rPr>
              <w:t>Цикли</w:t>
            </w:r>
            <w:r w:rsidR="00512CD0" w:rsidRPr="00FE6AC6">
              <w:rPr>
                <w:color w:val="000000"/>
              </w:rPr>
              <w:t> 6</w:t>
            </w:r>
            <w:r w:rsidR="00512CD0" w:rsidRPr="00FE6AC6">
              <w:rPr>
                <w:color w:val="000000"/>
              </w:rPr>
              <w:noBreakHyphen/>
              <w:t>12</w:t>
            </w:r>
          </w:p>
        </w:tc>
        <w:tc>
          <w:tcPr>
            <w:tcW w:w="6929" w:type="dxa"/>
            <w:shd w:val="clear" w:color="auto" w:fill="auto"/>
          </w:tcPr>
          <w:p w14:paraId="3E54FF0B" w14:textId="77777777" w:rsidR="00512CD0" w:rsidRPr="00FE6AC6" w:rsidRDefault="00512CD0" w:rsidP="0063575E">
            <w:pPr>
              <w:pStyle w:val="EndnoteText"/>
              <w:keepNext/>
              <w:keepLines/>
              <w:widowControl w:val="0"/>
              <w:rPr>
                <w:color w:val="000000"/>
              </w:rPr>
            </w:pPr>
            <w:r w:rsidRPr="00FE6AC6">
              <w:rPr>
                <w:color w:val="000000"/>
              </w:rPr>
              <w:t>VCR (1</w:t>
            </w:r>
            <w:r w:rsidR="00391C81" w:rsidRPr="00FE6AC6">
              <w:rPr>
                <w:color w:val="000000"/>
                <w:lang w:val="bg-BG"/>
              </w:rPr>
              <w:t>,</w:t>
            </w:r>
            <w:r w:rsidRPr="00FE6AC6">
              <w:rPr>
                <w:color w:val="000000"/>
              </w:rPr>
              <w:t>5 mg/m</w:t>
            </w:r>
            <w:r w:rsidRPr="00FE6AC6">
              <w:rPr>
                <w:color w:val="000000"/>
                <w:vertAlign w:val="superscript"/>
              </w:rPr>
              <w:t>2</w:t>
            </w:r>
            <w:r w:rsidRPr="00FE6AC6">
              <w:rPr>
                <w:color w:val="000000"/>
              </w:rPr>
              <w:t>/</w:t>
            </w:r>
            <w:r w:rsidR="00391C81" w:rsidRPr="00FE6AC6">
              <w:rPr>
                <w:color w:val="000000"/>
                <w:lang w:val="bg-BG"/>
              </w:rPr>
              <w:t>ден</w:t>
            </w:r>
            <w:r w:rsidRPr="00FE6AC6">
              <w:rPr>
                <w:color w:val="000000"/>
              </w:rPr>
              <w:t xml:space="preserve">, IV): </w:t>
            </w:r>
            <w:r w:rsidR="00391C81" w:rsidRPr="00FE6AC6">
              <w:rPr>
                <w:color w:val="000000"/>
                <w:lang w:val="bg-BG"/>
              </w:rPr>
              <w:t>дни</w:t>
            </w:r>
            <w:r w:rsidRPr="00FE6AC6">
              <w:rPr>
                <w:color w:val="000000"/>
              </w:rPr>
              <w:t> 1, 29</w:t>
            </w:r>
          </w:p>
          <w:p w14:paraId="3E54FF0C" w14:textId="77777777" w:rsidR="00512CD0" w:rsidRPr="00FE6AC6" w:rsidRDefault="00512CD0" w:rsidP="0063575E">
            <w:pPr>
              <w:pStyle w:val="EndnoteText"/>
              <w:keepNext/>
              <w:keepLines/>
              <w:widowControl w:val="0"/>
              <w:rPr>
                <w:color w:val="000000"/>
              </w:rPr>
            </w:pPr>
            <w:r w:rsidRPr="00FE6AC6">
              <w:rPr>
                <w:color w:val="000000"/>
              </w:rPr>
              <w:t>DEX (6 mg/m</w:t>
            </w:r>
            <w:r w:rsidRPr="00FE6AC6">
              <w:rPr>
                <w:color w:val="000000"/>
                <w:vertAlign w:val="superscript"/>
              </w:rPr>
              <w:t>2</w:t>
            </w:r>
            <w:r w:rsidRPr="00FE6AC6">
              <w:rPr>
                <w:color w:val="000000"/>
              </w:rPr>
              <w:t>/</w:t>
            </w:r>
            <w:r w:rsidR="00391C81"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00391C81" w:rsidRPr="00FE6AC6">
              <w:rPr>
                <w:color w:val="000000"/>
                <w:lang w:val="bg-BG"/>
              </w:rPr>
              <w:t>дни</w:t>
            </w:r>
            <w:r w:rsidRPr="00FE6AC6">
              <w:rPr>
                <w:color w:val="000000"/>
              </w:rPr>
              <w:t> 1</w:t>
            </w:r>
            <w:r w:rsidRPr="00FE6AC6">
              <w:rPr>
                <w:color w:val="000000"/>
              </w:rPr>
              <w:noBreakHyphen/>
              <w:t>5; 29</w:t>
            </w:r>
            <w:r w:rsidRPr="00FE6AC6">
              <w:rPr>
                <w:color w:val="000000"/>
              </w:rPr>
              <w:noBreakHyphen/>
              <w:t>33</w:t>
            </w:r>
          </w:p>
          <w:p w14:paraId="3E54FF0D" w14:textId="77777777" w:rsidR="00512CD0" w:rsidRPr="00FE6AC6" w:rsidRDefault="00512CD0" w:rsidP="0063575E">
            <w:pPr>
              <w:pStyle w:val="EndnoteText"/>
              <w:keepNext/>
              <w:keepLines/>
              <w:widowControl w:val="0"/>
              <w:rPr>
                <w:color w:val="000000"/>
              </w:rPr>
            </w:pPr>
            <w:r w:rsidRPr="00FE6AC6">
              <w:rPr>
                <w:color w:val="000000"/>
              </w:rPr>
              <w:t>6-MP (75 mg/m</w:t>
            </w:r>
            <w:r w:rsidRPr="00FE6AC6">
              <w:rPr>
                <w:color w:val="000000"/>
                <w:vertAlign w:val="superscript"/>
              </w:rPr>
              <w:t>2</w:t>
            </w:r>
            <w:r w:rsidRPr="00FE6AC6">
              <w:rPr>
                <w:color w:val="000000"/>
              </w:rPr>
              <w:t>/</w:t>
            </w:r>
            <w:r w:rsidR="00391C81"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00391C81" w:rsidRPr="00FE6AC6">
              <w:rPr>
                <w:color w:val="000000"/>
                <w:lang w:val="bg-BG"/>
              </w:rPr>
              <w:t>дни</w:t>
            </w:r>
            <w:r w:rsidRPr="00FE6AC6">
              <w:rPr>
                <w:color w:val="000000"/>
              </w:rPr>
              <w:t> 1</w:t>
            </w:r>
            <w:r w:rsidRPr="00FE6AC6">
              <w:rPr>
                <w:color w:val="000000"/>
              </w:rPr>
              <w:noBreakHyphen/>
              <w:t>56</w:t>
            </w:r>
          </w:p>
          <w:p w14:paraId="3E54FF0E" w14:textId="77777777" w:rsidR="00512CD0" w:rsidRPr="00FE6AC6" w:rsidRDefault="00391C81" w:rsidP="0063575E">
            <w:pPr>
              <w:pStyle w:val="EndnoteText"/>
              <w:keepNext/>
              <w:keepLines/>
              <w:widowControl w:val="0"/>
              <w:rPr>
                <w:color w:val="000000"/>
              </w:rPr>
            </w:pPr>
            <w:r w:rsidRPr="00FE6AC6">
              <w:rPr>
                <w:color w:val="000000"/>
                <w:lang w:val="bg-BG"/>
              </w:rPr>
              <w:t>Метотрексат</w:t>
            </w:r>
            <w:r w:rsidR="00512CD0" w:rsidRPr="00FE6AC6">
              <w:rPr>
                <w:color w:val="000000"/>
              </w:rPr>
              <w:t xml:space="preserve"> (20 mg/m</w:t>
            </w:r>
            <w:r w:rsidR="00512CD0" w:rsidRPr="00FE6AC6">
              <w:rPr>
                <w:color w:val="000000"/>
                <w:vertAlign w:val="superscript"/>
              </w:rPr>
              <w:t>2</w:t>
            </w:r>
            <w:r w:rsidR="00512CD0" w:rsidRPr="00FE6AC6">
              <w:rPr>
                <w:color w:val="000000"/>
              </w:rPr>
              <w:t>/</w:t>
            </w:r>
            <w:r w:rsidRPr="00FE6AC6">
              <w:rPr>
                <w:color w:val="000000"/>
                <w:lang w:val="bg-BG"/>
              </w:rPr>
              <w:t>седмица</w:t>
            </w:r>
            <w:r w:rsidR="00512CD0" w:rsidRPr="00FE6AC6">
              <w:rPr>
                <w:color w:val="000000"/>
              </w:rPr>
              <w:t xml:space="preserve">, PO): </w:t>
            </w:r>
            <w:r w:rsidRPr="00FE6AC6">
              <w:rPr>
                <w:color w:val="000000"/>
                <w:lang w:val="bg-BG"/>
              </w:rPr>
              <w:t>дни</w:t>
            </w:r>
            <w:r w:rsidR="00512CD0" w:rsidRPr="00FE6AC6">
              <w:rPr>
                <w:color w:val="000000"/>
              </w:rPr>
              <w:t> 1, 8, 15, 22, 29, 36, 43, 50</w:t>
            </w:r>
          </w:p>
        </w:tc>
      </w:tr>
    </w:tbl>
    <w:p w14:paraId="3E54FF10" w14:textId="77777777" w:rsidR="00512CD0" w:rsidRPr="00FE6AC6" w:rsidRDefault="00512CD0" w:rsidP="008143B1">
      <w:pPr>
        <w:pStyle w:val="EndnoteText"/>
        <w:keepLines/>
        <w:widowControl w:val="0"/>
        <w:rPr>
          <w:color w:val="000000"/>
          <w:szCs w:val="22"/>
        </w:rPr>
      </w:pPr>
      <w:r w:rsidRPr="00FE6AC6">
        <w:rPr>
          <w:color w:val="000000"/>
          <w:szCs w:val="22"/>
        </w:rPr>
        <w:t xml:space="preserve">G-CSF = </w:t>
      </w:r>
      <w:r w:rsidR="005D63B0" w:rsidRPr="00FE6AC6">
        <w:rPr>
          <w:color w:val="000000"/>
          <w:szCs w:val="22"/>
          <w:lang w:val="bg-BG"/>
        </w:rPr>
        <w:t>гранулоцит</w:t>
      </w:r>
      <w:r w:rsidR="00985554" w:rsidRPr="00FE6AC6">
        <w:rPr>
          <w:color w:val="000000"/>
          <w:szCs w:val="22"/>
          <w:lang w:val="en-US"/>
        </w:rPr>
        <w:t>-</w:t>
      </w:r>
      <w:r w:rsidR="005D63B0" w:rsidRPr="00FE6AC6">
        <w:rPr>
          <w:color w:val="000000"/>
          <w:szCs w:val="22"/>
          <w:lang w:val="bg-BG"/>
        </w:rPr>
        <w:t>колониостимулиращ фактор</w:t>
      </w:r>
      <w:r w:rsidRPr="00FE6AC6">
        <w:rPr>
          <w:color w:val="000000"/>
          <w:szCs w:val="22"/>
        </w:rPr>
        <w:t xml:space="preserve">, VP-16 = </w:t>
      </w:r>
      <w:r w:rsidR="005D63B0" w:rsidRPr="00FE6AC6">
        <w:rPr>
          <w:color w:val="000000"/>
          <w:szCs w:val="22"/>
          <w:lang w:val="bg-BG"/>
        </w:rPr>
        <w:t>етопозид</w:t>
      </w:r>
      <w:r w:rsidRPr="00FE6AC6">
        <w:rPr>
          <w:color w:val="000000"/>
          <w:szCs w:val="22"/>
        </w:rPr>
        <w:t xml:space="preserve">, MTX = </w:t>
      </w:r>
      <w:r w:rsidR="005D63B0" w:rsidRPr="00FE6AC6">
        <w:rPr>
          <w:color w:val="000000"/>
          <w:szCs w:val="22"/>
          <w:lang w:val="bg-BG"/>
        </w:rPr>
        <w:t>метотрексат</w:t>
      </w:r>
      <w:r w:rsidRPr="00FE6AC6">
        <w:rPr>
          <w:color w:val="000000"/>
          <w:szCs w:val="22"/>
        </w:rPr>
        <w:t xml:space="preserve">, IV = </w:t>
      </w:r>
      <w:r w:rsidR="005D63B0" w:rsidRPr="00FE6AC6">
        <w:rPr>
          <w:color w:val="000000"/>
          <w:szCs w:val="22"/>
          <w:lang w:val="bg-BG"/>
        </w:rPr>
        <w:t>интравенозно</w:t>
      </w:r>
      <w:r w:rsidRPr="00FE6AC6">
        <w:rPr>
          <w:color w:val="000000"/>
          <w:szCs w:val="22"/>
        </w:rPr>
        <w:t xml:space="preserve">, SC = </w:t>
      </w:r>
      <w:r w:rsidR="005D63B0" w:rsidRPr="00FE6AC6">
        <w:rPr>
          <w:color w:val="000000"/>
          <w:szCs w:val="22"/>
          <w:lang w:val="bg-BG"/>
        </w:rPr>
        <w:t>подкожно</w:t>
      </w:r>
      <w:r w:rsidRPr="00FE6AC6">
        <w:rPr>
          <w:color w:val="000000"/>
          <w:szCs w:val="22"/>
        </w:rPr>
        <w:t xml:space="preserve">, IT = </w:t>
      </w:r>
      <w:r w:rsidR="005D63B0" w:rsidRPr="00FE6AC6">
        <w:rPr>
          <w:color w:val="000000"/>
          <w:szCs w:val="22"/>
          <w:lang w:val="bg-BG"/>
        </w:rPr>
        <w:t>интратекално</w:t>
      </w:r>
      <w:r w:rsidRPr="00FE6AC6">
        <w:rPr>
          <w:color w:val="000000"/>
          <w:szCs w:val="22"/>
        </w:rPr>
        <w:t xml:space="preserve">, PO = </w:t>
      </w:r>
      <w:r w:rsidR="005D63B0" w:rsidRPr="00FE6AC6">
        <w:rPr>
          <w:color w:val="000000"/>
          <w:szCs w:val="22"/>
          <w:lang w:val="bg-BG"/>
        </w:rPr>
        <w:t>перорално</w:t>
      </w:r>
      <w:r w:rsidRPr="00FE6AC6">
        <w:rPr>
          <w:color w:val="000000"/>
          <w:szCs w:val="22"/>
        </w:rPr>
        <w:t xml:space="preserve">, IM = </w:t>
      </w:r>
      <w:r w:rsidR="005D63B0" w:rsidRPr="00FE6AC6">
        <w:rPr>
          <w:color w:val="000000"/>
          <w:szCs w:val="22"/>
          <w:lang w:val="bg-BG"/>
        </w:rPr>
        <w:t>интрамускулно</w:t>
      </w:r>
      <w:r w:rsidRPr="00FE6AC6">
        <w:rPr>
          <w:color w:val="000000"/>
          <w:szCs w:val="22"/>
        </w:rPr>
        <w:t>, ARA</w:t>
      </w:r>
      <w:r w:rsidR="00114BB4" w:rsidRPr="00FE6AC6">
        <w:rPr>
          <w:color w:val="000000"/>
          <w:szCs w:val="22"/>
        </w:rPr>
        <w:noBreakHyphen/>
      </w:r>
      <w:r w:rsidRPr="00FE6AC6">
        <w:rPr>
          <w:color w:val="000000"/>
          <w:szCs w:val="22"/>
        </w:rPr>
        <w:t xml:space="preserve">C = </w:t>
      </w:r>
      <w:r w:rsidR="005D63B0" w:rsidRPr="00FE6AC6">
        <w:rPr>
          <w:color w:val="000000"/>
          <w:szCs w:val="22"/>
          <w:lang w:val="bg-BG"/>
        </w:rPr>
        <w:t>цитарабин</w:t>
      </w:r>
      <w:r w:rsidRPr="00FE6AC6">
        <w:rPr>
          <w:color w:val="000000"/>
          <w:szCs w:val="22"/>
        </w:rPr>
        <w:t xml:space="preserve">, CPM = </w:t>
      </w:r>
      <w:r w:rsidR="005D63B0" w:rsidRPr="00FE6AC6">
        <w:rPr>
          <w:color w:val="000000"/>
          <w:szCs w:val="22"/>
          <w:lang w:val="bg-BG"/>
        </w:rPr>
        <w:t>циклофосфамид</w:t>
      </w:r>
      <w:r w:rsidRPr="00FE6AC6">
        <w:rPr>
          <w:color w:val="000000"/>
          <w:szCs w:val="22"/>
        </w:rPr>
        <w:t xml:space="preserve">, VCR = </w:t>
      </w:r>
      <w:r w:rsidR="005D63B0" w:rsidRPr="00FE6AC6">
        <w:rPr>
          <w:color w:val="000000"/>
          <w:szCs w:val="22"/>
          <w:lang w:val="bg-BG"/>
        </w:rPr>
        <w:t>винкристин</w:t>
      </w:r>
      <w:r w:rsidRPr="00FE6AC6">
        <w:rPr>
          <w:color w:val="000000"/>
          <w:szCs w:val="22"/>
        </w:rPr>
        <w:t xml:space="preserve">, DEX = </w:t>
      </w:r>
      <w:r w:rsidR="005D63B0" w:rsidRPr="00FE6AC6">
        <w:rPr>
          <w:color w:val="000000"/>
          <w:szCs w:val="22"/>
          <w:lang w:val="bg-BG"/>
        </w:rPr>
        <w:t>дексаметазон</w:t>
      </w:r>
      <w:r w:rsidRPr="00FE6AC6">
        <w:rPr>
          <w:color w:val="000000"/>
          <w:szCs w:val="22"/>
        </w:rPr>
        <w:t xml:space="preserve">, DAUN = </w:t>
      </w:r>
      <w:r w:rsidR="005D63B0" w:rsidRPr="00FE6AC6">
        <w:rPr>
          <w:color w:val="000000"/>
          <w:szCs w:val="22"/>
          <w:lang w:val="bg-BG"/>
        </w:rPr>
        <w:t>даунорубицин</w:t>
      </w:r>
      <w:r w:rsidRPr="00FE6AC6">
        <w:rPr>
          <w:color w:val="000000"/>
          <w:szCs w:val="22"/>
        </w:rPr>
        <w:t>, 6-MP = 6-</w:t>
      </w:r>
      <w:r w:rsidR="005D63B0" w:rsidRPr="00FE6AC6">
        <w:rPr>
          <w:color w:val="000000"/>
          <w:szCs w:val="22"/>
          <w:lang w:val="bg-BG"/>
        </w:rPr>
        <w:t>меркаптопурин</w:t>
      </w:r>
      <w:r w:rsidRPr="00FE6AC6">
        <w:rPr>
          <w:color w:val="000000"/>
          <w:szCs w:val="22"/>
        </w:rPr>
        <w:t>, E.Coli L-ASP = L-</w:t>
      </w:r>
      <w:r w:rsidR="00B51FEB" w:rsidRPr="00FE6AC6">
        <w:rPr>
          <w:color w:val="000000"/>
          <w:szCs w:val="22"/>
          <w:lang w:val="bg-BG"/>
        </w:rPr>
        <w:t>аспаргиназа</w:t>
      </w:r>
      <w:r w:rsidRPr="00FE6AC6">
        <w:rPr>
          <w:color w:val="000000"/>
          <w:szCs w:val="22"/>
        </w:rPr>
        <w:t xml:space="preserve">, PEG-ASP = PEG </w:t>
      </w:r>
      <w:r w:rsidR="00B51FEB" w:rsidRPr="00FE6AC6">
        <w:rPr>
          <w:color w:val="000000"/>
          <w:szCs w:val="22"/>
          <w:lang w:val="bg-BG"/>
        </w:rPr>
        <w:t>аспаргиназа</w:t>
      </w:r>
      <w:r w:rsidRPr="00FE6AC6">
        <w:rPr>
          <w:color w:val="000000"/>
          <w:szCs w:val="22"/>
        </w:rPr>
        <w:t>, MESNA= 2-</w:t>
      </w:r>
      <w:r w:rsidR="00B51FEB" w:rsidRPr="00FE6AC6">
        <w:rPr>
          <w:color w:val="000000"/>
          <w:szCs w:val="22"/>
          <w:lang w:val="bg-BG"/>
        </w:rPr>
        <w:t>меркаптоетан</w:t>
      </w:r>
      <w:r w:rsidRPr="00FE6AC6">
        <w:rPr>
          <w:color w:val="000000"/>
          <w:szCs w:val="22"/>
        </w:rPr>
        <w:t xml:space="preserve"> </w:t>
      </w:r>
      <w:r w:rsidR="00B51FEB" w:rsidRPr="00FE6AC6">
        <w:rPr>
          <w:color w:val="000000"/>
          <w:szCs w:val="22"/>
          <w:lang w:val="bg-BG"/>
        </w:rPr>
        <w:t>сулфонат натрий</w:t>
      </w:r>
      <w:r w:rsidRPr="00FE6AC6">
        <w:rPr>
          <w:color w:val="000000"/>
          <w:szCs w:val="22"/>
        </w:rPr>
        <w:t xml:space="preserve">, iii= </w:t>
      </w:r>
      <w:r w:rsidR="00B51FEB" w:rsidRPr="00FE6AC6">
        <w:rPr>
          <w:color w:val="000000"/>
          <w:szCs w:val="22"/>
          <w:lang w:val="bg-BG"/>
        </w:rPr>
        <w:t xml:space="preserve">или докато нивото на </w:t>
      </w:r>
      <w:r w:rsidRPr="00FE6AC6">
        <w:rPr>
          <w:color w:val="000000"/>
          <w:szCs w:val="22"/>
        </w:rPr>
        <w:t xml:space="preserve">MTX </w:t>
      </w:r>
      <w:r w:rsidR="00B51FEB" w:rsidRPr="00FE6AC6">
        <w:rPr>
          <w:color w:val="000000"/>
          <w:szCs w:val="22"/>
          <w:lang w:val="bg-BG"/>
        </w:rPr>
        <w:t>е</w:t>
      </w:r>
      <w:r w:rsidRPr="00FE6AC6">
        <w:rPr>
          <w:color w:val="000000"/>
          <w:szCs w:val="22"/>
        </w:rPr>
        <w:t xml:space="preserve"> &lt;0</w:t>
      </w:r>
      <w:r w:rsidR="00B51FEB" w:rsidRPr="00FE6AC6">
        <w:rPr>
          <w:color w:val="000000"/>
          <w:szCs w:val="22"/>
          <w:lang w:val="bg-BG"/>
        </w:rPr>
        <w:t>,</w:t>
      </w:r>
      <w:r w:rsidRPr="00FE6AC6">
        <w:rPr>
          <w:color w:val="000000"/>
          <w:szCs w:val="22"/>
        </w:rPr>
        <w:t xml:space="preserve">1 µM, </w:t>
      </w:r>
      <w:r w:rsidR="00B51FEB" w:rsidRPr="00FE6AC6">
        <w:rPr>
          <w:color w:val="000000"/>
          <w:szCs w:val="22"/>
          <w:lang w:val="bg-BG"/>
        </w:rPr>
        <w:t xml:space="preserve">на </w:t>
      </w:r>
      <w:r w:rsidRPr="00FE6AC6">
        <w:rPr>
          <w:color w:val="000000"/>
          <w:szCs w:val="22"/>
        </w:rPr>
        <w:t>6</w:t>
      </w:r>
      <w:r w:rsidR="00B51FEB" w:rsidRPr="00FE6AC6">
        <w:rPr>
          <w:color w:val="000000"/>
          <w:szCs w:val="22"/>
          <w:lang w:val="bg-BG"/>
        </w:rPr>
        <w:t> ч</w:t>
      </w:r>
      <w:r w:rsidRPr="00FE6AC6">
        <w:rPr>
          <w:color w:val="000000"/>
          <w:szCs w:val="22"/>
        </w:rPr>
        <w:t xml:space="preserve"> = </w:t>
      </w:r>
      <w:r w:rsidR="00B51FEB" w:rsidRPr="00FE6AC6">
        <w:rPr>
          <w:color w:val="000000"/>
          <w:szCs w:val="22"/>
          <w:lang w:val="bg-BG"/>
        </w:rPr>
        <w:t>на всеки</w:t>
      </w:r>
      <w:r w:rsidRPr="00FE6AC6">
        <w:rPr>
          <w:color w:val="000000"/>
          <w:szCs w:val="22"/>
        </w:rPr>
        <w:t xml:space="preserve"> 6 </w:t>
      </w:r>
      <w:r w:rsidR="00B51FEB" w:rsidRPr="00FE6AC6">
        <w:rPr>
          <w:color w:val="000000"/>
          <w:szCs w:val="22"/>
          <w:lang w:val="bg-BG"/>
        </w:rPr>
        <w:t>часа</w:t>
      </w:r>
      <w:r w:rsidRPr="00FE6AC6">
        <w:rPr>
          <w:color w:val="000000"/>
          <w:szCs w:val="22"/>
        </w:rPr>
        <w:t xml:space="preserve">, Gy= </w:t>
      </w:r>
      <w:r w:rsidR="00B51FEB" w:rsidRPr="00FE6AC6">
        <w:rPr>
          <w:color w:val="000000"/>
          <w:szCs w:val="22"/>
          <w:lang w:val="bg-BG"/>
        </w:rPr>
        <w:t>Грей</w:t>
      </w:r>
    </w:p>
    <w:p w14:paraId="3E54FF11" w14:textId="77777777" w:rsidR="00512CD0" w:rsidRPr="00FE6AC6" w:rsidRDefault="00512CD0" w:rsidP="0063575E">
      <w:pPr>
        <w:pStyle w:val="EndnoteText"/>
        <w:widowControl w:val="0"/>
        <w:jc w:val="both"/>
        <w:rPr>
          <w:color w:val="000000"/>
          <w:sz w:val="20"/>
        </w:rPr>
      </w:pPr>
    </w:p>
    <w:p w14:paraId="3E54FF12" w14:textId="77777777" w:rsidR="00512CD0" w:rsidRPr="00FE6AC6" w:rsidRDefault="00CA6765" w:rsidP="0063575E">
      <w:pPr>
        <w:pStyle w:val="EndnoteText"/>
        <w:widowControl w:val="0"/>
        <w:rPr>
          <w:color w:val="000000"/>
          <w:lang w:val="bg-BG"/>
        </w:rPr>
      </w:pPr>
      <w:r w:rsidRPr="00FE6AC6">
        <w:rPr>
          <w:color w:val="000000"/>
          <w:szCs w:val="22"/>
          <w:lang w:val="bg-BG"/>
        </w:rPr>
        <w:t>Проучване</w:t>
      </w:r>
      <w:r w:rsidR="00512CD0" w:rsidRPr="00FE6AC6">
        <w:rPr>
          <w:color w:val="000000"/>
          <w:szCs w:val="22"/>
        </w:rPr>
        <w:t xml:space="preserve"> AIT07 </w:t>
      </w:r>
      <w:r w:rsidRPr="00FE6AC6">
        <w:rPr>
          <w:color w:val="000000"/>
          <w:szCs w:val="22"/>
          <w:lang w:val="bg-BG"/>
        </w:rPr>
        <w:t>е многоцентрово, отворено, рандомизирано, фаза</w:t>
      </w:r>
      <w:r w:rsidR="00512CD0" w:rsidRPr="00FE6AC6">
        <w:rPr>
          <w:color w:val="000000"/>
          <w:szCs w:val="22"/>
        </w:rPr>
        <w:t xml:space="preserve"> II/III </w:t>
      </w:r>
      <w:r w:rsidRPr="00FE6AC6">
        <w:rPr>
          <w:color w:val="000000"/>
          <w:szCs w:val="22"/>
          <w:lang w:val="bg-BG"/>
        </w:rPr>
        <w:t>проучване, което включва</w:t>
      </w:r>
      <w:r w:rsidR="00512CD0" w:rsidRPr="00FE6AC6">
        <w:rPr>
          <w:color w:val="000000"/>
          <w:szCs w:val="22"/>
        </w:rPr>
        <w:t xml:space="preserve"> 128 </w:t>
      </w:r>
      <w:r w:rsidRPr="00FE6AC6">
        <w:rPr>
          <w:color w:val="000000"/>
          <w:szCs w:val="22"/>
          <w:lang w:val="bg-BG"/>
        </w:rPr>
        <w:t>пациенти</w:t>
      </w:r>
      <w:r w:rsidR="00512CD0" w:rsidRPr="00FE6AC6">
        <w:rPr>
          <w:color w:val="000000"/>
          <w:szCs w:val="22"/>
        </w:rPr>
        <w:t xml:space="preserve"> (1 </w:t>
      </w:r>
      <w:r w:rsidRPr="00FE6AC6">
        <w:rPr>
          <w:color w:val="000000"/>
          <w:szCs w:val="22"/>
          <w:lang w:val="bg-BG"/>
        </w:rPr>
        <w:t>до</w:t>
      </w:r>
      <w:r w:rsidR="00512CD0" w:rsidRPr="00FE6AC6">
        <w:rPr>
          <w:color w:val="000000"/>
          <w:szCs w:val="22"/>
        </w:rPr>
        <w:t xml:space="preserve"> &lt;18 </w:t>
      </w:r>
      <w:r w:rsidRPr="00FE6AC6">
        <w:rPr>
          <w:color w:val="000000"/>
          <w:szCs w:val="22"/>
          <w:lang w:val="bg-BG"/>
        </w:rPr>
        <w:t>години</w:t>
      </w:r>
      <w:r w:rsidR="00512CD0" w:rsidRPr="00FE6AC6">
        <w:rPr>
          <w:color w:val="000000"/>
          <w:szCs w:val="22"/>
        </w:rPr>
        <w:t>)</w:t>
      </w:r>
      <w:r w:rsidRPr="00FE6AC6">
        <w:rPr>
          <w:color w:val="000000"/>
          <w:szCs w:val="22"/>
          <w:lang w:val="bg-BG"/>
        </w:rPr>
        <w:t>, лекувани с иматиниб в комбинация с химиотерапия. Получените от проучването данни</w:t>
      </w:r>
      <w:r w:rsidR="00354113" w:rsidRPr="00FE6AC6">
        <w:rPr>
          <w:color w:val="000000"/>
          <w:szCs w:val="22"/>
          <w:lang w:val="bg-BG"/>
        </w:rPr>
        <w:t xml:space="preserve"> за</w:t>
      </w:r>
      <w:r w:rsidRPr="00FE6AC6">
        <w:rPr>
          <w:color w:val="000000"/>
          <w:szCs w:val="22"/>
          <w:lang w:val="bg-BG"/>
        </w:rPr>
        <w:t xml:space="preserve"> безопасността, </w:t>
      </w:r>
      <w:r w:rsidR="00EE129E" w:rsidRPr="00FE6AC6">
        <w:rPr>
          <w:color w:val="000000"/>
          <w:szCs w:val="22"/>
          <w:lang w:val="bg-BG"/>
        </w:rPr>
        <w:t>съответстват на профила на безопасност</w:t>
      </w:r>
      <w:r w:rsidR="00354113" w:rsidRPr="00FE6AC6">
        <w:rPr>
          <w:color w:val="000000"/>
          <w:szCs w:val="22"/>
          <w:lang w:val="bg-BG"/>
        </w:rPr>
        <w:t xml:space="preserve"> на иматиниб</w:t>
      </w:r>
      <w:r w:rsidRPr="00FE6AC6">
        <w:rPr>
          <w:color w:val="000000"/>
          <w:szCs w:val="22"/>
          <w:lang w:val="bg-BG"/>
        </w:rPr>
        <w:t xml:space="preserve"> при пациенти с </w:t>
      </w:r>
      <w:r w:rsidR="00512CD0" w:rsidRPr="00FE6AC6">
        <w:rPr>
          <w:color w:val="000000"/>
          <w:szCs w:val="22"/>
        </w:rPr>
        <w:t>Ph</w:t>
      </w:r>
      <w:r w:rsidR="00512CD0" w:rsidRPr="00FE6AC6">
        <w:rPr>
          <w:color w:val="000000"/>
          <w:szCs w:val="22"/>
          <w:lang w:val="bg-BG"/>
        </w:rPr>
        <w:t xml:space="preserve">+ </w:t>
      </w:r>
      <w:r w:rsidRPr="00FE6AC6">
        <w:rPr>
          <w:color w:val="000000"/>
          <w:szCs w:val="22"/>
          <w:lang w:val="bg-BG"/>
        </w:rPr>
        <w:t>ОЛЛ</w:t>
      </w:r>
      <w:r w:rsidR="00512CD0" w:rsidRPr="00FE6AC6">
        <w:rPr>
          <w:color w:val="000000"/>
          <w:szCs w:val="22"/>
          <w:lang w:val="bg-BG"/>
        </w:rPr>
        <w:t>.</w:t>
      </w:r>
    </w:p>
    <w:p w14:paraId="3E54FF13" w14:textId="77777777" w:rsidR="001636FA" w:rsidRPr="00FE6AC6" w:rsidRDefault="001636FA" w:rsidP="0063575E">
      <w:pPr>
        <w:pStyle w:val="EndnoteText"/>
        <w:widowControl w:val="0"/>
        <w:rPr>
          <w:color w:val="000000"/>
          <w:lang w:val="ru-RU"/>
        </w:rPr>
      </w:pPr>
    </w:p>
    <w:p w14:paraId="3E54FF14" w14:textId="77777777" w:rsidR="001636FA" w:rsidRPr="00FE6AC6" w:rsidRDefault="001636FA" w:rsidP="0063575E">
      <w:pPr>
        <w:widowControl w:val="0"/>
        <w:spacing w:line="240" w:lineRule="auto"/>
        <w:rPr>
          <w:color w:val="000000"/>
          <w:lang w:val="ru-RU"/>
        </w:rPr>
      </w:pPr>
      <w:r w:rsidRPr="00FE6AC6">
        <w:rPr>
          <w:i/>
          <w:color w:val="000000"/>
          <w:lang w:val="bg-BG"/>
        </w:rPr>
        <w:t>Рецидив</w:t>
      </w:r>
      <w:r w:rsidRPr="00FE6AC6">
        <w:rPr>
          <w:i/>
          <w:color w:val="000000"/>
          <w:lang w:val="ru-RU"/>
        </w:rPr>
        <w:t>/</w:t>
      </w:r>
      <w:r w:rsidRPr="00FE6AC6">
        <w:rPr>
          <w:i/>
          <w:color w:val="000000"/>
          <w:lang w:val="bg-BG"/>
        </w:rPr>
        <w:t xml:space="preserve">рефрактерна </w:t>
      </w:r>
      <w:r w:rsidRPr="00FE6AC6">
        <w:rPr>
          <w:i/>
          <w:color w:val="000000"/>
        </w:rPr>
        <w:t>Ph</w:t>
      </w:r>
      <w:r w:rsidRPr="00FE6AC6">
        <w:rPr>
          <w:i/>
          <w:color w:val="000000"/>
          <w:lang w:val="ru-RU"/>
        </w:rPr>
        <w:t xml:space="preserve">+ </w:t>
      </w:r>
      <w:r w:rsidRPr="00FE6AC6">
        <w:rPr>
          <w:i/>
          <w:color w:val="000000"/>
          <w:lang w:val="bg-BG"/>
        </w:rPr>
        <w:t xml:space="preserve">ОЛЛ: </w:t>
      </w:r>
      <w:r w:rsidRPr="00FE6AC6">
        <w:rPr>
          <w:color w:val="000000"/>
          <w:lang w:val="bg-BG"/>
        </w:rPr>
        <w:t xml:space="preserve">Употребата на иматиниб като самостоятелно средство при пациенти с рецидив/рефрактерна </w:t>
      </w:r>
      <w:r w:rsidRPr="00FE6AC6">
        <w:rPr>
          <w:color w:val="000000"/>
        </w:rPr>
        <w:t>Ph</w:t>
      </w:r>
      <w:r w:rsidRPr="00FE6AC6">
        <w:rPr>
          <w:color w:val="000000"/>
          <w:lang w:val="ru-RU"/>
        </w:rPr>
        <w:t xml:space="preserve">+ </w:t>
      </w:r>
      <w:r w:rsidRPr="00FE6AC6">
        <w:rPr>
          <w:color w:val="000000"/>
          <w:lang w:val="bg-BG"/>
        </w:rPr>
        <w:t xml:space="preserve">ОЛЛ води, при 53 от 411 оценявани за отговор пациенти, до честота на хематологичен отговор от 30% (9% пълен) и честота на голям цитогенетичен отговор от 23%. (Трябва да се отбележи, че от 411 пациенти, 353 са лекувани в програма за разширен достъп без събрани данни за първичен отговор). </w:t>
      </w:r>
      <w:r w:rsidR="003A22DD" w:rsidRPr="00FE6AC6">
        <w:rPr>
          <w:color w:val="000000"/>
          <w:lang w:val="bg-BG"/>
        </w:rPr>
        <w:t>Медианата на</w:t>
      </w:r>
      <w:r w:rsidRPr="00FE6AC6">
        <w:rPr>
          <w:color w:val="000000"/>
          <w:lang w:val="bg-BG"/>
        </w:rPr>
        <w:t xml:space="preserve"> време</w:t>
      </w:r>
      <w:r w:rsidR="003A22DD" w:rsidRPr="00FE6AC6">
        <w:rPr>
          <w:color w:val="000000"/>
          <w:lang w:val="bg-BG"/>
        </w:rPr>
        <w:t>то</w:t>
      </w:r>
      <w:r w:rsidRPr="00FE6AC6">
        <w:rPr>
          <w:color w:val="000000"/>
          <w:lang w:val="bg-BG"/>
        </w:rPr>
        <w:t xml:space="preserve"> до прогресия в общата група от 411 пациенти с рецидив/рефрактерна </w:t>
      </w:r>
      <w:r w:rsidRPr="00FE6AC6">
        <w:rPr>
          <w:color w:val="000000"/>
          <w:lang w:val="en-US"/>
        </w:rPr>
        <w:t>Ph</w:t>
      </w:r>
      <w:r w:rsidRPr="00FE6AC6">
        <w:rPr>
          <w:color w:val="000000"/>
          <w:lang w:val="ru-RU"/>
        </w:rPr>
        <w:t>+ОЛЛ варира от 2,6 до 3,1 месеца</w:t>
      </w:r>
      <w:r w:rsidR="003A22DD" w:rsidRPr="00FE6AC6">
        <w:rPr>
          <w:color w:val="000000"/>
          <w:lang w:val="ru-RU"/>
        </w:rPr>
        <w:t>, а медината на</w:t>
      </w:r>
      <w:r w:rsidRPr="00FE6AC6">
        <w:rPr>
          <w:color w:val="000000"/>
          <w:lang w:val="ru-RU"/>
        </w:rPr>
        <w:t xml:space="preserve"> обща</w:t>
      </w:r>
      <w:r w:rsidR="003A22DD" w:rsidRPr="00FE6AC6">
        <w:rPr>
          <w:color w:val="000000"/>
          <w:lang w:val="ru-RU"/>
        </w:rPr>
        <w:t>та</w:t>
      </w:r>
      <w:r w:rsidRPr="00FE6AC6">
        <w:rPr>
          <w:color w:val="000000"/>
          <w:lang w:val="ru-RU"/>
        </w:rPr>
        <w:t xml:space="preserve"> преживяемост при 401 оценявани пациента варира от 4,9 до 9 месеца. Данните са подобни при провеждане на повторен анализ за включване само на пациентите на възраст </w:t>
      </w:r>
      <w:r w:rsidR="003A22DD" w:rsidRPr="00FE6AC6">
        <w:rPr>
          <w:color w:val="000000"/>
          <w:lang w:val="ru-RU"/>
        </w:rPr>
        <w:t xml:space="preserve">на и </w:t>
      </w:r>
      <w:r w:rsidRPr="00FE6AC6">
        <w:rPr>
          <w:color w:val="000000"/>
          <w:lang w:val="ru-RU"/>
        </w:rPr>
        <w:t>над 55 години.</w:t>
      </w:r>
    </w:p>
    <w:p w14:paraId="3E54FF15" w14:textId="77777777" w:rsidR="008E65E6" w:rsidRPr="00FE6AC6" w:rsidRDefault="008E65E6" w:rsidP="0063575E">
      <w:pPr>
        <w:pStyle w:val="EndnoteText"/>
        <w:widowControl w:val="0"/>
        <w:rPr>
          <w:color w:val="000000"/>
          <w:u w:val="single"/>
          <w:lang w:val="bg-BG"/>
        </w:rPr>
      </w:pPr>
    </w:p>
    <w:p w14:paraId="3E54FF16" w14:textId="77777777" w:rsidR="008E65E6" w:rsidRPr="00FE6AC6" w:rsidRDefault="00CD1E77" w:rsidP="0063575E">
      <w:pPr>
        <w:pStyle w:val="EndnoteText"/>
        <w:keepNext/>
        <w:widowControl w:val="0"/>
        <w:rPr>
          <w:color w:val="000000"/>
          <w:u w:val="single"/>
          <w:lang w:val="bg-BG"/>
        </w:rPr>
      </w:pPr>
      <w:r w:rsidRPr="00FE6AC6">
        <w:rPr>
          <w:color w:val="000000"/>
          <w:u w:val="single"/>
          <w:lang w:val="bg-BG"/>
        </w:rPr>
        <w:t>Клинични проучвания при</w:t>
      </w:r>
      <w:r w:rsidR="008E65E6" w:rsidRPr="00FE6AC6">
        <w:rPr>
          <w:color w:val="000000"/>
          <w:u w:val="single"/>
          <w:lang w:val="bg-BG"/>
        </w:rPr>
        <w:t xml:space="preserve"> </w:t>
      </w:r>
      <w:r w:rsidR="00CD7E65" w:rsidRPr="00FE6AC6">
        <w:rPr>
          <w:color w:val="000000"/>
          <w:u w:val="single"/>
          <w:lang w:val="bg-BG"/>
        </w:rPr>
        <w:t>МДС/МПЗ</w:t>
      </w:r>
    </w:p>
    <w:p w14:paraId="3E54FF17" w14:textId="77777777" w:rsidR="003C134E" w:rsidRPr="00FE6AC6" w:rsidRDefault="00CD1E77" w:rsidP="0063575E">
      <w:pPr>
        <w:pStyle w:val="EndnoteText"/>
        <w:widowControl w:val="0"/>
        <w:tabs>
          <w:tab w:val="clear" w:pos="567"/>
        </w:tabs>
        <w:rPr>
          <w:color w:val="000000"/>
          <w:szCs w:val="22"/>
          <w:lang w:val="bg-BG" w:eastAsia="ja-JP"/>
        </w:rPr>
      </w:pPr>
      <w:r w:rsidRPr="00FE6AC6">
        <w:rPr>
          <w:color w:val="000000"/>
          <w:szCs w:val="22"/>
          <w:lang w:val="bg-BG"/>
        </w:rPr>
        <w:t xml:space="preserve">Опитът с </w:t>
      </w:r>
      <w:r w:rsidR="008E65E6" w:rsidRPr="00FE6AC6">
        <w:rPr>
          <w:color w:val="000000"/>
          <w:szCs w:val="22"/>
        </w:rPr>
        <w:t>Glivec</w:t>
      </w:r>
      <w:r w:rsidR="008E65E6" w:rsidRPr="00FE6AC6">
        <w:rPr>
          <w:color w:val="000000"/>
          <w:szCs w:val="22"/>
          <w:lang w:val="bg-BG"/>
        </w:rPr>
        <w:t xml:space="preserve"> </w:t>
      </w:r>
      <w:r w:rsidRPr="00FE6AC6">
        <w:rPr>
          <w:color w:val="000000"/>
          <w:szCs w:val="22"/>
          <w:lang w:val="bg-BG"/>
        </w:rPr>
        <w:t>при това показание е много ограничен</w:t>
      </w:r>
      <w:r w:rsidR="008E65E6" w:rsidRPr="00FE6AC6">
        <w:rPr>
          <w:color w:val="000000"/>
          <w:szCs w:val="22"/>
          <w:lang w:val="bg-BG"/>
        </w:rPr>
        <w:t xml:space="preserve"> </w:t>
      </w:r>
      <w:r w:rsidR="006D5353" w:rsidRPr="00FE6AC6">
        <w:rPr>
          <w:color w:val="000000"/>
          <w:szCs w:val="22"/>
          <w:lang w:val="bg-BG"/>
        </w:rPr>
        <w:t>и</w:t>
      </w:r>
      <w:r w:rsidR="008E65E6" w:rsidRPr="00FE6AC6">
        <w:rPr>
          <w:color w:val="000000"/>
          <w:szCs w:val="22"/>
          <w:lang w:val="bg-BG"/>
        </w:rPr>
        <w:t xml:space="preserve"> </w:t>
      </w:r>
      <w:r w:rsidRPr="00FE6AC6">
        <w:rPr>
          <w:color w:val="000000"/>
          <w:szCs w:val="22"/>
          <w:lang w:val="bg-BG"/>
        </w:rPr>
        <w:t xml:space="preserve">се базира на степента на </w:t>
      </w:r>
      <w:r w:rsidR="00396B2D" w:rsidRPr="00FE6AC6">
        <w:rPr>
          <w:color w:val="000000"/>
          <w:szCs w:val="22"/>
          <w:lang w:val="bg-BG"/>
        </w:rPr>
        <w:t xml:space="preserve">повлияване на </w:t>
      </w:r>
      <w:r w:rsidR="006C69C6" w:rsidRPr="00FE6AC6">
        <w:rPr>
          <w:color w:val="000000"/>
          <w:szCs w:val="22"/>
          <w:lang w:val="bg-BG"/>
        </w:rPr>
        <w:t>хематологичния</w:t>
      </w:r>
      <w:r w:rsidRPr="00FE6AC6">
        <w:rPr>
          <w:color w:val="000000"/>
          <w:szCs w:val="22"/>
          <w:lang w:val="bg-BG"/>
        </w:rPr>
        <w:t xml:space="preserve"> </w:t>
      </w:r>
      <w:r w:rsidR="006D5353" w:rsidRPr="00FE6AC6">
        <w:rPr>
          <w:color w:val="000000"/>
          <w:szCs w:val="22"/>
          <w:lang w:val="bg-BG"/>
        </w:rPr>
        <w:t>и</w:t>
      </w:r>
      <w:r w:rsidR="008E65E6" w:rsidRPr="00FE6AC6">
        <w:rPr>
          <w:color w:val="000000"/>
          <w:szCs w:val="22"/>
          <w:lang w:val="bg-BG"/>
        </w:rPr>
        <w:t xml:space="preserve"> </w:t>
      </w:r>
      <w:r w:rsidRPr="00FE6AC6">
        <w:rPr>
          <w:color w:val="000000"/>
          <w:szCs w:val="22"/>
          <w:lang w:val="bg-BG"/>
        </w:rPr>
        <w:t>цитоген</w:t>
      </w:r>
      <w:r w:rsidR="001F5FA0" w:rsidRPr="00FE6AC6">
        <w:rPr>
          <w:color w:val="000000"/>
          <w:szCs w:val="22"/>
          <w:lang w:val="bg-BG"/>
        </w:rPr>
        <w:t>е</w:t>
      </w:r>
      <w:r w:rsidRPr="00FE6AC6">
        <w:rPr>
          <w:color w:val="000000"/>
          <w:szCs w:val="22"/>
          <w:lang w:val="bg-BG"/>
        </w:rPr>
        <w:t>тичен отговор</w:t>
      </w:r>
      <w:r w:rsidR="008E65E6" w:rsidRPr="00FE6AC6">
        <w:rPr>
          <w:color w:val="000000"/>
          <w:szCs w:val="22"/>
          <w:lang w:val="bg-BG"/>
        </w:rPr>
        <w:t xml:space="preserve">. </w:t>
      </w:r>
      <w:r w:rsidRPr="00FE6AC6">
        <w:rPr>
          <w:color w:val="000000"/>
          <w:szCs w:val="22"/>
          <w:lang w:val="bg-BG"/>
        </w:rPr>
        <w:t>Няма контролирани проучвания, демонстриращи клинична полза</w:t>
      </w:r>
      <w:r w:rsidR="008E65E6" w:rsidRPr="00FE6AC6">
        <w:rPr>
          <w:color w:val="000000"/>
          <w:szCs w:val="22"/>
          <w:lang w:val="bg-BG"/>
        </w:rPr>
        <w:t xml:space="preserve"> </w:t>
      </w:r>
      <w:r w:rsidRPr="00FE6AC6">
        <w:rPr>
          <w:color w:val="000000"/>
          <w:szCs w:val="22"/>
          <w:lang w:val="bg-BG"/>
        </w:rPr>
        <w:t>или повишена преживяемост</w:t>
      </w:r>
      <w:r w:rsidR="008E65E6" w:rsidRPr="00FE6AC6">
        <w:rPr>
          <w:color w:val="000000"/>
          <w:szCs w:val="22"/>
          <w:lang w:val="bg-BG"/>
        </w:rPr>
        <w:t xml:space="preserve">. </w:t>
      </w:r>
      <w:r w:rsidRPr="00FE6AC6">
        <w:rPr>
          <w:color w:val="000000"/>
          <w:szCs w:val="22"/>
          <w:lang w:val="bg-BG"/>
        </w:rPr>
        <w:t>Едно отворено, мултицентрово, фаза</w:t>
      </w:r>
      <w:r w:rsidR="008E65E6" w:rsidRPr="00FE6AC6">
        <w:rPr>
          <w:color w:val="000000"/>
          <w:szCs w:val="22"/>
          <w:lang w:val="bg-BG"/>
        </w:rPr>
        <w:t xml:space="preserve"> </w:t>
      </w:r>
      <w:r w:rsidR="008E65E6" w:rsidRPr="00FE6AC6">
        <w:rPr>
          <w:color w:val="000000"/>
          <w:szCs w:val="22"/>
        </w:rPr>
        <w:t>II</w:t>
      </w:r>
      <w:r w:rsidR="008E65E6" w:rsidRPr="00FE6AC6">
        <w:rPr>
          <w:color w:val="000000"/>
          <w:szCs w:val="22"/>
          <w:lang w:val="bg-BG"/>
        </w:rPr>
        <w:t xml:space="preserve"> </w:t>
      </w:r>
      <w:r w:rsidRPr="00FE6AC6">
        <w:rPr>
          <w:color w:val="000000"/>
          <w:szCs w:val="22"/>
          <w:lang w:val="bg-BG"/>
        </w:rPr>
        <w:t>клинично проучване</w:t>
      </w:r>
      <w:r w:rsidR="008E65E6" w:rsidRPr="00FE6AC6">
        <w:rPr>
          <w:color w:val="000000"/>
          <w:szCs w:val="22"/>
          <w:lang w:val="bg-BG"/>
        </w:rPr>
        <w:t xml:space="preserve"> (</w:t>
      </w:r>
      <w:r w:rsidRPr="00FE6AC6">
        <w:rPr>
          <w:color w:val="000000"/>
          <w:szCs w:val="22"/>
          <w:lang w:val="bg-BG"/>
        </w:rPr>
        <w:t>проучване</w:t>
      </w:r>
      <w:r w:rsidR="008E65E6" w:rsidRPr="00FE6AC6">
        <w:rPr>
          <w:color w:val="000000"/>
          <w:szCs w:val="22"/>
          <w:lang w:val="bg-BG"/>
        </w:rPr>
        <w:t xml:space="preserve"> </w:t>
      </w:r>
      <w:r w:rsidR="008E65E6" w:rsidRPr="00FE6AC6">
        <w:rPr>
          <w:color w:val="000000"/>
          <w:szCs w:val="22"/>
        </w:rPr>
        <w:t>B</w:t>
      </w:r>
      <w:r w:rsidR="008E65E6" w:rsidRPr="00FE6AC6">
        <w:rPr>
          <w:color w:val="000000"/>
          <w:szCs w:val="22"/>
          <w:lang w:val="bg-BG"/>
        </w:rPr>
        <w:t xml:space="preserve">2225) </w:t>
      </w:r>
      <w:r w:rsidR="00BB7337" w:rsidRPr="00FE6AC6">
        <w:rPr>
          <w:color w:val="000000"/>
          <w:szCs w:val="22"/>
          <w:lang w:val="bg-BG"/>
        </w:rPr>
        <w:t xml:space="preserve">е било проведено за изпитване на </w:t>
      </w:r>
      <w:r w:rsidR="008E65E6" w:rsidRPr="00FE6AC6">
        <w:rPr>
          <w:color w:val="000000"/>
          <w:szCs w:val="22"/>
          <w:lang w:eastAsia="ja-JP"/>
        </w:rPr>
        <w:t>Glivec</w:t>
      </w:r>
      <w:r w:rsidR="008E65E6" w:rsidRPr="00FE6AC6">
        <w:rPr>
          <w:color w:val="000000"/>
          <w:szCs w:val="22"/>
          <w:lang w:val="bg-BG" w:eastAsia="ja-JP"/>
        </w:rPr>
        <w:t xml:space="preserve"> </w:t>
      </w:r>
      <w:r w:rsidR="00BB7337" w:rsidRPr="00FE6AC6">
        <w:rPr>
          <w:color w:val="000000"/>
          <w:szCs w:val="22"/>
          <w:lang w:val="bg-BG" w:eastAsia="ja-JP"/>
        </w:rPr>
        <w:t>при различни популации пациенти</w:t>
      </w:r>
      <w:r w:rsidR="006A28DB" w:rsidRPr="00FE6AC6">
        <w:rPr>
          <w:color w:val="000000"/>
          <w:szCs w:val="22"/>
          <w:lang w:val="bg-BG" w:eastAsia="ja-JP"/>
        </w:rPr>
        <w:t>,</w:t>
      </w:r>
      <w:r w:rsidR="00BB7337" w:rsidRPr="00FE6AC6">
        <w:rPr>
          <w:color w:val="000000"/>
          <w:szCs w:val="22"/>
          <w:lang w:val="bg-BG" w:eastAsia="ja-JP"/>
        </w:rPr>
        <w:t xml:space="preserve"> страдащи от живото-застрашаващи заболявания, свързани с</w:t>
      </w:r>
      <w:r w:rsidR="008E65E6" w:rsidRPr="00FE6AC6">
        <w:rPr>
          <w:color w:val="000000"/>
          <w:szCs w:val="22"/>
          <w:lang w:val="bg-BG" w:eastAsia="ja-JP"/>
        </w:rPr>
        <w:t xml:space="preserve"> </w:t>
      </w:r>
      <w:r w:rsidR="008E65E6" w:rsidRPr="00FE6AC6">
        <w:rPr>
          <w:color w:val="000000"/>
          <w:szCs w:val="22"/>
          <w:lang w:eastAsia="ja-JP"/>
        </w:rPr>
        <w:t>Abl</w:t>
      </w:r>
      <w:r w:rsidR="008E65E6" w:rsidRPr="00FE6AC6">
        <w:rPr>
          <w:color w:val="000000"/>
          <w:szCs w:val="22"/>
          <w:lang w:val="bg-BG" w:eastAsia="ja-JP"/>
        </w:rPr>
        <w:t xml:space="preserve">, </w:t>
      </w:r>
      <w:r w:rsidR="008E65E6" w:rsidRPr="00FE6AC6">
        <w:rPr>
          <w:color w:val="000000"/>
          <w:szCs w:val="22"/>
          <w:lang w:eastAsia="ja-JP"/>
        </w:rPr>
        <w:t>Kit</w:t>
      </w:r>
      <w:r w:rsidR="008E65E6" w:rsidRPr="00FE6AC6">
        <w:rPr>
          <w:color w:val="000000"/>
          <w:szCs w:val="22"/>
          <w:lang w:val="bg-BG" w:eastAsia="ja-JP"/>
        </w:rPr>
        <w:t xml:space="preserve"> </w:t>
      </w:r>
      <w:r w:rsidR="00BB7337" w:rsidRPr="00FE6AC6">
        <w:rPr>
          <w:color w:val="000000"/>
          <w:szCs w:val="22"/>
          <w:lang w:val="bg-BG" w:eastAsia="ja-JP"/>
        </w:rPr>
        <w:t>или</w:t>
      </w:r>
      <w:r w:rsidR="008E65E6" w:rsidRPr="00FE6AC6">
        <w:rPr>
          <w:color w:val="000000"/>
          <w:szCs w:val="22"/>
          <w:lang w:val="bg-BG" w:eastAsia="ja-JP"/>
        </w:rPr>
        <w:t xml:space="preserve"> </w:t>
      </w:r>
      <w:r w:rsidR="008E65E6" w:rsidRPr="00FE6AC6">
        <w:rPr>
          <w:color w:val="000000"/>
          <w:szCs w:val="22"/>
          <w:lang w:eastAsia="ja-JP"/>
        </w:rPr>
        <w:t>PDGFR</w:t>
      </w:r>
      <w:r w:rsidR="008E65E6" w:rsidRPr="00FE6AC6">
        <w:rPr>
          <w:color w:val="000000"/>
          <w:szCs w:val="22"/>
          <w:lang w:val="bg-BG" w:eastAsia="ja-JP"/>
        </w:rPr>
        <w:t xml:space="preserve"> </w:t>
      </w:r>
      <w:r w:rsidR="00BB7337" w:rsidRPr="00FE6AC6">
        <w:rPr>
          <w:color w:val="000000"/>
          <w:szCs w:val="22"/>
          <w:lang w:val="bg-BG" w:eastAsia="ja-JP"/>
        </w:rPr>
        <w:t>протеин тирозин кинази</w:t>
      </w:r>
      <w:r w:rsidR="008E65E6" w:rsidRPr="00FE6AC6">
        <w:rPr>
          <w:color w:val="000000"/>
          <w:szCs w:val="22"/>
          <w:lang w:val="bg-BG"/>
        </w:rPr>
        <w:t xml:space="preserve">. </w:t>
      </w:r>
      <w:r w:rsidR="00BB7337" w:rsidRPr="00FE6AC6">
        <w:rPr>
          <w:color w:val="000000"/>
          <w:szCs w:val="22"/>
          <w:lang w:val="bg-BG"/>
        </w:rPr>
        <w:t>Проучването е вклю</w:t>
      </w:r>
      <w:r w:rsidR="005A301F" w:rsidRPr="00FE6AC6">
        <w:rPr>
          <w:color w:val="000000"/>
          <w:szCs w:val="22"/>
          <w:lang w:val="bg-BG"/>
        </w:rPr>
        <w:t>ч</w:t>
      </w:r>
      <w:r w:rsidR="00BB7337" w:rsidRPr="00FE6AC6">
        <w:rPr>
          <w:color w:val="000000"/>
          <w:szCs w:val="22"/>
          <w:lang w:val="bg-BG"/>
        </w:rPr>
        <w:t>вало</w:t>
      </w:r>
      <w:r w:rsidR="008E65E6" w:rsidRPr="00FE6AC6">
        <w:rPr>
          <w:color w:val="000000"/>
          <w:szCs w:val="22"/>
          <w:lang w:val="bg-BG"/>
        </w:rPr>
        <w:t xml:space="preserve"> 7</w:t>
      </w:r>
      <w:r w:rsidR="008E65E6" w:rsidRPr="00FE6AC6">
        <w:rPr>
          <w:color w:val="000000"/>
          <w:szCs w:val="22"/>
        </w:rPr>
        <w:t> </w:t>
      </w:r>
      <w:r w:rsidR="00BB7337" w:rsidRPr="00FE6AC6">
        <w:rPr>
          <w:color w:val="000000"/>
          <w:szCs w:val="22"/>
          <w:lang w:val="bg-BG"/>
        </w:rPr>
        <w:t xml:space="preserve">пациента с </w:t>
      </w:r>
      <w:r w:rsidR="00CD7E65" w:rsidRPr="00FE6AC6">
        <w:rPr>
          <w:color w:val="000000"/>
          <w:szCs w:val="22"/>
          <w:lang w:val="bg-BG"/>
        </w:rPr>
        <w:t>МДС/МПЗ</w:t>
      </w:r>
      <w:r w:rsidR="006A28DB" w:rsidRPr="00FE6AC6">
        <w:rPr>
          <w:color w:val="000000"/>
          <w:szCs w:val="22"/>
          <w:lang w:val="bg-BG"/>
        </w:rPr>
        <w:t>,</w:t>
      </w:r>
      <w:r w:rsidR="008E65E6" w:rsidRPr="00FE6AC6">
        <w:rPr>
          <w:color w:val="000000"/>
          <w:szCs w:val="22"/>
          <w:lang w:val="bg-BG"/>
        </w:rPr>
        <w:t xml:space="preserve"> </w:t>
      </w:r>
      <w:r w:rsidR="00BB7337" w:rsidRPr="00FE6AC6">
        <w:rPr>
          <w:color w:val="000000"/>
          <w:szCs w:val="22"/>
          <w:lang w:val="bg-BG"/>
        </w:rPr>
        <w:t xml:space="preserve">които са били лекувани с </w:t>
      </w:r>
      <w:r w:rsidR="008E65E6" w:rsidRPr="00FE6AC6">
        <w:rPr>
          <w:color w:val="000000"/>
          <w:szCs w:val="22"/>
        </w:rPr>
        <w:t>Glivec</w:t>
      </w:r>
      <w:r w:rsidR="00490D50" w:rsidRPr="00FE6AC6">
        <w:rPr>
          <w:color w:val="000000"/>
          <w:szCs w:val="22"/>
          <w:lang w:val="bg-BG"/>
        </w:rPr>
        <w:t> </w:t>
      </w:r>
      <w:r w:rsidR="008E65E6" w:rsidRPr="00FE6AC6">
        <w:rPr>
          <w:color w:val="000000"/>
          <w:szCs w:val="22"/>
          <w:lang w:val="bg-BG"/>
        </w:rPr>
        <w:t>400</w:t>
      </w:r>
      <w:r w:rsidR="008E65E6" w:rsidRPr="00FE6AC6">
        <w:rPr>
          <w:color w:val="000000"/>
          <w:szCs w:val="22"/>
        </w:rPr>
        <w:t> mg</w:t>
      </w:r>
      <w:r w:rsidR="008E65E6" w:rsidRPr="00FE6AC6">
        <w:rPr>
          <w:color w:val="000000"/>
          <w:szCs w:val="22"/>
          <w:lang w:val="bg-BG"/>
        </w:rPr>
        <w:t xml:space="preserve"> </w:t>
      </w:r>
      <w:r w:rsidR="00BB7337" w:rsidRPr="00FE6AC6">
        <w:rPr>
          <w:color w:val="000000"/>
          <w:szCs w:val="22"/>
          <w:lang w:val="bg-BG"/>
        </w:rPr>
        <w:t>дн</w:t>
      </w:r>
      <w:r w:rsidR="005A301F" w:rsidRPr="00FE6AC6">
        <w:rPr>
          <w:color w:val="000000"/>
          <w:szCs w:val="22"/>
          <w:lang w:val="bg-BG"/>
        </w:rPr>
        <w:t>е</w:t>
      </w:r>
      <w:r w:rsidR="00BB7337" w:rsidRPr="00FE6AC6">
        <w:rPr>
          <w:color w:val="000000"/>
          <w:szCs w:val="22"/>
          <w:lang w:val="bg-BG"/>
        </w:rPr>
        <w:t>вно</w:t>
      </w:r>
      <w:r w:rsidR="008E65E6" w:rsidRPr="00FE6AC6">
        <w:rPr>
          <w:color w:val="000000"/>
          <w:szCs w:val="22"/>
          <w:lang w:val="bg-BG"/>
        </w:rPr>
        <w:t xml:space="preserve">. </w:t>
      </w:r>
      <w:r w:rsidR="00BB7337" w:rsidRPr="00FE6AC6">
        <w:rPr>
          <w:color w:val="000000"/>
          <w:szCs w:val="22"/>
          <w:lang w:val="bg-BG"/>
        </w:rPr>
        <w:t>При трима</w:t>
      </w:r>
      <w:r w:rsidR="00396B2D" w:rsidRPr="00FE6AC6">
        <w:rPr>
          <w:color w:val="000000"/>
          <w:szCs w:val="22"/>
          <w:lang w:val="bg-BG"/>
        </w:rPr>
        <w:t xml:space="preserve"> </w:t>
      </w:r>
      <w:r w:rsidR="00BB7337" w:rsidRPr="00FE6AC6">
        <w:rPr>
          <w:color w:val="000000"/>
          <w:szCs w:val="22"/>
          <w:lang w:val="bg-BG"/>
        </w:rPr>
        <w:t>пациента е наблюдаван п</w:t>
      </w:r>
      <w:r w:rsidR="00396B2D" w:rsidRPr="00FE6AC6">
        <w:rPr>
          <w:color w:val="000000"/>
          <w:szCs w:val="22"/>
          <w:lang w:val="bg-BG"/>
        </w:rPr>
        <w:t>ъ</w:t>
      </w:r>
      <w:r w:rsidR="00BB7337" w:rsidRPr="00FE6AC6">
        <w:rPr>
          <w:color w:val="000000"/>
          <w:szCs w:val="22"/>
          <w:lang w:val="bg-BG"/>
        </w:rPr>
        <w:t xml:space="preserve">лен </w:t>
      </w:r>
      <w:r w:rsidR="00E30EE1" w:rsidRPr="00FE6AC6">
        <w:rPr>
          <w:color w:val="000000"/>
          <w:szCs w:val="22"/>
          <w:lang w:val="bg-BG"/>
        </w:rPr>
        <w:t>хематологичен</w:t>
      </w:r>
      <w:r w:rsidR="00BB7337" w:rsidRPr="00FE6AC6">
        <w:rPr>
          <w:color w:val="000000"/>
          <w:szCs w:val="22"/>
          <w:lang w:val="bg-BG"/>
        </w:rPr>
        <w:t xml:space="preserve"> отговор</w:t>
      </w:r>
      <w:r w:rsidR="008E65E6" w:rsidRPr="00FE6AC6">
        <w:rPr>
          <w:color w:val="000000"/>
          <w:szCs w:val="22"/>
          <w:lang w:val="bg-BG"/>
        </w:rPr>
        <w:t xml:space="preserve"> (</w:t>
      </w:r>
      <w:r w:rsidR="008E65E6" w:rsidRPr="00FE6AC6">
        <w:rPr>
          <w:color w:val="000000"/>
          <w:szCs w:val="22"/>
        </w:rPr>
        <w:t>CHR</w:t>
      </w:r>
      <w:r w:rsidR="008E65E6" w:rsidRPr="00FE6AC6">
        <w:rPr>
          <w:color w:val="000000"/>
          <w:szCs w:val="22"/>
          <w:lang w:val="bg-BG"/>
        </w:rPr>
        <w:t xml:space="preserve">) </w:t>
      </w:r>
      <w:r w:rsidR="006D5353" w:rsidRPr="00FE6AC6">
        <w:rPr>
          <w:color w:val="000000"/>
          <w:szCs w:val="22"/>
          <w:lang w:val="bg-BG"/>
        </w:rPr>
        <w:t>и</w:t>
      </w:r>
      <w:r w:rsidR="008E65E6" w:rsidRPr="00FE6AC6">
        <w:rPr>
          <w:color w:val="000000"/>
          <w:szCs w:val="22"/>
          <w:lang w:val="bg-BG"/>
        </w:rPr>
        <w:t xml:space="preserve"> </w:t>
      </w:r>
      <w:r w:rsidR="00E30EE1" w:rsidRPr="00FE6AC6">
        <w:rPr>
          <w:color w:val="000000"/>
          <w:szCs w:val="22"/>
          <w:lang w:val="bg-BG"/>
        </w:rPr>
        <w:t xml:space="preserve">при един пациент – </w:t>
      </w:r>
      <w:r w:rsidR="00396B2D" w:rsidRPr="00FE6AC6">
        <w:rPr>
          <w:color w:val="000000"/>
          <w:szCs w:val="22"/>
          <w:lang w:val="bg-BG"/>
        </w:rPr>
        <w:t>частичен</w:t>
      </w:r>
      <w:r w:rsidR="00E30EE1" w:rsidRPr="00FE6AC6">
        <w:rPr>
          <w:color w:val="000000"/>
          <w:szCs w:val="22"/>
          <w:lang w:val="bg-BG"/>
        </w:rPr>
        <w:t xml:space="preserve"> хематологичен отговор</w:t>
      </w:r>
      <w:r w:rsidR="008E65E6" w:rsidRPr="00FE6AC6">
        <w:rPr>
          <w:color w:val="000000"/>
          <w:szCs w:val="22"/>
          <w:lang w:val="bg-BG"/>
        </w:rPr>
        <w:t xml:space="preserve"> (</w:t>
      </w:r>
      <w:r w:rsidR="008E65E6" w:rsidRPr="00FE6AC6">
        <w:rPr>
          <w:color w:val="000000"/>
          <w:szCs w:val="22"/>
        </w:rPr>
        <w:t>PHR</w:t>
      </w:r>
      <w:r w:rsidR="008E65E6" w:rsidRPr="00FE6AC6">
        <w:rPr>
          <w:color w:val="000000"/>
          <w:szCs w:val="22"/>
          <w:lang w:val="bg-BG"/>
        </w:rPr>
        <w:t xml:space="preserve">). </w:t>
      </w:r>
      <w:r w:rsidR="00E30EE1" w:rsidRPr="00FE6AC6">
        <w:rPr>
          <w:color w:val="000000"/>
          <w:szCs w:val="22"/>
          <w:lang w:val="bg-BG"/>
        </w:rPr>
        <w:t>Към момента на началния анализ</w:t>
      </w:r>
      <w:r w:rsidR="008E65E6" w:rsidRPr="00FE6AC6">
        <w:rPr>
          <w:color w:val="000000"/>
          <w:szCs w:val="22"/>
          <w:lang w:val="bg-BG"/>
        </w:rPr>
        <w:t xml:space="preserve">, </w:t>
      </w:r>
      <w:r w:rsidR="00E30EE1" w:rsidRPr="00FE6AC6">
        <w:rPr>
          <w:color w:val="000000"/>
          <w:szCs w:val="22"/>
          <w:lang w:val="bg-BG"/>
        </w:rPr>
        <w:t>трима от четиримата пациента с</w:t>
      </w:r>
      <w:r w:rsidR="008E65E6" w:rsidRPr="00FE6AC6">
        <w:rPr>
          <w:color w:val="000000"/>
          <w:szCs w:val="22"/>
          <w:lang w:val="bg-BG"/>
        </w:rPr>
        <w:t xml:space="preserve"> </w:t>
      </w:r>
      <w:r w:rsidR="008E65E6" w:rsidRPr="00FE6AC6">
        <w:rPr>
          <w:color w:val="000000"/>
          <w:szCs w:val="22"/>
        </w:rPr>
        <w:t>PDGFR</w:t>
      </w:r>
      <w:r w:rsidR="008E65E6" w:rsidRPr="00FE6AC6">
        <w:rPr>
          <w:color w:val="000000"/>
          <w:szCs w:val="22"/>
          <w:lang w:val="bg-BG"/>
        </w:rPr>
        <w:t xml:space="preserve"> </w:t>
      </w:r>
      <w:r w:rsidR="00E30EE1" w:rsidRPr="00FE6AC6">
        <w:rPr>
          <w:color w:val="000000"/>
          <w:szCs w:val="22"/>
          <w:lang w:val="bg-BG"/>
        </w:rPr>
        <w:t xml:space="preserve">генни </w:t>
      </w:r>
      <w:r w:rsidR="000A0721" w:rsidRPr="00FE6AC6">
        <w:rPr>
          <w:color w:val="000000"/>
          <w:szCs w:val="22"/>
          <w:lang w:val="bg-BG"/>
        </w:rPr>
        <w:t>пренареждания</w:t>
      </w:r>
      <w:r w:rsidR="008E65E6" w:rsidRPr="00FE6AC6">
        <w:rPr>
          <w:color w:val="000000"/>
          <w:szCs w:val="22"/>
          <w:lang w:val="bg-BG"/>
        </w:rPr>
        <w:t xml:space="preserve"> </w:t>
      </w:r>
      <w:r w:rsidR="00E30EE1" w:rsidRPr="00FE6AC6">
        <w:rPr>
          <w:color w:val="000000"/>
          <w:szCs w:val="22"/>
          <w:lang w:val="bg-BG"/>
        </w:rPr>
        <w:t xml:space="preserve">са </w:t>
      </w:r>
      <w:r w:rsidR="00EC121B" w:rsidRPr="00FE6AC6">
        <w:rPr>
          <w:color w:val="000000"/>
          <w:szCs w:val="22"/>
          <w:lang w:val="bg-BG"/>
        </w:rPr>
        <w:t>достигнали</w:t>
      </w:r>
      <w:r w:rsidR="00E30EE1" w:rsidRPr="00FE6AC6">
        <w:rPr>
          <w:color w:val="000000"/>
          <w:szCs w:val="22"/>
          <w:lang w:val="bg-BG"/>
        </w:rPr>
        <w:t xml:space="preserve"> хематологичен отговор</w:t>
      </w:r>
      <w:r w:rsidR="008E65E6" w:rsidRPr="00FE6AC6">
        <w:rPr>
          <w:color w:val="000000"/>
          <w:szCs w:val="22"/>
          <w:lang w:val="bg-BG"/>
        </w:rPr>
        <w:t xml:space="preserve"> (2</w:t>
      </w:r>
      <w:r w:rsidR="00490D50" w:rsidRPr="00FE6AC6">
        <w:rPr>
          <w:color w:val="000000"/>
          <w:szCs w:val="22"/>
          <w:lang w:val="bg-BG"/>
        </w:rPr>
        <w:t> </w:t>
      </w:r>
      <w:r w:rsidR="008E65E6" w:rsidRPr="00FE6AC6">
        <w:rPr>
          <w:color w:val="000000"/>
          <w:szCs w:val="22"/>
        </w:rPr>
        <w:t>CHR</w:t>
      </w:r>
      <w:r w:rsidR="008E65E6" w:rsidRPr="00FE6AC6">
        <w:rPr>
          <w:color w:val="000000"/>
          <w:szCs w:val="22"/>
          <w:lang w:val="bg-BG"/>
        </w:rPr>
        <w:t xml:space="preserve"> </w:t>
      </w:r>
      <w:r w:rsidR="006D5353" w:rsidRPr="00FE6AC6">
        <w:rPr>
          <w:color w:val="000000"/>
          <w:szCs w:val="22"/>
          <w:lang w:val="bg-BG"/>
        </w:rPr>
        <w:t>и</w:t>
      </w:r>
      <w:r w:rsidR="008E65E6" w:rsidRPr="00FE6AC6">
        <w:rPr>
          <w:color w:val="000000"/>
          <w:szCs w:val="22"/>
          <w:lang w:val="bg-BG"/>
        </w:rPr>
        <w:t xml:space="preserve"> 1</w:t>
      </w:r>
      <w:r w:rsidR="00490D50" w:rsidRPr="00FE6AC6">
        <w:rPr>
          <w:color w:val="000000"/>
          <w:szCs w:val="22"/>
          <w:lang w:val="bg-BG"/>
        </w:rPr>
        <w:t> </w:t>
      </w:r>
      <w:r w:rsidR="008E65E6" w:rsidRPr="00FE6AC6">
        <w:rPr>
          <w:color w:val="000000"/>
          <w:szCs w:val="22"/>
        </w:rPr>
        <w:t>PHR</w:t>
      </w:r>
      <w:r w:rsidR="008E65E6" w:rsidRPr="00FE6AC6">
        <w:rPr>
          <w:color w:val="000000"/>
          <w:szCs w:val="22"/>
          <w:lang w:val="bg-BG"/>
        </w:rPr>
        <w:t xml:space="preserve">). </w:t>
      </w:r>
      <w:r w:rsidR="00E30EE1" w:rsidRPr="00FE6AC6">
        <w:rPr>
          <w:color w:val="000000"/>
          <w:szCs w:val="22"/>
          <w:lang w:val="bg-BG" w:eastAsia="ja-JP"/>
        </w:rPr>
        <w:t xml:space="preserve">Възрастта на пациентите </w:t>
      </w:r>
      <w:r w:rsidR="00EC121B" w:rsidRPr="00FE6AC6">
        <w:rPr>
          <w:color w:val="000000"/>
          <w:szCs w:val="22"/>
          <w:lang w:val="bg-BG" w:eastAsia="ja-JP"/>
        </w:rPr>
        <w:t xml:space="preserve">е </w:t>
      </w:r>
      <w:r w:rsidR="00E30EE1" w:rsidRPr="00FE6AC6">
        <w:rPr>
          <w:color w:val="000000"/>
          <w:szCs w:val="22"/>
          <w:lang w:val="bg-BG" w:eastAsia="ja-JP"/>
        </w:rPr>
        <w:t>варира</w:t>
      </w:r>
      <w:r w:rsidR="00EC121B" w:rsidRPr="00FE6AC6">
        <w:rPr>
          <w:color w:val="000000"/>
          <w:szCs w:val="22"/>
          <w:lang w:val="bg-BG" w:eastAsia="ja-JP"/>
        </w:rPr>
        <w:t>ла</w:t>
      </w:r>
      <w:r w:rsidR="00E30EE1" w:rsidRPr="00FE6AC6">
        <w:rPr>
          <w:color w:val="000000"/>
          <w:szCs w:val="22"/>
          <w:lang w:val="bg-BG" w:eastAsia="ja-JP"/>
        </w:rPr>
        <w:t xml:space="preserve"> от</w:t>
      </w:r>
      <w:r w:rsidR="008E65E6" w:rsidRPr="00FE6AC6">
        <w:rPr>
          <w:color w:val="000000"/>
          <w:szCs w:val="22"/>
          <w:lang w:val="bg-BG" w:eastAsia="ja-JP"/>
        </w:rPr>
        <w:t xml:space="preserve"> 20</w:t>
      </w:r>
      <w:r w:rsidR="00490D50" w:rsidRPr="00FE6AC6">
        <w:rPr>
          <w:color w:val="000000"/>
          <w:szCs w:val="22"/>
          <w:lang w:val="bg-BG" w:eastAsia="ja-JP"/>
        </w:rPr>
        <w:t> </w:t>
      </w:r>
      <w:r w:rsidR="00E30EE1" w:rsidRPr="00FE6AC6">
        <w:rPr>
          <w:color w:val="000000"/>
          <w:szCs w:val="22"/>
          <w:lang w:val="bg-BG" w:eastAsia="ja-JP"/>
        </w:rPr>
        <w:t xml:space="preserve">до </w:t>
      </w:r>
      <w:r w:rsidR="008E65E6" w:rsidRPr="00FE6AC6">
        <w:rPr>
          <w:color w:val="000000"/>
          <w:szCs w:val="22"/>
          <w:lang w:val="bg-BG" w:eastAsia="ja-JP"/>
        </w:rPr>
        <w:t>72</w:t>
      </w:r>
      <w:r w:rsidR="008E65E6" w:rsidRPr="00FE6AC6">
        <w:rPr>
          <w:color w:val="000000"/>
          <w:szCs w:val="22"/>
          <w:lang w:eastAsia="ja-JP"/>
        </w:rPr>
        <w:t> </w:t>
      </w:r>
      <w:r w:rsidR="00E30EE1" w:rsidRPr="00FE6AC6">
        <w:rPr>
          <w:color w:val="000000"/>
          <w:szCs w:val="22"/>
          <w:lang w:val="bg-BG" w:eastAsia="ja-JP"/>
        </w:rPr>
        <w:t>години</w:t>
      </w:r>
      <w:r w:rsidR="008E65E6" w:rsidRPr="00FE6AC6">
        <w:rPr>
          <w:color w:val="000000"/>
          <w:szCs w:val="22"/>
          <w:lang w:val="bg-BG" w:eastAsia="ja-JP"/>
        </w:rPr>
        <w:t>.</w:t>
      </w:r>
    </w:p>
    <w:p w14:paraId="3E54FF18" w14:textId="77777777" w:rsidR="003C134E" w:rsidRPr="00FE6AC6" w:rsidRDefault="003C134E" w:rsidP="0063575E">
      <w:pPr>
        <w:pStyle w:val="EndnoteText"/>
        <w:widowControl w:val="0"/>
        <w:tabs>
          <w:tab w:val="clear" w:pos="567"/>
        </w:tabs>
        <w:rPr>
          <w:color w:val="000000"/>
          <w:szCs w:val="22"/>
          <w:lang w:val="bg-BG" w:eastAsia="ja-JP"/>
        </w:rPr>
      </w:pPr>
    </w:p>
    <w:p w14:paraId="3E54FF19" w14:textId="77777777" w:rsidR="003C134E" w:rsidRPr="00FE6AC6" w:rsidRDefault="00BA32EA" w:rsidP="0063575E">
      <w:pPr>
        <w:pStyle w:val="EndnoteText"/>
        <w:widowControl w:val="0"/>
        <w:tabs>
          <w:tab w:val="clear" w:pos="567"/>
        </w:tabs>
        <w:rPr>
          <w:color w:val="000000"/>
          <w:szCs w:val="22"/>
          <w:lang w:val="bg-BG" w:eastAsia="ja-JP"/>
        </w:rPr>
      </w:pPr>
      <w:r w:rsidRPr="00FE6AC6">
        <w:rPr>
          <w:color w:val="000000"/>
          <w:szCs w:val="22"/>
          <w:lang w:val="bg-BG"/>
        </w:rPr>
        <w:t>Заведен</w:t>
      </w:r>
      <w:r w:rsidR="002F3AC3" w:rsidRPr="00FE6AC6">
        <w:rPr>
          <w:color w:val="000000"/>
          <w:szCs w:val="22"/>
          <w:lang w:val="bg-BG"/>
        </w:rPr>
        <w:t xml:space="preserve"> е обсервационен регистър</w:t>
      </w:r>
      <w:r w:rsidR="003C134E" w:rsidRPr="00FE6AC6">
        <w:rPr>
          <w:color w:val="000000"/>
          <w:szCs w:val="22"/>
          <w:lang w:val="bg-BG"/>
        </w:rPr>
        <w:t xml:space="preserve"> (</w:t>
      </w:r>
      <w:r w:rsidR="002F3AC3" w:rsidRPr="00FE6AC6">
        <w:rPr>
          <w:color w:val="000000"/>
          <w:szCs w:val="22"/>
          <w:lang w:val="bg-BG"/>
        </w:rPr>
        <w:t>проучване</w:t>
      </w:r>
      <w:r w:rsidRPr="00FE6AC6">
        <w:rPr>
          <w:color w:val="000000"/>
          <w:szCs w:val="22"/>
          <w:lang w:val="bg-BG"/>
        </w:rPr>
        <w:t xml:space="preserve"> </w:t>
      </w:r>
      <w:r w:rsidRPr="00FE6AC6">
        <w:rPr>
          <w:color w:val="000000"/>
          <w:szCs w:val="22"/>
        </w:rPr>
        <w:t>L</w:t>
      </w:r>
      <w:r w:rsidRPr="00FE6AC6">
        <w:rPr>
          <w:color w:val="000000"/>
          <w:szCs w:val="22"/>
          <w:lang w:val="bg-BG"/>
        </w:rPr>
        <w:t>2401), за да се съберат дългосрочните данни за безопасност и ефикасност при пациенти с миелопролиферативни заболявания с PDGFR- β генни пренареждания, приема</w:t>
      </w:r>
      <w:r w:rsidR="009C7DF1" w:rsidRPr="00FE6AC6">
        <w:rPr>
          <w:color w:val="000000"/>
          <w:szCs w:val="22"/>
          <w:lang w:val="bg-BG"/>
        </w:rPr>
        <w:t>ли</w:t>
      </w:r>
      <w:r w:rsidR="003C134E" w:rsidRPr="00FE6AC6">
        <w:rPr>
          <w:rFonts w:eastAsia="TimesNewRoman"/>
          <w:szCs w:val="22"/>
          <w:lang w:val="bg-BG"/>
        </w:rPr>
        <w:t xml:space="preserve"> </w:t>
      </w:r>
      <w:r w:rsidR="003C134E" w:rsidRPr="00FE6AC6">
        <w:rPr>
          <w:rFonts w:eastAsia="TimesNewRoman"/>
          <w:szCs w:val="22"/>
          <w:lang w:val="en-US"/>
        </w:rPr>
        <w:t>Glivec</w:t>
      </w:r>
      <w:r w:rsidR="003C134E" w:rsidRPr="00FE6AC6">
        <w:rPr>
          <w:rFonts w:eastAsia="TimesNewRoman"/>
          <w:szCs w:val="22"/>
          <w:lang w:val="bg-BG"/>
        </w:rPr>
        <w:t>.</w:t>
      </w:r>
      <w:r w:rsidR="003C134E" w:rsidRPr="00FE6AC6">
        <w:rPr>
          <w:color w:val="000000"/>
          <w:szCs w:val="22"/>
          <w:lang w:val="bg-BG"/>
        </w:rPr>
        <w:t xml:space="preserve"> 23</w:t>
      </w:r>
      <w:r w:rsidR="009E684C" w:rsidRPr="00FE6AC6">
        <w:rPr>
          <w:color w:val="000000"/>
          <w:szCs w:val="22"/>
          <w:lang w:val="bg-BG"/>
        </w:rPr>
        <w:noBreakHyphen/>
      </w:r>
      <w:r w:rsidR="00084BC6" w:rsidRPr="00FE6AC6">
        <w:rPr>
          <w:color w:val="000000"/>
          <w:szCs w:val="22"/>
          <w:lang w:val="bg-BG"/>
        </w:rPr>
        <w:t>мата</w:t>
      </w:r>
      <w:r w:rsidR="009E684C" w:rsidRPr="00FE6AC6">
        <w:rPr>
          <w:color w:val="000000"/>
          <w:szCs w:val="22"/>
          <w:lang w:val="bg-BG"/>
        </w:rPr>
        <w:t xml:space="preserve"> пациенти, включени в </w:t>
      </w:r>
      <w:r w:rsidR="00FD0311" w:rsidRPr="00FE6AC6">
        <w:rPr>
          <w:color w:val="000000"/>
          <w:szCs w:val="22"/>
          <w:lang w:val="bg-BG"/>
        </w:rPr>
        <w:t xml:space="preserve">регистъра </w:t>
      </w:r>
      <w:r w:rsidR="009C7DF1" w:rsidRPr="00FE6AC6">
        <w:rPr>
          <w:color w:val="000000"/>
          <w:szCs w:val="22"/>
          <w:lang w:val="bg-BG"/>
        </w:rPr>
        <w:t xml:space="preserve">са </w:t>
      </w:r>
      <w:r w:rsidR="00FD0311" w:rsidRPr="00FE6AC6">
        <w:rPr>
          <w:color w:val="000000"/>
          <w:szCs w:val="22"/>
          <w:lang w:val="bg-BG"/>
        </w:rPr>
        <w:t>приема</w:t>
      </w:r>
      <w:r w:rsidR="009C7DF1" w:rsidRPr="00FE6AC6">
        <w:rPr>
          <w:color w:val="000000"/>
          <w:szCs w:val="22"/>
          <w:lang w:val="bg-BG"/>
        </w:rPr>
        <w:t>ли</w:t>
      </w:r>
      <w:r w:rsidR="00FD0311" w:rsidRPr="00FE6AC6">
        <w:rPr>
          <w:color w:val="000000"/>
          <w:szCs w:val="22"/>
          <w:lang w:val="bg-BG"/>
        </w:rPr>
        <w:t xml:space="preserve"> </w:t>
      </w:r>
      <w:r w:rsidR="003C134E" w:rsidRPr="00FE6AC6">
        <w:rPr>
          <w:color w:val="000000"/>
          <w:szCs w:val="22"/>
        </w:rPr>
        <w:t>Glivec</w:t>
      </w:r>
      <w:r w:rsidR="003C134E" w:rsidRPr="00FE6AC6">
        <w:rPr>
          <w:color w:val="000000"/>
          <w:szCs w:val="22"/>
          <w:lang w:val="bg-BG"/>
        </w:rPr>
        <w:t xml:space="preserve"> </w:t>
      </w:r>
      <w:r w:rsidR="00FD0311" w:rsidRPr="00FE6AC6">
        <w:rPr>
          <w:color w:val="000000"/>
          <w:szCs w:val="22"/>
          <w:lang w:val="bg-BG"/>
        </w:rPr>
        <w:t>като медианата на дневната доза е</w:t>
      </w:r>
      <w:r w:rsidR="003C134E" w:rsidRPr="00FE6AC6">
        <w:rPr>
          <w:color w:val="000000"/>
          <w:szCs w:val="22"/>
          <w:lang w:val="bg-BG"/>
        </w:rPr>
        <w:t xml:space="preserve"> 264</w:t>
      </w:r>
      <w:r w:rsidR="003C134E" w:rsidRPr="00FE6AC6">
        <w:rPr>
          <w:color w:val="000000"/>
          <w:szCs w:val="22"/>
        </w:rPr>
        <w:t> mg</w:t>
      </w:r>
      <w:r w:rsidR="003C134E" w:rsidRPr="00FE6AC6">
        <w:rPr>
          <w:color w:val="000000"/>
          <w:szCs w:val="22"/>
          <w:lang w:val="bg-BG"/>
        </w:rPr>
        <w:t xml:space="preserve"> (</w:t>
      </w:r>
      <w:r w:rsidR="009E684C" w:rsidRPr="00FE6AC6">
        <w:rPr>
          <w:color w:val="000000"/>
          <w:szCs w:val="22"/>
          <w:lang w:val="bg-BG"/>
        </w:rPr>
        <w:t>интервал</w:t>
      </w:r>
      <w:r w:rsidR="003C134E" w:rsidRPr="00FE6AC6">
        <w:rPr>
          <w:color w:val="000000"/>
          <w:szCs w:val="22"/>
          <w:lang w:val="bg-BG"/>
        </w:rPr>
        <w:t xml:space="preserve">: 100 </w:t>
      </w:r>
      <w:r w:rsidR="009E684C" w:rsidRPr="00FE6AC6">
        <w:rPr>
          <w:color w:val="000000"/>
          <w:szCs w:val="22"/>
          <w:lang w:val="bg-BG"/>
        </w:rPr>
        <w:t>до</w:t>
      </w:r>
      <w:r w:rsidR="003C134E" w:rsidRPr="00FE6AC6">
        <w:rPr>
          <w:color w:val="000000"/>
          <w:szCs w:val="22"/>
          <w:lang w:val="bg-BG"/>
        </w:rPr>
        <w:t xml:space="preserve"> 400</w:t>
      </w:r>
      <w:r w:rsidR="003C134E" w:rsidRPr="00FE6AC6">
        <w:rPr>
          <w:color w:val="000000"/>
          <w:szCs w:val="22"/>
        </w:rPr>
        <w:t> mg</w:t>
      </w:r>
      <w:r w:rsidR="003C134E" w:rsidRPr="00FE6AC6">
        <w:rPr>
          <w:color w:val="000000"/>
          <w:szCs w:val="22"/>
          <w:lang w:val="bg-BG"/>
        </w:rPr>
        <w:t>)</w:t>
      </w:r>
      <w:r w:rsidR="00FD0311" w:rsidRPr="00FE6AC6">
        <w:rPr>
          <w:color w:val="000000"/>
          <w:szCs w:val="22"/>
          <w:lang w:val="bg-BG"/>
        </w:rPr>
        <w:t>, а медианата на продължителността на приема е</w:t>
      </w:r>
      <w:r w:rsidR="003C134E" w:rsidRPr="00FE6AC6">
        <w:rPr>
          <w:color w:val="000000"/>
          <w:szCs w:val="22"/>
          <w:lang w:val="bg-BG"/>
        </w:rPr>
        <w:t xml:space="preserve"> 7</w:t>
      </w:r>
      <w:r w:rsidR="00FD0311" w:rsidRPr="00FE6AC6">
        <w:rPr>
          <w:color w:val="000000"/>
          <w:szCs w:val="22"/>
          <w:lang w:val="bg-BG"/>
        </w:rPr>
        <w:t>,</w:t>
      </w:r>
      <w:r w:rsidR="003C134E" w:rsidRPr="00FE6AC6">
        <w:rPr>
          <w:color w:val="000000"/>
          <w:szCs w:val="22"/>
          <w:lang w:val="bg-BG"/>
        </w:rPr>
        <w:t>2</w:t>
      </w:r>
      <w:r w:rsidR="003C134E" w:rsidRPr="00FE6AC6">
        <w:rPr>
          <w:color w:val="000000"/>
          <w:szCs w:val="22"/>
        </w:rPr>
        <w:t> </w:t>
      </w:r>
      <w:r w:rsidR="00FD0311" w:rsidRPr="00FE6AC6">
        <w:rPr>
          <w:color w:val="000000"/>
          <w:szCs w:val="22"/>
          <w:lang w:val="bg-BG"/>
        </w:rPr>
        <w:t>години</w:t>
      </w:r>
      <w:r w:rsidR="003C134E" w:rsidRPr="00FE6AC6">
        <w:rPr>
          <w:color w:val="000000"/>
          <w:szCs w:val="22"/>
          <w:lang w:val="bg-BG"/>
        </w:rPr>
        <w:t xml:space="preserve"> (</w:t>
      </w:r>
      <w:r w:rsidR="00FD0311" w:rsidRPr="00FE6AC6">
        <w:rPr>
          <w:color w:val="000000"/>
          <w:szCs w:val="22"/>
          <w:lang w:val="bg-BG"/>
        </w:rPr>
        <w:t>интервал</w:t>
      </w:r>
      <w:r w:rsidR="003C134E" w:rsidRPr="00FE6AC6">
        <w:rPr>
          <w:color w:val="000000"/>
          <w:szCs w:val="22"/>
          <w:lang w:val="bg-BG"/>
        </w:rPr>
        <w:t xml:space="preserve"> 0</w:t>
      </w:r>
      <w:r w:rsidR="00FD0311" w:rsidRPr="00FE6AC6">
        <w:rPr>
          <w:color w:val="000000"/>
          <w:szCs w:val="22"/>
          <w:lang w:val="bg-BG"/>
        </w:rPr>
        <w:t>,</w:t>
      </w:r>
      <w:r w:rsidR="003C134E" w:rsidRPr="00FE6AC6">
        <w:rPr>
          <w:color w:val="000000"/>
          <w:szCs w:val="22"/>
          <w:lang w:val="bg-BG"/>
        </w:rPr>
        <w:t xml:space="preserve">1 </w:t>
      </w:r>
      <w:r w:rsidR="00FD0311" w:rsidRPr="00FE6AC6">
        <w:rPr>
          <w:color w:val="000000"/>
          <w:szCs w:val="22"/>
          <w:lang w:val="bg-BG"/>
        </w:rPr>
        <w:t>до</w:t>
      </w:r>
      <w:r w:rsidR="003C134E" w:rsidRPr="00FE6AC6">
        <w:rPr>
          <w:color w:val="000000"/>
          <w:szCs w:val="22"/>
          <w:lang w:val="bg-BG"/>
        </w:rPr>
        <w:t xml:space="preserve"> 12</w:t>
      </w:r>
      <w:r w:rsidR="00FD0311" w:rsidRPr="00FE6AC6">
        <w:rPr>
          <w:color w:val="000000"/>
          <w:szCs w:val="22"/>
          <w:lang w:val="bg-BG"/>
        </w:rPr>
        <w:t>,</w:t>
      </w:r>
      <w:r w:rsidR="003C134E" w:rsidRPr="00FE6AC6">
        <w:rPr>
          <w:color w:val="000000"/>
          <w:szCs w:val="22"/>
          <w:lang w:val="bg-BG"/>
        </w:rPr>
        <w:t>7</w:t>
      </w:r>
      <w:r w:rsidR="003C134E" w:rsidRPr="00FE6AC6">
        <w:rPr>
          <w:color w:val="000000"/>
          <w:szCs w:val="22"/>
        </w:rPr>
        <w:t> </w:t>
      </w:r>
      <w:r w:rsidR="00FD0311" w:rsidRPr="00FE6AC6">
        <w:rPr>
          <w:color w:val="000000"/>
          <w:szCs w:val="22"/>
          <w:lang w:val="bg-BG"/>
        </w:rPr>
        <w:t>години</w:t>
      </w:r>
      <w:r w:rsidR="003C134E" w:rsidRPr="00FE6AC6">
        <w:rPr>
          <w:color w:val="000000"/>
          <w:szCs w:val="22"/>
          <w:lang w:val="bg-BG"/>
        </w:rPr>
        <w:t xml:space="preserve">). </w:t>
      </w:r>
      <w:r w:rsidR="00533BF1" w:rsidRPr="00FE6AC6">
        <w:rPr>
          <w:color w:val="000000"/>
          <w:szCs w:val="22"/>
          <w:lang w:val="bg-BG"/>
        </w:rPr>
        <w:t xml:space="preserve">Поради обсервационния характер на регистъра, </w:t>
      </w:r>
      <w:r w:rsidR="00604892" w:rsidRPr="00FE6AC6">
        <w:rPr>
          <w:color w:val="000000"/>
          <w:szCs w:val="22"/>
          <w:lang w:val="bg-BG"/>
        </w:rPr>
        <w:t xml:space="preserve">данни, оценяващи </w:t>
      </w:r>
      <w:r w:rsidR="00533BF1" w:rsidRPr="00FE6AC6">
        <w:rPr>
          <w:color w:val="000000"/>
          <w:szCs w:val="22"/>
          <w:lang w:val="bg-BG"/>
        </w:rPr>
        <w:t>хематологични</w:t>
      </w:r>
      <w:r w:rsidR="009A577B" w:rsidRPr="00FE6AC6">
        <w:rPr>
          <w:color w:val="000000"/>
          <w:szCs w:val="22"/>
          <w:lang w:val="bg-BG"/>
        </w:rPr>
        <w:t>я</w:t>
      </w:r>
      <w:r w:rsidR="00533BF1" w:rsidRPr="00FE6AC6">
        <w:rPr>
          <w:color w:val="000000"/>
          <w:szCs w:val="22"/>
          <w:lang w:val="bg-BG"/>
        </w:rPr>
        <w:t>, цитогенетични</w:t>
      </w:r>
      <w:r w:rsidR="009A577B" w:rsidRPr="00FE6AC6">
        <w:rPr>
          <w:color w:val="000000"/>
          <w:szCs w:val="22"/>
          <w:lang w:val="bg-BG"/>
        </w:rPr>
        <w:t>я</w:t>
      </w:r>
      <w:r w:rsidR="00533BF1" w:rsidRPr="00FE6AC6">
        <w:rPr>
          <w:color w:val="000000"/>
          <w:szCs w:val="22"/>
          <w:lang w:val="bg-BG"/>
        </w:rPr>
        <w:t xml:space="preserve"> и </w:t>
      </w:r>
      <w:r w:rsidR="009A577B" w:rsidRPr="00FE6AC6">
        <w:rPr>
          <w:color w:val="000000"/>
          <w:szCs w:val="22"/>
          <w:lang w:val="bg-BG"/>
        </w:rPr>
        <w:t xml:space="preserve">молекулярния отговор </w:t>
      </w:r>
      <w:r w:rsidR="00FD0311" w:rsidRPr="00FE6AC6">
        <w:rPr>
          <w:color w:val="000000"/>
          <w:szCs w:val="22"/>
          <w:lang w:val="bg-BG"/>
        </w:rPr>
        <w:t xml:space="preserve">са налични съответно </w:t>
      </w:r>
      <w:r w:rsidR="00BF3B8B" w:rsidRPr="00FE6AC6">
        <w:rPr>
          <w:color w:val="000000"/>
          <w:szCs w:val="22"/>
          <w:lang w:val="bg-BG"/>
        </w:rPr>
        <w:t>при</w:t>
      </w:r>
      <w:r w:rsidR="003C134E" w:rsidRPr="00FE6AC6">
        <w:rPr>
          <w:color w:val="000000"/>
          <w:szCs w:val="22"/>
          <w:lang w:val="bg-BG"/>
        </w:rPr>
        <w:t xml:space="preserve"> 22, 9 </w:t>
      </w:r>
      <w:r w:rsidR="00FD0311" w:rsidRPr="00FE6AC6">
        <w:rPr>
          <w:color w:val="000000"/>
          <w:szCs w:val="22"/>
          <w:lang w:val="bg-BG"/>
        </w:rPr>
        <w:t>и</w:t>
      </w:r>
      <w:r w:rsidR="003C134E" w:rsidRPr="00FE6AC6">
        <w:rPr>
          <w:color w:val="000000"/>
          <w:szCs w:val="22"/>
          <w:lang w:val="bg-BG"/>
        </w:rPr>
        <w:t xml:space="preserve"> 17 </w:t>
      </w:r>
      <w:r w:rsidR="00FD0311" w:rsidRPr="00FE6AC6">
        <w:rPr>
          <w:color w:val="000000"/>
          <w:szCs w:val="22"/>
          <w:lang w:val="bg-BG"/>
        </w:rPr>
        <w:t>от</w:t>
      </w:r>
      <w:r w:rsidR="003C134E" w:rsidRPr="00FE6AC6">
        <w:rPr>
          <w:color w:val="000000"/>
          <w:szCs w:val="22"/>
          <w:lang w:val="bg-BG"/>
        </w:rPr>
        <w:t xml:space="preserve"> 23</w:t>
      </w:r>
      <w:r w:rsidR="00FD0311" w:rsidRPr="00FE6AC6">
        <w:rPr>
          <w:color w:val="000000"/>
          <w:szCs w:val="22"/>
          <w:lang w:val="bg-BG"/>
        </w:rPr>
        <w:noBreakHyphen/>
      </w:r>
      <w:r w:rsidR="006B2BFE" w:rsidRPr="00FE6AC6">
        <w:rPr>
          <w:color w:val="000000"/>
          <w:szCs w:val="22"/>
          <w:lang w:val="bg-BG"/>
        </w:rPr>
        <w:t>мата</w:t>
      </w:r>
      <w:r w:rsidR="003C134E" w:rsidRPr="00FE6AC6">
        <w:rPr>
          <w:color w:val="000000"/>
          <w:szCs w:val="22"/>
        </w:rPr>
        <w:t> </w:t>
      </w:r>
      <w:r w:rsidR="00FD0311" w:rsidRPr="00FE6AC6">
        <w:rPr>
          <w:color w:val="000000"/>
          <w:szCs w:val="22"/>
          <w:lang w:val="bg-BG"/>
        </w:rPr>
        <w:t>включени пациенти</w:t>
      </w:r>
      <w:r w:rsidR="003C134E" w:rsidRPr="00FE6AC6">
        <w:rPr>
          <w:color w:val="000000"/>
          <w:szCs w:val="22"/>
          <w:lang w:val="bg-BG"/>
        </w:rPr>
        <w:t xml:space="preserve">. </w:t>
      </w:r>
      <w:r w:rsidR="00C17779" w:rsidRPr="00FE6AC6">
        <w:rPr>
          <w:color w:val="000000"/>
          <w:szCs w:val="22"/>
          <w:lang w:val="bg-BG"/>
        </w:rPr>
        <w:t>Ако допуснем консервативно, че пациентите, при които липсват данни</w:t>
      </w:r>
      <w:r w:rsidR="00625A29" w:rsidRPr="00FE6AC6">
        <w:rPr>
          <w:color w:val="000000"/>
          <w:szCs w:val="22"/>
          <w:lang w:val="bg-BG"/>
        </w:rPr>
        <w:t>,</w:t>
      </w:r>
      <w:r w:rsidR="00C17779" w:rsidRPr="00FE6AC6">
        <w:rPr>
          <w:color w:val="000000"/>
          <w:szCs w:val="22"/>
          <w:lang w:val="bg-BG"/>
        </w:rPr>
        <w:t xml:space="preserve"> </w:t>
      </w:r>
      <w:r w:rsidR="007E7755" w:rsidRPr="00FE6AC6">
        <w:rPr>
          <w:color w:val="000000"/>
          <w:szCs w:val="22"/>
          <w:lang w:val="bg-BG"/>
        </w:rPr>
        <w:t>са нереспондери</w:t>
      </w:r>
      <w:r w:rsidR="003C134E" w:rsidRPr="00FE6AC6">
        <w:rPr>
          <w:color w:val="000000"/>
          <w:szCs w:val="22"/>
          <w:lang w:val="bg-BG"/>
        </w:rPr>
        <w:t xml:space="preserve">, </w:t>
      </w:r>
      <w:r w:rsidR="00C17779" w:rsidRPr="00FE6AC6">
        <w:rPr>
          <w:color w:val="000000"/>
          <w:szCs w:val="22"/>
          <w:lang w:val="bg-BG"/>
        </w:rPr>
        <w:t xml:space="preserve">ПХО се наблюдава </w:t>
      </w:r>
      <w:r w:rsidR="00B73024" w:rsidRPr="00FE6AC6">
        <w:rPr>
          <w:color w:val="000000"/>
          <w:szCs w:val="22"/>
          <w:lang w:val="bg-BG"/>
        </w:rPr>
        <w:t xml:space="preserve">съответно </w:t>
      </w:r>
      <w:r w:rsidR="00C17779" w:rsidRPr="00FE6AC6">
        <w:rPr>
          <w:color w:val="000000"/>
          <w:szCs w:val="22"/>
          <w:lang w:val="bg-BG"/>
        </w:rPr>
        <w:t>при</w:t>
      </w:r>
      <w:r w:rsidR="003C134E" w:rsidRPr="00FE6AC6">
        <w:rPr>
          <w:color w:val="000000"/>
          <w:szCs w:val="22"/>
          <w:lang w:val="bg-BG"/>
        </w:rPr>
        <w:t xml:space="preserve"> 20/23 (87%)</w:t>
      </w:r>
      <w:r w:rsidR="00C17779" w:rsidRPr="00FE6AC6">
        <w:rPr>
          <w:color w:val="000000"/>
          <w:szCs w:val="22"/>
          <w:lang w:val="bg-BG"/>
        </w:rPr>
        <w:t xml:space="preserve"> пациенти</w:t>
      </w:r>
      <w:r w:rsidR="003C134E" w:rsidRPr="00FE6AC6">
        <w:rPr>
          <w:color w:val="000000"/>
          <w:szCs w:val="22"/>
          <w:lang w:val="bg-BG"/>
        </w:rPr>
        <w:t xml:space="preserve">, </w:t>
      </w:r>
      <w:r w:rsidR="00C17779" w:rsidRPr="00FE6AC6">
        <w:rPr>
          <w:color w:val="000000"/>
          <w:szCs w:val="22"/>
          <w:lang w:val="bg-BG"/>
        </w:rPr>
        <w:t>ПЦО при</w:t>
      </w:r>
      <w:r w:rsidR="003C134E" w:rsidRPr="00FE6AC6">
        <w:rPr>
          <w:color w:val="000000"/>
          <w:szCs w:val="22"/>
          <w:lang w:val="bg-BG"/>
        </w:rPr>
        <w:t xml:space="preserve"> 9/23 (39</w:t>
      </w:r>
      <w:r w:rsidR="00C17779" w:rsidRPr="00FE6AC6">
        <w:rPr>
          <w:color w:val="000000"/>
          <w:szCs w:val="22"/>
          <w:lang w:val="bg-BG"/>
        </w:rPr>
        <w:t>,</w:t>
      </w:r>
      <w:r w:rsidR="003C134E" w:rsidRPr="00FE6AC6">
        <w:rPr>
          <w:color w:val="000000"/>
          <w:szCs w:val="22"/>
          <w:lang w:val="bg-BG"/>
        </w:rPr>
        <w:t xml:space="preserve">1%) </w:t>
      </w:r>
      <w:r w:rsidR="00C17779" w:rsidRPr="00FE6AC6">
        <w:rPr>
          <w:color w:val="000000"/>
          <w:szCs w:val="22"/>
          <w:lang w:val="bg-BG"/>
        </w:rPr>
        <w:t xml:space="preserve">пациенти, </w:t>
      </w:r>
      <w:r w:rsidR="00B73024" w:rsidRPr="00FE6AC6">
        <w:rPr>
          <w:color w:val="000000"/>
          <w:szCs w:val="22"/>
          <w:lang w:val="bg-BG"/>
        </w:rPr>
        <w:t xml:space="preserve">а </w:t>
      </w:r>
      <w:r w:rsidR="00C17779" w:rsidRPr="00FE6AC6">
        <w:rPr>
          <w:color w:val="000000"/>
          <w:szCs w:val="22"/>
          <w:lang w:val="bg-BG"/>
        </w:rPr>
        <w:t>МО при</w:t>
      </w:r>
      <w:r w:rsidR="003C134E" w:rsidRPr="00FE6AC6">
        <w:rPr>
          <w:color w:val="000000"/>
          <w:szCs w:val="22"/>
          <w:lang w:val="bg-BG"/>
        </w:rPr>
        <w:t xml:space="preserve"> 11/23 (47</w:t>
      </w:r>
      <w:r w:rsidR="00C17779" w:rsidRPr="00FE6AC6">
        <w:rPr>
          <w:color w:val="000000"/>
          <w:szCs w:val="22"/>
          <w:lang w:val="bg-BG"/>
        </w:rPr>
        <w:t>,</w:t>
      </w:r>
      <w:r w:rsidR="003C134E" w:rsidRPr="00FE6AC6">
        <w:rPr>
          <w:color w:val="000000"/>
          <w:szCs w:val="22"/>
          <w:lang w:val="bg-BG"/>
        </w:rPr>
        <w:t xml:space="preserve">8%) </w:t>
      </w:r>
      <w:r w:rsidR="00C17779" w:rsidRPr="00FE6AC6">
        <w:rPr>
          <w:color w:val="000000"/>
          <w:szCs w:val="22"/>
          <w:lang w:val="bg-BG"/>
        </w:rPr>
        <w:t>пациенти</w:t>
      </w:r>
      <w:r w:rsidR="003C134E" w:rsidRPr="00FE6AC6">
        <w:rPr>
          <w:color w:val="000000"/>
          <w:szCs w:val="22"/>
          <w:lang w:val="bg-BG"/>
        </w:rPr>
        <w:t xml:space="preserve">. </w:t>
      </w:r>
      <w:r w:rsidR="00E66C8C" w:rsidRPr="00FE6AC6">
        <w:rPr>
          <w:color w:val="000000"/>
          <w:szCs w:val="22"/>
          <w:lang w:val="bg-BG"/>
        </w:rPr>
        <w:t>Когато степента на повлияване се изчислява при пациенти с поне една валидна оценка</w:t>
      </w:r>
      <w:r w:rsidR="003C134E" w:rsidRPr="00FE6AC6">
        <w:rPr>
          <w:color w:val="000000"/>
          <w:szCs w:val="22"/>
          <w:lang w:val="bg-BG"/>
        </w:rPr>
        <w:t xml:space="preserve">, </w:t>
      </w:r>
      <w:r w:rsidR="00E66C8C" w:rsidRPr="00FE6AC6">
        <w:rPr>
          <w:color w:val="000000"/>
          <w:szCs w:val="22"/>
          <w:lang w:val="bg-BG"/>
        </w:rPr>
        <w:t>степента на повлияване по отношение на ПХО, ПЦО и МО</w:t>
      </w:r>
      <w:r w:rsidR="003C134E" w:rsidRPr="00FE6AC6">
        <w:rPr>
          <w:color w:val="000000"/>
          <w:szCs w:val="22"/>
          <w:lang w:val="bg-BG"/>
        </w:rPr>
        <w:t xml:space="preserve"> </w:t>
      </w:r>
      <w:r w:rsidR="00E66C8C" w:rsidRPr="00FE6AC6">
        <w:rPr>
          <w:color w:val="000000"/>
          <w:szCs w:val="22"/>
          <w:lang w:val="bg-BG"/>
        </w:rPr>
        <w:t>е съответно</w:t>
      </w:r>
      <w:r w:rsidR="003C134E" w:rsidRPr="00FE6AC6">
        <w:rPr>
          <w:color w:val="000000"/>
          <w:szCs w:val="22"/>
          <w:lang w:val="bg-BG"/>
        </w:rPr>
        <w:t xml:space="preserve"> </w:t>
      </w:r>
      <w:r w:rsidR="009C685F" w:rsidRPr="00FE6AC6">
        <w:rPr>
          <w:color w:val="000000"/>
          <w:szCs w:val="22"/>
          <w:lang w:val="bg-BG"/>
        </w:rPr>
        <w:t>20</w:t>
      </w:r>
      <w:r w:rsidR="003C134E" w:rsidRPr="00FE6AC6">
        <w:rPr>
          <w:color w:val="000000"/>
          <w:szCs w:val="22"/>
          <w:lang w:val="bg-BG"/>
        </w:rPr>
        <w:t>/22 (90</w:t>
      </w:r>
      <w:r w:rsidR="00E66C8C" w:rsidRPr="00FE6AC6">
        <w:rPr>
          <w:color w:val="000000"/>
          <w:szCs w:val="22"/>
          <w:lang w:val="bg-BG"/>
        </w:rPr>
        <w:t>,</w:t>
      </w:r>
      <w:r w:rsidR="003C134E" w:rsidRPr="00FE6AC6">
        <w:rPr>
          <w:color w:val="000000"/>
          <w:szCs w:val="22"/>
          <w:lang w:val="bg-BG"/>
        </w:rPr>
        <w:t xml:space="preserve">9%), 9/9 (100%) </w:t>
      </w:r>
      <w:r w:rsidR="00E66C8C" w:rsidRPr="00FE6AC6">
        <w:rPr>
          <w:color w:val="000000"/>
          <w:szCs w:val="22"/>
          <w:lang w:val="bg-BG"/>
        </w:rPr>
        <w:t>и</w:t>
      </w:r>
      <w:r w:rsidR="003C134E" w:rsidRPr="00FE6AC6">
        <w:rPr>
          <w:color w:val="000000"/>
          <w:szCs w:val="22"/>
          <w:lang w:val="bg-BG"/>
        </w:rPr>
        <w:t xml:space="preserve"> 11/17 (64</w:t>
      </w:r>
      <w:r w:rsidR="00E66C8C" w:rsidRPr="00FE6AC6">
        <w:rPr>
          <w:color w:val="000000"/>
          <w:szCs w:val="22"/>
          <w:lang w:val="bg-BG"/>
        </w:rPr>
        <w:t>,</w:t>
      </w:r>
      <w:r w:rsidR="003C134E" w:rsidRPr="00FE6AC6">
        <w:rPr>
          <w:color w:val="000000"/>
          <w:szCs w:val="22"/>
          <w:lang w:val="bg-BG"/>
        </w:rPr>
        <w:t>7%).</w:t>
      </w:r>
    </w:p>
    <w:p w14:paraId="3E54FF1A" w14:textId="77777777" w:rsidR="003C134E" w:rsidRPr="00FE6AC6" w:rsidRDefault="003C134E" w:rsidP="0063575E">
      <w:pPr>
        <w:pStyle w:val="EndnoteText"/>
        <w:widowControl w:val="0"/>
        <w:tabs>
          <w:tab w:val="clear" w:pos="567"/>
        </w:tabs>
        <w:rPr>
          <w:color w:val="000000"/>
          <w:szCs w:val="22"/>
          <w:lang w:val="bg-BG" w:eastAsia="ja-JP"/>
        </w:rPr>
      </w:pPr>
    </w:p>
    <w:p w14:paraId="3E54FF1B" w14:textId="77777777" w:rsidR="008E65E6" w:rsidRPr="00FE6AC6" w:rsidRDefault="00BE311F" w:rsidP="0063575E">
      <w:pPr>
        <w:pStyle w:val="EndnoteText"/>
        <w:widowControl w:val="0"/>
        <w:tabs>
          <w:tab w:val="clear" w:pos="567"/>
        </w:tabs>
        <w:rPr>
          <w:color w:val="000000"/>
          <w:szCs w:val="22"/>
          <w:lang w:val="bg-BG"/>
        </w:rPr>
      </w:pPr>
      <w:r w:rsidRPr="00FE6AC6">
        <w:rPr>
          <w:color w:val="000000"/>
          <w:szCs w:val="22"/>
          <w:lang w:val="bg-BG"/>
        </w:rPr>
        <w:t>Освен това, други</w:t>
      </w:r>
      <w:r w:rsidR="008E65E6" w:rsidRPr="00FE6AC6">
        <w:rPr>
          <w:color w:val="000000"/>
          <w:szCs w:val="22"/>
          <w:lang w:val="bg-BG"/>
        </w:rPr>
        <w:t xml:space="preserve"> 24</w:t>
      </w:r>
      <w:r w:rsidR="008E65E6" w:rsidRPr="00FE6AC6">
        <w:rPr>
          <w:color w:val="000000"/>
          <w:szCs w:val="22"/>
        </w:rPr>
        <w:t> </w:t>
      </w:r>
      <w:r w:rsidRPr="00FE6AC6">
        <w:rPr>
          <w:color w:val="000000"/>
          <w:szCs w:val="22"/>
          <w:lang w:val="bg-BG"/>
        </w:rPr>
        <w:t>пациента с</w:t>
      </w:r>
      <w:r w:rsidR="008E65E6" w:rsidRPr="00FE6AC6">
        <w:rPr>
          <w:color w:val="000000"/>
          <w:szCs w:val="22"/>
          <w:lang w:val="bg-BG"/>
        </w:rPr>
        <w:t xml:space="preserve"> </w:t>
      </w:r>
      <w:r w:rsidR="00CD7E65" w:rsidRPr="00FE6AC6">
        <w:rPr>
          <w:color w:val="000000"/>
          <w:szCs w:val="22"/>
          <w:lang w:val="bg-BG"/>
        </w:rPr>
        <w:t>МДС/МПЗ</w:t>
      </w:r>
      <w:r w:rsidR="008E65E6" w:rsidRPr="00FE6AC6">
        <w:rPr>
          <w:color w:val="000000"/>
          <w:szCs w:val="22"/>
          <w:lang w:val="bg-BG"/>
        </w:rPr>
        <w:t xml:space="preserve"> </w:t>
      </w:r>
      <w:r w:rsidRPr="00FE6AC6">
        <w:rPr>
          <w:color w:val="000000"/>
          <w:szCs w:val="22"/>
          <w:lang w:val="bg-BG"/>
        </w:rPr>
        <w:t xml:space="preserve">са били докладвани в </w:t>
      </w:r>
      <w:r w:rsidR="008E65E6" w:rsidRPr="00FE6AC6">
        <w:rPr>
          <w:color w:val="000000"/>
          <w:szCs w:val="22"/>
          <w:lang w:val="bg-BG"/>
        </w:rPr>
        <w:t>13</w:t>
      </w:r>
      <w:r w:rsidR="008E65E6" w:rsidRPr="00FE6AC6">
        <w:rPr>
          <w:color w:val="000000"/>
          <w:szCs w:val="22"/>
        </w:rPr>
        <w:t> </w:t>
      </w:r>
      <w:r w:rsidRPr="00FE6AC6">
        <w:rPr>
          <w:color w:val="000000"/>
          <w:szCs w:val="22"/>
          <w:lang w:val="bg-BG"/>
        </w:rPr>
        <w:t>публикации</w:t>
      </w:r>
      <w:r w:rsidR="008E65E6" w:rsidRPr="00FE6AC6">
        <w:rPr>
          <w:color w:val="000000"/>
          <w:szCs w:val="22"/>
          <w:lang w:val="bg-BG"/>
        </w:rPr>
        <w:t>. 21</w:t>
      </w:r>
      <w:r w:rsidR="008E65E6" w:rsidRPr="00FE6AC6">
        <w:rPr>
          <w:color w:val="000000"/>
          <w:szCs w:val="22"/>
        </w:rPr>
        <w:t> </w:t>
      </w:r>
      <w:r w:rsidRPr="00FE6AC6">
        <w:rPr>
          <w:color w:val="000000"/>
          <w:szCs w:val="22"/>
          <w:lang w:val="bg-BG"/>
        </w:rPr>
        <w:t xml:space="preserve">пациента са били лекувани с </w:t>
      </w:r>
      <w:r w:rsidR="008E65E6" w:rsidRPr="00FE6AC6">
        <w:rPr>
          <w:color w:val="000000"/>
          <w:szCs w:val="22"/>
        </w:rPr>
        <w:t>Glivec</w:t>
      </w:r>
      <w:r w:rsidR="008E65E6" w:rsidRPr="00FE6AC6">
        <w:rPr>
          <w:color w:val="000000"/>
          <w:szCs w:val="22"/>
          <w:lang w:val="bg-BG"/>
        </w:rPr>
        <w:t xml:space="preserve"> 400</w:t>
      </w:r>
      <w:r w:rsidR="008E65E6" w:rsidRPr="00FE6AC6">
        <w:rPr>
          <w:color w:val="000000"/>
          <w:szCs w:val="22"/>
        </w:rPr>
        <w:t> mg</w:t>
      </w:r>
      <w:r w:rsidR="008E65E6" w:rsidRPr="00FE6AC6">
        <w:rPr>
          <w:color w:val="000000"/>
          <w:szCs w:val="22"/>
          <w:lang w:val="bg-BG"/>
        </w:rPr>
        <w:t xml:space="preserve"> </w:t>
      </w:r>
      <w:r w:rsidRPr="00FE6AC6">
        <w:rPr>
          <w:color w:val="000000"/>
          <w:szCs w:val="22"/>
          <w:lang w:val="bg-BG"/>
        </w:rPr>
        <w:t>дн</w:t>
      </w:r>
      <w:r w:rsidR="005A301F" w:rsidRPr="00FE6AC6">
        <w:rPr>
          <w:color w:val="000000"/>
          <w:szCs w:val="22"/>
          <w:lang w:val="bg-BG"/>
        </w:rPr>
        <w:t>е</w:t>
      </w:r>
      <w:r w:rsidRPr="00FE6AC6">
        <w:rPr>
          <w:color w:val="000000"/>
          <w:szCs w:val="22"/>
          <w:lang w:val="bg-BG"/>
        </w:rPr>
        <w:t>вно</w:t>
      </w:r>
      <w:r w:rsidR="008E65E6" w:rsidRPr="00FE6AC6">
        <w:rPr>
          <w:color w:val="000000"/>
          <w:szCs w:val="22"/>
          <w:lang w:val="bg-BG"/>
        </w:rPr>
        <w:t xml:space="preserve">, </w:t>
      </w:r>
      <w:r w:rsidRPr="00FE6AC6">
        <w:rPr>
          <w:color w:val="000000"/>
          <w:szCs w:val="22"/>
          <w:lang w:val="bg-BG"/>
        </w:rPr>
        <w:t xml:space="preserve">докато другите </w:t>
      </w:r>
      <w:r w:rsidR="008E65E6" w:rsidRPr="00FE6AC6">
        <w:rPr>
          <w:color w:val="000000"/>
          <w:szCs w:val="22"/>
          <w:lang w:val="bg-BG"/>
        </w:rPr>
        <w:t>3</w:t>
      </w:r>
      <w:r w:rsidR="008E65E6" w:rsidRPr="00FE6AC6">
        <w:rPr>
          <w:color w:val="000000"/>
          <w:szCs w:val="22"/>
        </w:rPr>
        <w:t> </w:t>
      </w:r>
      <w:r w:rsidRPr="00FE6AC6">
        <w:rPr>
          <w:color w:val="000000"/>
          <w:szCs w:val="22"/>
          <w:lang w:val="bg-BG"/>
        </w:rPr>
        <w:t>пациента са получавали по-ниски дози</w:t>
      </w:r>
      <w:r w:rsidR="008E65E6" w:rsidRPr="00FE6AC6">
        <w:rPr>
          <w:color w:val="000000"/>
          <w:szCs w:val="22"/>
          <w:lang w:val="bg-BG"/>
        </w:rPr>
        <w:t xml:space="preserve">. </w:t>
      </w:r>
      <w:r w:rsidRPr="00FE6AC6">
        <w:rPr>
          <w:color w:val="000000"/>
          <w:szCs w:val="22"/>
          <w:lang w:val="bg-BG"/>
        </w:rPr>
        <w:t>При 11</w:t>
      </w:r>
      <w:r w:rsidR="00DF756A" w:rsidRPr="00FE6AC6">
        <w:rPr>
          <w:color w:val="000000"/>
          <w:szCs w:val="22"/>
          <w:lang w:val="de-CH"/>
        </w:rPr>
        <w:t> </w:t>
      </w:r>
      <w:r w:rsidRPr="00FE6AC6">
        <w:rPr>
          <w:color w:val="000000"/>
          <w:szCs w:val="22"/>
          <w:lang w:val="bg-BG"/>
        </w:rPr>
        <w:t>пациента са открити</w:t>
      </w:r>
      <w:r w:rsidR="008E65E6" w:rsidRPr="00FE6AC6">
        <w:rPr>
          <w:color w:val="000000"/>
          <w:szCs w:val="22"/>
          <w:lang w:val="bg-BG"/>
        </w:rPr>
        <w:t xml:space="preserve"> </w:t>
      </w:r>
      <w:r w:rsidR="008E65E6" w:rsidRPr="00FE6AC6">
        <w:rPr>
          <w:color w:val="000000"/>
          <w:szCs w:val="22"/>
        </w:rPr>
        <w:t>PDGFR</w:t>
      </w:r>
      <w:r w:rsidR="008E65E6" w:rsidRPr="00FE6AC6">
        <w:rPr>
          <w:color w:val="000000"/>
          <w:szCs w:val="22"/>
          <w:lang w:val="bg-BG"/>
        </w:rPr>
        <w:t xml:space="preserve"> </w:t>
      </w:r>
      <w:r w:rsidRPr="00FE6AC6">
        <w:rPr>
          <w:color w:val="000000"/>
          <w:szCs w:val="22"/>
          <w:lang w:val="bg-BG"/>
        </w:rPr>
        <w:t xml:space="preserve">генни </w:t>
      </w:r>
      <w:r w:rsidR="00933FF1" w:rsidRPr="00FE6AC6">
        <w:rPr>
          <w:color w:val="000000"/>
          <w:szCs w:val="22"/>
          <w:lang w:val="bg-BG"/>
        </w:rPr>
        <w:t>пренареждания</w:t>
      </w:r>
      <w:r w:rsidR="008E65E6" w:rsidRPr="00FE6AC6">
        <w:rPr>
          <w:color w:val="000000"/>
          <w:szCs w:val="22"/>
          <w:lang w:val="bg-BG"/>
        </w:rPr>
        <w:t>, 9</w:t>
      </w:r>
      <w:r w:rsidR="00490D50" w:rsidRPr="00FE6AC6">
        <w:rPr>
          <w:color w:val="000000"/>
          <w:szCs w:val="22"/>
          <w:lang w:val="bg-BG"/>
        </w:rPr>
        <w:t> </w:t>
      </w:r>
      <w:r w:rsidRPr="00FE6AC6">
        <w:rPr>
          <w:color w:val="000000"/>
          <w:szCs w:val="22"/>
          <w:lang w:val="bg-BG"/>
        </w:rPr>
        <w:t xml:space="preserve">от тях са достигнали </w:t>
      </w:r>
      <w:r w:rsidR="008E65E6" w:rsidRPr="00FE6AC6">
        <w:rPr>
          <w:color w:val="000000"/>
          <w:szCs w:val="22"/>
        </w:rPr>
        <w:t>CHR</w:t>
      </w:r>
      <w:r w:rsidR="008E65E6" w:rsidRPr="00FE6AC6">
        <w:rPr>
          <w:color w:val="000000"/>
          <w:szCs w:val="22"/>
          <w:lang w:val="bg-BG"/>
        </w:rPr>
        <w:t xml:space="preserve"> </w:t>
      </w:r>
      <w:r w:rsidR="006D5353" w:rsidRPr="00FE6AC6">
        <w:rPr>
          <w:color w:val="000000"/>
          <w:szCs w:val="22"/>
          <w:lang w:val="bg-BG"/>
        </w:rPr>
        <w:t>и</w:t>
      </w:r>
      <w:r w:rsidR="008E65E6" w:rsidRPr="00FE6AC6">
        <w:rPr>
          <w:color w:val="000000"/>
          <w:szCs w:val="22"/>
          <w:lang w:val="bg-BG"/>
        </w:rPr>
        <w:t xml:space="preserve"> 1</w:t>
      </w:r>
      <w:r w:rsidR="00EC121B" w:rsidRPr="00FE6AC6">
        <w:rPr>
          <w:color w:val="000000"/>
          <w:szCs w:val="22"/>
          <w:lang w:val="bg-BG"/>
        </w:rPr>
        <w:t>-</w:t>
      </w:r>
      <w:r w:rsidR="008E65E6" w:rsidRPr="00FE6AC6">
        <w:rPr>
          <w:color w:val="000000"/>
          <w:szCs w:val="22"/>
        </w:rPr>
        <w:t>PHR</w:t>
      </w:r>
      <w:r w:rsidR="008E65E6" w:rsidRPr="00FE6AC6">
        <w:rPr>
          <w:color w:val="000000"/>
          <w:szCs w:val="22"/>
          <w:lang w:val="bg-BG"/>
        </w:rPr>
        <w:t xml:space="preserve">. </w:t>
      </w:r>
      <w:r w:rsidRPr="00FE6AC6">
        <w:rPr>
          <w:color w:val="000000"/>
          <w:szCs w:val="22"/>
          <w:lang w:val="bg-BG"/>
        </w:rPr>
        <w:t>Възрастта на тези пациенти варира от</w:t>
      </w:r>
      <w:r w:rsidR="00490D50" w:rsidRPr="00FE6AC6">
        <w:rPr>
          <w:color w:val="000000"/>
          <w:szCs w:val="22"/>
          <w:lang w:val="bg-BG"/>
        </w:rPr>
        <w:t> </w:t>
      </w:r>
      <w:r w:rsidR="008E65E6" w:rsidRPr="00FE6AC6">
        <w:rPr>
          <w:color w:val="000000"/>
          <w:szCs w:val="22"/>
          <w:lang w:val="bg-BG"/>
        </w:rPr>
        <w:t>2</w:t>
      </w:r>
      <w:r w:rsidR="00490D50" w:rsidRPr="00FE6AC6">
        <w:rPr>
          <w:color w:val="000000"/>
          <w:szCs w:val="22"/>
          <w:lang w:val="bg-BG"/>
        </w:rPr>
        <w:t> </w:t>
      </w:r>
      <w:r w:rsidRPr="00FE6AC6">
        <w:rPr>
          <w:color w:val="000000"/>
          <w:szCs w:val="22"/>
          <w:lang w:val="bg-BG"/>
        </w:rPr>
        <w:t>до</w:t>
      </w:r>
      <w:r w:rsidR="00490D50" w:rsidRPr="00FE6AC6">
        <w:rPr>
          <w:color w:val="000000"/>
          <w:szCs w:val="22"/>
          <w:lang w:val="bg-BG"/>
        </w:rPr>
        <w:t> </w:t>
      </w:r>
      <w:r w:rsidR="008E65E6" w:rsidRPr="00FE6AC6">
        <w:rPr>
          <w:color w:val="000000"/>
          <w:szCs w:val="22"/>
          <w:lang w:val="bg-BG"/>
        </w:rPr>
        <w:t>79</w:t>
      </w:r>
      <w:r w:rsidR="008E65E6" w:rsidRPr="00FE6AC6">
        <w:rPr>
          <w:color w:val="000000"/>
          <w:szCs w:val="22"/>
        </w:rPr>
        <w:t> </w:t>
      </w:r>
      <w:r w:rsidRPr="00FE6AC6">
        <w:rPr>
          <w:color w:val="000000"/>
          <w:szCs w:val="22"/>
          <w:lang w:val="bg-BG"/>
        </w:rPr>
        <w:t>години</w:t>
      </w:r>
      <w:r w:rsidR="008E65E6" w:rsidRPr="00FE6AC6">
        <w:rPr>
          <w:color w:val="000000"/>
          <w:szCs w:val="22"/>
          <w:lang w:val="bg-BG"/>
        </w:rPr>
        <w:t xml:space="preserve">. </w:t>
      </w:r>
      <w:r w:rsidR="006F15B8" w:rsidRPr="00FE6AC6">
        <w:rPr>
          <w:color w:val="000000"/>
          <w:szCs w:val="22"/>
          <w:lang w:val="bg-BG"/>
        </w:rPr>
        <w:t>В скорошна публикация осъвременени данни</w:t>
      </w:r>
      <w:r w:rsidR="00555FD9" w:rsidRPr="00FE6AC6">
        <w:rPr>
          <w:color w:val="000000"/>
          <w:szCs w:val="22"/>
          <w:lang w:val="bg-BG"/>
        </w:rPr>
        <w:t xml:space="preserve"> </w:t>
      </w:r>
      <w:r w:rsidR="006F15B8" w:rsidRPr="00FE6AC6">
        <w:rPr>
          <w:color w:val="000000"/>
          <w:szCs w:val="22"/>
          <w:lang w:val="bg-BG"/>
        </w:rPr>
        <w:t>за 6</w:t>
      </w:r>
      <w:r w:rsidR="00490D50" w:rsidRPr="00FE6AC6">
        <w:rPr>
          <w:color w:val="000000"/>
          <w:szCs w:val="22"/>
          <w:lang w:val="bg-BG"/>
        </w:rPr>
        <w:t> </w:t>
      </w:r>
      <w:r w:rsidR="006F15B8" w:rsidRPr="00FE6AC6">
        <w:rPr>
          <w:color w:val="000000"/>
          <w:szCs w:val="22"/>
          <w:lang w:val="bg-BG"/>
        </w:rPr>
        <w:t xml:space="preserve">от тези </w:t>
      </w:r>
      <w:r w:rsidR="008E65E6" w:rsidRPr="00FE6AC6">
        <w:rPr>
          <w:color w:val="000000"/>
          <w:szCs w:val="22"/>
          <w:lang w:val="bg-BG"/>
        </w:rPr>
        <w:t>11</w:t>
      </w:r>
      <w:r w:rsidR="008E65E6" w:rsidRPr="00FE6AC6">
        <w:rPr>
          <w:color w:val="000000"/>
          <w:szCs w:val="22"/>
        </w:rPr>
        <w:t> </w:t>
      </w:r>
      <w:r w:rsidR="006F15B8" w:rsidRPr="00FE6AC6">
        <w:rPr>
          <w:color w:val="000000"/>
          <w:szCs w:val="22"/>
          <w:lang w:val="bg-BG"/>
        </w:rPr>
        <w:t xml:space="preserve">пациента </w:t>
      </w:r>
      <w:r w:rsidR="00555FD9" w:rsidRPr="00FE6AC6">
        <w:rPr>
          <w:color w:val="000000"/>
          <w:szCs w:val="22"/>
          <w:lang w:val="bg-BG"/>
        </w:rPr>
        <w:t xml:space="preserve">разкриват, че всички тези пациенти са </w:t>
      </w:r>
      <w:r w:rsidR="00EC121B" w:rsidRPr="00FE6AC6">
        <w:rPr>
          <w:color w:val="000000"/>
          <w:szCs w:val="22"/>
          <w:lang w:val="bg-BG"/>
        </w:rPr>
        <w:t xml:space="preserve">останали </w:t>
      </w:r>
      <w:r w:rsidR="00555FD9" w:rsidRPr="00FE6AC6">
        <w:rPr>
          <w:color w:val="000000"/>
          <w:szCs w:val="22"/>
          <w:lang w:val="bg-BG"/>
        </w:rPr>
        <w:t>в цитогенетична ремисия</w:t>
      </w:r>
      <w:r w:rsidR="008E65E6" w:rsidRPr="00FE6AC6">
        <w:rPr>
          <w:color w:val="000000"/>
          <w:szCs w:val="22"/>
          <w:lang w:val="bg-BG"/>
        </w:rPr>
        <w:t xml:space="preserve"> (</w:t>
      </w:r>
      <w:r w:rsidR="00555FD9" w:rsidRPr="00FE6AC6">
        <w:rPr>
          <w:color w:val="000000"/>
          <w:szCs w:val="22"/>
          <w:lang w:val="bg-BG"/>
        </w:rPr>
        <w:t>варираща между</w:t>
      </w:r>
      <w:r w:rsidR="008E65E6" w:rsidRPr="00FE6AC6">
        <w:rPr>
          <w:color w:val="000000"/>
          <w:szCs w:val="22"/>
          <w:lang w:val="bg-BG"/>
        </w:rPr>
        <w:t xml:space="preserve"> 32</w:t>
      </w:r>
      <w:r w:rsidR="008E65E6" w:rsidRPr="00FE6AC6">
        <w:rPr>
          <w:color w:val="000000"/>
          <w:szCs w:val="22"/>
          <w:lang w:val="bg-BG"/>
        </w:rPr>
        <w:noBreakHyphen/>
        <w:t>38</w:t>
      </w:r>
      <w:r w:rsidR="008E65E6" w:rsidRPr="00FE6AC6">
        <w:rPr>
          <w:color w:val="000000"/>
          <w:szCs w:val="22"/>
        </w:rPr>
        <w:t> </w:t>
      </w:r>
      <w:r w:rsidR="00555FD9" w:rsidRPr="00FE6AC6">
        <w:rPr>
          <w:color w:val="000000"/>
          <w:szCs w:val="22"/>
          <w:lang w:val="bg-BG"/>
        </w:rPr>
        <w:t>месеца</w:t>
      </w:r>
      <w:r w:rsidR="008E65E6" w:rsidRPr="00FE6AC6">
        <w:rPr>
          <w:color w:val="000000"/>
          <w:szCs w:val="22"/>
          <w:lang w:val="bg-BG"/>
        </w:rPr>
        <w:t xml:space="preserve">). </w:t>
      </w:r>
      <w:r w:rsidR="00555FD9" w:rsidRPr="00FE6AC6">
        <w:rPr>
          <w:color w:val="000000"/>
          <w:szCs w:val="22"/>
          <w:lang w:val="bg-BG"/>
        </w:rPr>
        <w:t>Същата публикация докладва данни от дългосрочно проследяване на</w:t>
      </w:r>
      <w:r w:rsidR="008E65E6" w:rsidRPr="00FE6AC6">
        <w:rPr>
          <w:color w:val="000000"/>
          <w:szCs w:val="22"/>
          <w:lang w:val="bg-BG"/>
        </w:rPr>
        <w:t xml:space="preserve"> 12</w:t>
      </w:r>
      <w:r w:rsidR="008E65E6" w:rsidRPr="00FE6AC6">
        <w:rPr>
          <w:color w:val="000000"/>
          <w:szCs w:val="22"/>
        </w:rPr>
        <w:t> </w:t>
      </w:r>
      <w:r w:rsidR="00CD7E65" w:rsidRPr="00FE6AC6">
        <w:rPr>
          <w:color w:val="000000"/>
          <w:szCs w:val="22"/>
          <w:lang w:val="bg-BG"/>
        </w:rPr>
        <w:t>МДС/МПЗ</w:t>
      </w:r>
      <w:r w:rsidR="008E65E6" w:rsidRPr="00FE6AC6">
        <w:rPr>
          <w:color w:val="000000"/>
          <w:szCs w:val="22"/>
          <w:lang w:val="bg-BG"/>
        </w:rPr>
        <w:t xml:space="preserve"> </w:t>
      </w:r>
      <w:r w:rsidR="00555FD9" w:rsidRPr="00FE6AC6">
        <w:rPr>
          <w:color w:val="000000"/>
          <w:szCs w:val="22"/>
          <w:lang w:val="bg-BG"/>
        </w:rPr>
        <w:t>пациента с</w:t>
      </w:r>
      <w:r w:rsidR="008E65E6" w:rsidRPr="00FE6AC6">
        <w:rPr>
          <w:color w:val="000000"/>
          <w:szCs w:val="22"/>
          <w:lang w:val="bg-BG"/>
        </w:rPr>
        <w:t xml:space="preserve"> </w:t>
      </w:r>
      <w:r w:rsidR="008E65E6" w:rsidRPr="00FE6AC6">
        <w:rPr>
          <w:color w:val="000000"/>
          <w:szCs w:val="22"/>
        </w:rPr>
        <w:t>PDGFR</w:t>
      </w:r>
      <w:r w:rsidR="008E65E6" w:rsidRPr="00FE6AC6">
        <w:rPr>
          <w:color w:val="000000"/>
          <w:szCs w:val="22"/>
          <w:lang w:val="bg-BG"/>
        </w:rPr>
        <w:t xml:space="preserve"> </w:t>
      </w:r>
      <w:r w:rsidR="00555FD9" w:rsidRPr="00FE6AC6">
        <w:rPr>
          <w:color w:val="000000"/>
          <w:szCs w:val="22"/>
          <w:lang w:val="bg-BG"/>
        </w:rPr>
        <w:t xml:space="preserve">генни </w:t>
      </w:r>
      <w:r w:rsidR="00933FF1" w:rsidRPr="00FE6AC6">
        <w:rPr>
          <w:color w:val="000000"/>
          <w:szCs w:val="22"/>
          <w:lang w:val="bg-BG"/>
        </w:rPr>
        <w:t>пренареждания</w:t>
      </w:r>
      <w:r w:rsidR="008E65E6" w:rsidRPr="00FE6AC6">
        <w:rPr>
          <w:color w:val="000000"/>
          <w:szCs w:val="22"/>
          <w:lang w:val="bg-BG"/>
        </w:rPr>
        <w:t xml:space="preserve"> (5</w:t>
      </w:r>
      <w:r w:rsidR="008E65E6" w:rsidRPr="00FE6AC6">
        <w:rPr>
          <w:color w:val="000000"/>
          <w:szCs w:val="22"/>
        </w:rPr>
        <w:t> </w:t>
      </w:r>
      <w:r w:rsidR="00555FD9" w:rsidRPr="00FE6AC6">
        <w:rPr>
          <w:color w:val="000000"/>
          <w:szCs w:val="22"/>
          <w:lang w:val="bg-BG"/>
        </w:rPr>
        <w:t>пациента от проучване</w:t>
      </w:r>
      <w:r w:rsidR="008E65E6" w:rsidRPr="00FE6AC6">
        <w:rPr>
          <w:color w:val="000000"/>
          <w:szCs w:val="22"/>
          <w:lang w:val="bg-BG"/>
        </w:rPr>
        <w:t xml:space="preserve"> </w:t>
      </w:r>
      <w:r w:rsidR="008E65E6" w:rsidRPr="00FE6AC6">
        <w:rPr>
          <w:color w:val="000000"/>
          <w:szCs w:val="22"/>
        </w:rPr>
        <w:t>B</w:t>
      </w:r>
      <w:r w:rsidR="008E65E6" w:rsidRPr="00FE6AC6">
        <w:rPr>
          <w:color w:val="000000"/>
          <w:szCs w:val="22"/>
          <w:lang w:val="bg-BG"/>
        </w:rPr>
        <w:t xml:space="preserve">2225). </w:t>
      </w:r>
      <w:r w:rsidR="00555FD9" w:rsidRPr="00FE6AC6">
        <w:rPr>
          <w:color w:val="000000"/>
          <w:szCs w:val="22"/>
          <w:lang w:val="bg-BG"/>
        </w:rPr>
        <w:t xml:space="preserve">Тези пациенти са приемали </w:t>
      </w:r>
      <w:r w:rsidR="008E65E6" w:rsidRPr="00FE6AC6">
        <w:rPr>
          <w:color w:val="000000"/>
          <w:szCs w:val="22"/>
        </w:rPr>
        <w:t>Glivec</w:t>
      </w:r>
      <w:r w:rsidR="008E65E6" w:rsidRPr="00FE6AC6">
        <w:rPr>
          <w:color w:val="000000"/>
          <w:szCs w:val="22"/>
          <w:lang w:val="bg-BG"/>
        </w:rPr>
        <w:t xml:space="preserve"> </w:t>
      </w:r>
      <w:r w:rsidR="00555FD9" w:rsidRPr="00FE6AC6">
        <w:rPr>
          <w:color w:val="000000"/>
          <w:szCs w:val="22"/>
          <w:lang w:val="bg-BG"/>
        </w:rPr>
        <w:t>за</w:t>
      </w:r>
      <w:r w:rsidR="008E65E6" w:rsidRPr="00FE6AC6">
        <w:rPr>
          <w:color w:val="000000"/>
          <w:szCs w:val="22"/>
          <w:lang w:val="bg-BG"/>
        </w:rPr>
        <w:t xml:space="preserve"> </w:t>
      </w:r>
      <w:r w:rsidR="00EC121B" w:rsidRPr="00FE6AC6">
        <w:rPr>
          <w:color w:val="000000"/>
          <w:szCs w:val="22"/>
          <w:lang w:val="bg-BG"/>
        </w:rPr>
        <w:t xml:space="preserve">медиана на време от </w:t>
      </w:r>
      <w:r w:rsidR="008E65E6" w:rsidRPr="00FE6AC6">
        <w:rPr>
          <w:color w:val="000000"/>
          <w:szCs w:val="22"/>
          <w:lang w:val="bg-BG"/>
        </w:rPr>
        <w:t>47</w:t>
      </w:r>
      <w:r w:rsidR="008E65E6" w:rsidRPr="00FE6AC6">
        <w:rPr>
          <w:color w:val="000000"/>
          <w:szCs w:val="22"/>
        </w:rPr>
        <w:t> </w:t>
      </w:r>
      <w:r w:rsidR="00555FD9" w:rsidRPr="00FE6AC6">
        <w:rPr>
          <w:color w:val="000000"/>
          <w:szCs w:val="22"/>
          <w:lang w:val="bg-BG"/>
        </w:rPr>
        <w:t>месеца</w:t>
      </w:r>
      <w:r w:rsidR="008E65E6" w:rsidRPr="00FE6AC6">
        <w:rPr>
          <w:color w:val="000000"/>
          <w:szCs w:val="22"/>
          <w:lang w:val="bg-BG"/>
        </w:rPr>
        <w:t xml:space="preserve"> (</w:t>
      </w:r>
      <w:r w:rsidR="00555FD9" w:rsidRPr="00FE6AC6">
        <w:rPr>
          <w:color w:val="000000"/>
          <w:szCs w:val="22"/>
          <w:lang w:val="bg-BG"/>
        </w:rPr>
        <w:t>от</w:t>
      </w:r>
      <w:r w:rsidR="008E65E6" w:rsidRPr="00FE6AC6">
        <w:rPr>
          <w:color w:val="000000"/>
          <w:szCs w:val="22"/>
          <w:lang w:val="bg-BG"/>
        </w:rPr>
        <w:t xml:space="preserve"> 24</w:t>
      </w:r>
      <w:r w:rsidR="008E65E6" w:rsidRPr="00FE6AC6">
        <w:rPr>
          <w:color w:val="000000"/>
          <w:szCs w:val="22"/>
        </w:rPr>
        <w:t> </w:t>
      </w:r>
      <w:r w:rsidR="00555FD9" w:rsidRPr="00FE6AC6">
        <w:rPr>
          <w:color w:val="000000"/>
          <w:szCs w:val="22"/>
          <w:lang w:val="bg-BG"/>
        </w:rPr>
        <w:t>дни</w:t>
      </w:r>
      <w:r w:rsidR="008E65E6" w:rsidRPr="00FE6AC6">
        <w:rPr>
          <w:color w:val="000000"/>
          <w:szCs w:val="22"/>
          <w:lang w:val="bg-BG"/>
        </w:rPr>
        <w:t xml:space="preserve"> – 60</w:t>
      </w:r>
      <w:r w:rsidR="008E65E6" w:rsidRPr="00FE6AC6">
        <w:rPr>
          <w:color w:val="000000"/>
          <w:szCs w:val="22"/>
        </w:rPr>
        <w:t> </w:t>
      </w:r>
      <w:r w:rsidR="00555FD9" w:rsidRPr="00FE6AC6">
        <w:rPr>
          <w:color w:val="000000"/>
          <w:szCs w:val="22"/>
          <w:lang w:val="bg-BG"/>
        </w:rPr>
        <w:t>месеца</w:t>
      </w:r>
      <w:r w:rsidR="008E65E6" w:rsidRPr="00FE6AC6">
        <w:rPr>
          <w:color w:val="000000"/>
          <w:szCs w:val="22"/>
          <w:lang w:val="bg-BG"/>
        </w:rPr>
        <w:t xml:space="preserve">). </w:t>
      </w:r>
      <w:r w:rsidR="00555FD9" w:rsidRPr="00FE6AC6">
        <w:rPr>
          <w:color w:val="000000"/>
          <w:szCs w:val="22"/>
          <w:lang w:val="bg-BG"/>
        </w:rPr>
        <w:t xml:space="preserve">При 6 от тези пациенти проследяването към момента надвишава </w:t>
      </w:r>
      <w:r w:rsidR="008E65E6" w:rsidRPr="00FE6AC6">
        <w:rPr>
          <w:color w:val="000000"/>
          <w:szCs w:val="22"/>
          <w:lang w:val="bg-BG"/>
        </w:rPr>
        <w:t>4</w:t>
      </w:r>
      <w:r w:rsidR="008E65E6" w:rsidRPr="00FE6AC6">
        <w:rPr>
          <w:color w:val="000000"/>
          <w:szCs w:val="22"/>
        </w:rPr>
        <w:t> </w:t>
      </w:r>
      <w:r w:rsidR="00555FD9" w:rsidRPr="00FE6AC6">
        <w:rPr>
          <w:color w:val="000000"/>
          <w:szCs w:val="22"/>
          <w:lang w:val="bg-BG"/>
        </w:rPr>
        <w:t>години</w:t>
      </w:r>
      <w:r w:rsidR="008E65E6" w:rsidRPr="00FE6AC6">
        <w:rPr>
          <w:color w:val="000000"/>
          <w:szCs w:val="22"/>
          <w:lang w:val="bg-BG"/>
        </w:rPr>
        <w:t xml:space="preserve">. </w:t>
      </w:r>
      <w:r w:rsidR="00555FD9" w:rsidRPr="00FE6AC6">
        <w:rPr>
          <w:color w:val="000000"/>
          <w:szCs w:val="22"/>
          <w:lang w:val="bg-BG"/>
        </w:rPr>
        <w:t>Единадесет пациента са достигнали бърз</w:t>
      </w:r>
      <w:r w:rsidR="008E65E6" w:rsidRPr="00FE6AC6">
        <w:rPr>
          <w:color w:val="000000"/>
          <w:szCs w:val="22"/>
          <w:lang w:val="bg-BG"/>
        </w:rPr>
        <w:t xml:space="preserve"> </w:t>
      </w:r>
      <w:r w:rsidR="008E65E6" w:rsidRPr="00FE6AC6">
        <w:rPr>
          <w:color w:val="000000"/>
          <w:szCs w:val="22"/>
        </w:rPr>
        <w:t>CHR</w:t>
      </w:r>
      <w:r w:rsidR="008E65E6" w:rsidRPr="00FE6AC6">
        <w:rPr>
          <w:color w:val="000000"/>
          <w:szCs w:val="22"/>
          <w:lang w:val="bg-BG"/>
        </w:rPr>
        <w:t xml:space="preserve">; </w:t>
      </w:r>
      <w:r w:rsidR="00CF44F4" w:rsidRPr="00FE6AC6">
        <w:rPr>
          <w:color w:val="000000"/>
          <w:szCs w:val="22"/>
          <w:lang w:val="bg-BG"/>
        </w:rPr>
        <w:t xml:space="preserve">при десет се наблюдава пълно отзвучаване на цитогенетичните аномалии и намаляване или изчезване на измерените с </w:t>
      </w:r>
      <w:r w:rsidR="00CF44F4" w:rsidRPr="00FE6AC6">
        <w:rPr>
          <w:color w:val="000000"/>
          <w:szCs w:val="22"/>
        </w:rPr>
        <w:t>RT</w:t>
      </w:r>
      <w:r w:rsidR="00CF44F4" w:rsidRPr="00FE6AC6">
        <w:rPr>
          <w:color w:val="000000"/>
          <w:szCs w:val="22"/>
          <w:lang w:val="bg-BG"/>
        </w:rPr>
        <w:t>-</w:t>
      </w:r>
      <w:r w:rsidR="00CF44F4" w:rsidRPr="00FE6AC6">
        <w:rPr>
          <w:color w:val="000000"/>
          <w:szCs w:val="22"/>
        </w:rPr>
        <w:t>PCR</w:t>
      </w:r>
      <w:r w:rsidR="00CF44F4" w:rsidRPr="00FE6AC6">
        <w:rPr>
          <w:color w:val="000000"/>
          <w:szCs w:val="22"/>
          <w:lang w:val="bg-BG"/>
        </w:rPr>
        <w:t xml:space="preserve"> фузионни </w:t>
      </w:r>
      <w:r w:rsidR="00EC121B" w:rsidRPr="00FE6AC6">
        <w:rPr>
          <w:color w:val="000000"/>
          <w:szCs w:val="22"/>
          <w:lang w:val="bg-BG"/>
        </w:rPr>
        <w:t>транскрипти</w:t>
      </w:r>
      <w:r w:rsidR="008E65E6" w:rsidRPr="00FE6AC6">
        <w:rPr>
          <w:color w:val="000000"/>
          <w:szCs w:val="22"/>
          <w:lang w:val="bg-BG"/>
        </w:rPr>
        <w:t xml:space="preserve">. </w:t>
      </w:r>
      <w:r w:rsidR="00CF44F4" w:rsidRPr="00FE6AC6">
        <w:rPr>
          <w:color w:val="000000"/>
          <w:szCs w:val="22"/>
          <w:lang w:val="bg-BG"/>
        </w:rPr>
        <w:t xml:space="preserve">Хематологичния и цитогенетичен отговор са били поддържани </w:t>
      </w:r>
      <w:r w:rsidR="00EC121B" w:rsidRPr="00FE6AC6">
        <w:rPr>
          <w:color w:val="000000"/>
          <w:szCs w:val="22"/>
          <w:lang w:val="bg-BG"/>
        </w:rPr>
        <w:t xml:space="preserve">за медиана на време от </w:t>
      </w:r>
      <w:r w:rsidR="008E65E6" w:rsidRPr="00FE6AC6">
        <w:rPr>
          <w:color w:val="000000"/>
          <w:szCs w:val="22"/>
          <w:lang w:val="bg-BG"/>
        </w:rPr>
        <w:t>49</w:t>
      </w:r>
      <w:r w:rsidR="008E65E6" w:rsidRPr="00FE6AC6">
        <w:rPr>
          <w:color w:val="000000"/>
          <w:szCs w:val="22"/>
        </w:rPr>
        <w:t> </w:t>
      </w:r>
      <w:r w:rsidR="00CF44F4" w:rsidRPr="00FE6AC6">
        <w:rPr>
          <w:color w:val="000000"/>
          <w:szCs w:val="22"/>
          <w:lang w:val="bg-BG"/>
        </w:rPr>
        <w:t>месеца</w:t>
      </w:r>
      <w:r w:rsidR="008E65E6" w:rsidRPr="00FE6AC6">
        <w:rPr>
          <w:color w:val="000000"/>
          <w:szCs w:val="22"/>
          <w:lang w:val="bg-BG"/>
        </w:rPr>
        <w:t xml:space="preserve"> (</w:t>
      </w:r>
      <w:r w:rsidR="00CF44F4" w:rsidRPr="00FE6AC6">
        <w:rPr>
          <w:color w:val="000000"/>
          <w:szCs w:val="22"/>
          <w:lang w:val="bg-BG"/>
        </w:rPr>
        <w:t>варират</w:t>
      </w:r>
      <w:r w:rsidR="008E65E6" w:rsidRPr="00FE6AC6">
        <w:rPr>
          <w:color w:val="000000"/>
          <w:szCs w:val="22"/>
          <w:lang w:val="bg-BG"/>
        </w:rPr>
        <w:t xml:space="preserve"> 19</w:t>
      </w:r>
      <w:r w:rsidR="008E65E6" w:rsidRPr="00FE6AC6">
        <w:rPr>
          <w:color w:val="000000"/>
          <w:szCs w:val="22"/>
          <w:lang w:val="bg-BG"/>
        </w:rPr>
        <w:noBreakHyphen/>
        <w:t xml:space="preserve">60) </w:t>
      </w:r>
      <w:r w:rsidR="006D5353" w:rsidRPr="00FE6AC6">
        <w:rPr>
          <w:color w:val="000000"/>
          <w:szCs w:val="22"/>
          <w:lang w:val="bg-BG"/>
        </w:rPr>
        <w:t>и</w:t>
      </w:r>
      <w:r w:rsidR="008E65E6" w:rsidRPr="00FE6AC6">
        <w:rPr>
          <w:color w:val="000000"/>
          <w:szCs w:val="22"/>
          <w:lang w:val="bg-BG"/>
        </w:rPr>
        <w:t xml:space="preserve"> 47</w:t>
      </w:r>
      <w:r w:rsidR="008E65E6" w:rsidRPr="00FE6AC6">
        <w:rPr>
          <w:color w:val="000000"/>
          <w:szCs w:val="22"/>
        </w:rPr>
        <w:t> </w:t>
      </w:r>
      <w:r w:rsidR="00CF44F4" w:rsidRPr="00FE6AC6">
        <w:rPr>
          <w:color w:val="000000"/>
          <w:szCs w:val="22"/>
          <w:lang w:val="bg-BG"/>
        </w:rPr>
        <w:t>месеца</w:t>
      </w:r>
      <w:r w:rsidR="008E65E6" w:rsidRPr="00FE6AC6">
        <w:rPr>
          <w:color w:val="000000"/>
          <w:szCs w:val="22"/>
          <w:lang w:val="bg-BG"/>
        </w:rPr>
        <w:t xml:space="preserve"> (</w:t>
      </w:r>
      <w:r w:rsidR="00CF44F4" w:rsidRPr="00FE6AC6">
        <w:rPr>
          <w:color w:val="000000"/>
          <w:szCs w:val="22"/>
          <w:lang w:val="bg-BG"/>
        </w:rPr>
        <w:t>варират</w:t>
      </w:r>
      <w:r w:rsidR="008E65E6" w:rsidRPr="00FE6AC6">
        <w:rPr>
          <w:color w:val="000000"/>
          <w:szCs w:val="22"/>
          <w:lang w:val="bg-BG"/>
        </w:rPr>
        <w:t xml:space="preserve"> 16</w:t>
      </w:r>
      <w:r w:rsidR="008E65E6" w:rsidRPr="00FE6AC6">
        <w:rPr>
          <w:color w:val="000000"/>
          <w:szCs w:val="22"/>
          <w:lang w:val="bg-BG"/>
        </w:rPr>
        <w:noBreakHyphen/>
        <w:t xml:space="preserve">59), </w:t>
      </w:r>
      <w:r w:rsidR="00CF44F4" w:rsidRPr="00FE6AC6">
        <w:rPr>
          <w:color w:val="000000"/>
          <w:szCs w:val="22"/>
          <w:lang w:val="bg-BG"/>
        </w:rPr>
        <w:t>съответно</w:t>
      </w:r>
      <w:r w:rsidR="008E65E6" w:rsidRPr="00FE6AC6">
        <w:rPr>
          <w:color w:val="000000"/>
          <w:szCs w:val="22"/>
          <w:lang w:val="bg-BG"/>
        </w:rPr>
        <w:t xml:space="preserve">. </w:t>
      </w:r>
      <w:r w:rsidR="00CF44F4" w:rsidRPr="00FE6AC6">
        <w:rPr>
          <w:color w:val="000000"/>
          <w:szCs w:val="22"/>
          <w:lang w:val="bg-BG"/>
        </w:rPr>
        <w:t xml:space="preserve">Общата преживяемост е </w:t>
      </w:r>
      <w:r w:rsidR="008E65E6" w:rsidRPr="00FE6AC6">
        <w:rPr>
          <w:color w:val="000000"/>
          <w:szCs w:val="22"/>
          <w:lang w:val="bg-BG"/>
        </w:rPr>
        <w:t>65</w:t>
      </w:r>
      <w:r w:rsidR="008E65E6" w:rsidRPr="00FE6AC6">
        <w:rPr>
          <w:color w:val="000000"/>
          <w:szCs w:val="22"/>
        </w:rPr>
        <w:t> </w:t>
      </w:r>
      <w:r w:rsidR="00CF44F4" w:rsidRPr="00FE6AC6">
        <w:rPr>
          <w:color w:val="000000"/>
          <w:szCs w:val="22"/>
          <w:lang w:val="bg-BG"/>
        </w:rPr>
        <w:t>месеца от диагностицирането</w:t>
      </w:r>
      <w:r w:rsidR="008E65E6" w:rsidRPr="00FE6AC6">
        <w:rPr>
          <w:color w:val="000000"/>
          <w:szCs w:val="22"/>
          <w:lang w:val="bg-BG"/>
        </w:rPr>
        <w:t xml:space="preserve"> (</w:t>
      </w:r>
      <w:r w:rsidR="00CF44F4" w:rsidRPr="00FE6AC6">
        <w:rPr>
          <w:color w:val="000000"/>
          <w:szCs w:val="22"/>
          <w:lang w:val="bg-BG"/>
        </w:rPr>
        <w:t>варира</w:t>
      </w:r>
      <w:r w:rsidR="008E65E6" w:rsidRPr="00FE6AC6">
        <w:rPr>
          <w:color w:val="000000"/>
          <w:szCs w:val="22"/>
          <w:lang w:val="bg-BG"/>
        </w:rPr>
        <w:t xml:space="preserve"> 25</w:t>
      </w:r>
      <w:r w:rsidR="008E65E6" w:rsidRPr="00FE6AC6">
        <w:rPr>
          <w:color w:val="000000"/>
          <w:szCs w:val="22"/>
          <w:lang w:val="bg-BG"/>
        </w:rPr>
        <w:noBreakHyphen/>
        <w:t xml:space="preserve">234). </w:t>
      </w:r>
      <w:r w:rsidR="00CF44F4" w:rsidRPr="00FE6AC6">
        <w:rPr>
          <w:color w:val="000000"/>
          <w:szCs w:val="22"/>
          <w:lang w:val="bg-BG"/>
        </w:rPr>
        <w:t xml:space="preserve">Прилагането на </w:t>
      </w:r>
      <w:r w:rsidR="008E65E6" w:rsidRPr="00FE6AC6">
        <w:rPr>
          <w:color w:val="000000"/>
          <w:szCs w:val="22"/>
        </w:rPr>
        <w:t>Glivec</w:t>
      </w:r>
      <w:r w:rsidR="008E65E6" w:rsidRPr="00FE6AC6">
        <w:rPr>
          <w:color w:val="000000"/>
          <w:szCs w:val="22"/>
          <w:lang w:val="bg-BG"/>
        </w:rPr>
        <w:t xml:space="preserve"> </w:t>
      </w:r>
      <w:r w:rsidR="00EC121B" w:rsidRPr="00FE6AC6">
        <w:rPr>
          <w:color w:val="000000"/>
          <w:szCs w:val="22"/>
          <w:lang w:val="bg-BG"/>
        </w:rPr>
        <w:t xml:space="preserve">при пациенти </w:t>
      </w:r>
      <w:r w:rsidR="00CF44F4" w:rsidRPr="00FE6AC6">
        <w:rPr>
          <w:color w:val="000000"/>
          <w:szCs w:val="22"/>
          <w:lang w:val="bg-BG"/>
        </w:rPr>
        <w:t>без генетична</w:t>
      </w:r>
      <w:r w:rsidR="00EC121B" w:rsidRPr="00FE6AC6">
        <w:rPr>
          <w:color w:val="000000"/>
          <w:szCs w:val="22"/>
          <w:lang w:val="bg-BG"/>
        </w:rPr>
        <w:t>та</w:t>
      </w:r>
      <w:r w:rsidR="00CF44F4" w:rsidRPr="00FE6AC6">
        <w:rPr>
          <w:color w:val="000000"/>
          <w:szCs w:val="22"/>
          <w:lang w:val="bg-BG"/>
        </w:rPr>
        <w:t xml:space="preserve"> транслокация</w:t>
      </w:r>
      <w:r w:rsidR="008E65E6" w:rsidRPr="00FE6AC6">
        <w:rPr>
          <w:color w:val="000000"/>
          <w:szCs w:val="22"/>
          <w:lang w:val="bg-BG"/>
        </w:rPr>
        <w:t xml:space="preserve"> </w:t>
      </w:r>
      <w:r w:rsidR="00CF44F4" w:rsidRPr="00FE6AC6">
        <w:rPr>
          <w:color w:val="000000"/>
          <w:szCs w:val="22"/>
          <w:lang w:val="bg-BG"/>
        </w:rPr>
        <w:t>като цяло не води до подобрение</w:t>
      </w:r>
      <w:r w:rsidR="008E65E6" w:rsidRPr="00FE6AC6">
        <w:rPr>
          <w:color w:val="000000"/>
          <w:szCs w:val="22"/>
          <w:lang w:val="bg-BG"/>
        </w:rPr>
        <w:t>.</w:t>
      </w:r>
    </w:p>
    <w:p w14:paraId="3E54FF1C" w14:textId="77777777" w:rsidR="00145A0D" w:rsidRPr="00FE6AC6" w:rsidRDefault="00145A0D" w:rsidP="0063575E">
      <w:pPr>
        <w:pStyle w:val="EndnoteText"/>
        <w:widowControl w:val="0"/>
        <w:tabs>
          <w:tab w:val="clear" w:pos="567"/>
        </w:tabs>
        <w:rPr>
          <w:color w:val="000000"/>
          <w:szCs w:val="22"/>
          <w:lang w:val="bg-BG"/>
        </w:rPr>
      </w:pPr>
    </w:p>
    <w:p w14:paraId="3E54FF1D" w14:textId="77777777" w:rsidR="00145A0D" w:rsidRPr="00FE6AC6" w:rsidRDefault="00145A0D" w:rsidP="0063575E">
      <w:pPr>
        <w:pStyle w:val="EndnoteText"/>
        <w:widowControl w:val="0"/>
        <w:tabs>
          <w:tab w:val="clear" w:pos="567"/>
        </w:tabs>
        <w:rPr>
          <w:color w:val="000000"/>
          <w:szCs w:val="22"/>
          <w:lang w:val="bg-BG"/>
        </w:rPr>
      </w:pPr>
      <w:r w:rsidRPr="00FE6AC6">
        <w:rPr>
          <w:color w:val="000000"/>
          <w:szCs w:val="22"/>
          <w:lang w:val="bg-BG"/>
        </w:rPr>
        <w:t xml:space="preserve">Няма контролирани изпитвания при </w:t>
      </w:r>
      <w:r w:rsidR="00F80470" w:rsidRPr="00FE6AC6">
        <w:rPr>
          <w:color w:val="000000"/>
          <w:szCs w:val="22"/>
          <w:lang w:val="bg-BG"/>
        </w:rPr>
        <w:t xml:space="preserve">педиатрични </w:t>
      </w:r>
      <w:r w:rsidRPr="00FE6AC6">
        <w:rPr>
          <w:color w:val="000000"/>
          <w:szCs w:val="22"/>
          <w:lang w:val="bg-BG"/>
        </w:rPr>
        <w:t>пациенти с МДС/МПЗ. В 4 публикации се съобщава за 5 пациенти с МДС/МПЗ</w:t>
      </w:r>
      <w:r w:rsidR="009A1D7E" w:rsidRPr="00FE6AC6">
        <w:rPr>
          <w:color w:val="000000"/>
          <w:szCs w:val="22"/>
          <w:lang w:val="bg-BG"/>
        </w:rPr>
        <w:t>,</w:t>
      </w:r>
      <w:r w:rsidRPr="00FE6AC6">
        <w:rPr>
          <w:color w:val="000000"/>
          <w:szCs w:val="22"/>
          <w:lang w:val="bg-BG"/>
        </w:rPr>
        <w:t xml:space="preserve"> свързан</w:t>
      </w:r>
      <w:r w:rsidR="006B5421" w:rsidRPr="00FE6AC6">
        <w:rPr>
          <w:color w:val="000000"/>
          <w:szCs w:val="22"/>
          <w:lang w:val="bg-BG"/>
        </w:rPr>
        <w:t>и</w:t>
      </w:r>
      <w:r w:rsidRPr="00FE6AC6">
        <w:rPr>
          <w:color w:val="000000"/>
          <w:szCs w:val="22"/>
          <w:lang w:val="bg-BG"/>
        </w:rPr>
        <w:t xml:space="preserve"> с </w:t>
      </w:r>
      <w:r w:rsidRPr="00FE6AC6">
        <w:rPr>
          <w:color w:val="000000"/>
          <w:szCs w:val="22"/>
        </w:rPr>
        <w:t>PDGFR</w:t>
      </w:r>
      <w:r w:rsidRPr="00FE6AC6">
        <w:rPr>
          <w:color w:val="000000"/>
          <w:szCs w:val="22"/>
          <w:lang w:val="bg-BG"/>
        </w:rPr>
        <w:t xml:space="preserve"> генни </w:t>
      </w:r>
      <w:r w:rsidR="004663A8" w:rsidRPr="00FE6AC6">
        <w:rPr>
          <w:color w:val="000000"/>
          <w:szCs w:val="22"/>
          <w:lang w:val="bg-BG"/>
        </w:rPr>
        <w:t>пренареждания</w:t>
      </w:r>
      <w:r w:rsidRPr="00FE6AC6">
        <w:rPr>
          <w:color w:val="000000"/>
          <w:szCs w:val="22"/>
          <w:lang w:val="bg-BG"/>
        </w:rPr>
        <w:t xml:space="preserve">. Възрастта на тези пациенти варира от 3 месеца до 4 години, а иматиниб е прилаган в </w:t>
      </w:r>
      <w:r w:rsidR="009E5A86" w:rsidRPr="00FE6AC6">
        <w:rPr>
          <w:color w:val="000000"/>
          <w:szCs w:val="22"/>
          <w:lang w:val="bg-BG"/>
        </w:rPr>
        <w:t>доза от 50</w:t>
      </w:r>
      <w:r w:rsidR="009E5A86" w:rsidRPr="00FE6AC6">
        <w:rPr>
          <w:color w:val="000000"/>
          <w:szCs w:val="22"/>
          <w:lang w:val="en-US"/>
        </w:rPr>
        <w:t> mg</w:t>
      </w:r>
      <w:r w:rsidR="009E5A86" w:rsidRPr="00FE6AC6">
        <w:rPr>
          <w:color w:val="000000"/>
          <w:szCs w:val="22"/>
          <w:lang w:val="bg-BG"/>
        </w:rPr>
        <w:t xml:space="preserve"> дневно или в </w:t>
      </w:r>
      <w:r w:rsidRPr="00FE6AC6">
        <w:rPr>
          <w:color w:val="000000"/>
          <w:szCs w:val="22"/>
          <w:lang w:val="bg-BG"/>
        </w:rPr>
        <w:t>дози в интервала от 92,5 до 340</w:t>
      </w:r>
      <w:r w:rsidRPr="00FE6AC6">
        <w:rPr>
          <w:color w:val="000000"/>
          <w:szCs w:val="22"/>
        </w:rPr>
        <w:t> mg</w:t>
      </w:r>
      <w:r w:rsidRPr="00FE6AC6">
        <w:rPr>
          <w:color w:val="000000"/>
          <w:szCs w:val="22"/>
          <w:lang w:val="bg-BG"/>
        </w:rPr>
        <w:t>/</w:t>
      </w:r>
      <w:r w:rsidRPr="00FE6AC6">
        <w:rPr>
          <w:color w:val="000000"/>
          <w:szCs w:val="22"/>
        </w:rPr>
        <w:t>m</w:t>
      </w:r>
      <w:r w:rsidRPr="00FE6AC6">
        <w:rPr>
          <w:color w:val="000000"/>
          <w:szCs w:val="22"/>
          <w:vertAlign w:val="superscript"/>
          <w:lang w:val="bg-BG"/>
        </w:rPr>
        <w:t>2</w:t>
      </w:r>
      <w:r w:rsidRPr="00FE6AC6">
        <w:rPr>
          <w:color w:val="000000"/>
          <w:szCs w:val="22"/>
          <w:lang w:val="bg-BG"/>
        </w:rPr>
        <w:t xml:space="preserve"> дневно. При всички пациенти е постигнат пълен хематологичен, цитогенетичен и/или клиничен отговор.</w:t>
      </w:r>
    </w:p>
    <w:p w14:paraId="3E54FF1E" w14:textId="77777777" w:rsidR="008E65E6" w:rsidRPr="00FE6AC6" w:rsidRDefault="008E65E6" w:rsidP="0063575E">
      <w:pPr>
        <w:pStyle w:val="EndnoteText"/>
        <w:widowControl w:val="0"/>
        <w:tabs>
          <w:tab w:val="clear" w:pos="567"/>
        </w:tabs>
        <w:rPr>
          <w:color w:val="000000"/>
          <w:szCs w:val="22"/>
          <w:lang w:val="bg-BG"/>
        </w:rPr>
      </w:pPr>
    </w:p>
    <w:p w14:paraId="3E54FF1F" w14:textId="77777777" w:rsidR="008E65E6" w:rsidRPr="00FE6AC6" w:rsidRDefault="00CF44F4" w:rsidP="0063575E">
      <w:pPr>
        <w:pStyle w:val="EndnoteText"/>
        <w:keepNext/>
        <w:widowControl w:val="0"/>
        <w:tabs>
          <w:tab w:val="clear" w:pos="567"/>
        </w:tabs>
        <w:rPr>
          <w:color w:val="000000"/>
          <w:szCs w:val="22"/>
          <w:u w:val="single"/>
          <w:lang w:val="bg-BG"/>
        </w:rPr>
      </w:pPr>
      <w:r w:rsidRPr="00FE6AC6">
        <w:rPr>
          <w:color w:val="000000"/>
          <w:szCs w:val="22"/>
          <w:u w:val="single"/>
          <w:lang w:val="bg-BG"/>
        </w:rPr>
        <w:t>Клинични проу</w:t>
      </w:r>
      <w:r w:rsidR="001F5FA0" w:rsidRPr="00FE6AC6">
        <w:rPr>
          <w:color w:val="000000"/>
          <w:szCs w:val="22"/>
          <w:u w:val="single"/>
          <w:lang w:val="bg-BG"/>
        </w:rPr>
        <w:t>ч</w:t>
      </w:r>
      <w:r w:rsidRPr="00FE6AC6">
        <w:rPr>
          <w:color w:val="000000"/>
          <w:szCs w:val="22"/>
          <w:u w:val="single"/>
          <w:lang w:val="bg-BG"/>
        </w:rPr>
        <w:t xml:space="preserve">вания при </w:t>
      </w:r>
      <w:r w:rsidR="000E16D3" w:rsidRPr="00FE6AC6">
        <w:rPr>
          <w:color w:val="000000"/>
          <w:szCs w:val="22"/>
          <w:u w:val="single"/>
          <w:lang w:val="bg-BG"/>
        </w:rPr>
        <w:t>ХЕС/ХЕЛ</w:t>
      </w:r>
    </w:p>
    <w:p w14:paraId="3E54FF20" w14:textId="77777777" w:rsidR="008E65E6" w:rsidRPr="00FE6AC6" w:rsidRDefault="00CF44F4" w:rsidP="0063575E">
      <w:pPr>
        <w:pStyle w:val="Text"/>
        <w:widowControl w:val="0"/>
        <w:spacing w:before="0"/>
        <w:jc w:val="left"/>
        <w:rPr>
          <w:color w:val="000000"/>
          <w:sz w:val="22"/>
          <w:szCs w:val="22"/>
          <w:lang w:val="bg-BG"/>
        </w:rPr>
      </w:pPr>
      <w:r w:rsidRPr="00FE6AC6">
        <w:rPr>
          <w:color w:val="000000"/>
          <w:sz w:val="22"/>
          <w:szCs w:val="22"/>
          <w:lang w:val="bg-BG" w:eastAsia="ja-JP"/>
        </w:rPr>
        <w:t>Отворено, мултицентрово, фаза</w:t>
      </w:r>
      <w:r w:rsidR="008E65E6" w:rsidRPr="00FE6AC6">
        <w:rPr>
          <w:color w:val="000000"/>
          <w:sz w:val="22"/>
          <w:szCs w:val="22"/>
          <w:lang w:val="bg-BG" w:eastAsia="ja-JP"/>
        </w:rPr>
        <w:t xml:space="preserve"> </w:t>
      </w:r>
      <w:r w:rsidR="008E65E6" w:rsidRPr="00FE6AC6">
        <w:rPr>
          <w:color w:val="000000"/>
          <w:sz w:val="22"/>
          <w:szCs w:val="22"/>
          <w:lang w:val="en-GB" w:eastAsia="ja-JP"/>
        </w:rPr>
        <w:t>II</w:t>
      </w:r>
      <w:r w:rsidR="008E65E6" w:rsidRPr="00FE6AC6">
        <w:rPr>
          <w:color w:val="000000"/>
          <w:sz w:val="22"/>
          <w:szCs w:val="22"/>
          <w:lang w:val="bg-BG" w:eastAsia="ja-JP"/>
        </w:rPr>
        <w:t xml:space="preserve"> </w:t>
      </w:r>
      <w:r w:rsidRPr="00FE6AC6">
        <w:rPr>
          <w:color w:val="000000"/>
          <w:sz w:val="22"/>
          <w:szCs w:val="22"/>
          <w:lang w:val="bg-BG" w:eastAsia="ja-JP"/>
        </w:rPr>
        <w:t>клинично проучване</w:t>
      </w:r>
      <w:r w:rsidR="008E65E6" w:rsidRPr="00FE6AC6">
        <w:rPr>
          <w:color w:val="000000"/>
          <w:sz w:val="22"/>
          <w:szCs w:val="22"/>
          <w:lang w:val="bg-BG" w:eastAsia="ja-JP"/>
        </w:rPr>
        <w:t xml:space="preserve"> (</w:t>
      </w:r>
      <w:r w:rsidRPr="00FE6AC6">
        <w:rPr>
          <w:color w:val="000000"/>
          <w:sz w:val="22"/>
          <w:szCs w:val="22"/>
          <w:lang w:val="bg-BG" w:eastAsia="ja-JP"/>
        </w:rPr>
        <w:t>проучване</w:t>
      </w:r>
      <w:r w:rsidR="008E65E6" w:rsidRPr="00FE6AC6">
        <w:rPr>
          <w:color w:val="000000"/>
          <w:sz w:val="22"/>
          <w:szCs w:val="22"/>
          <w:lang w:val="bg-BG" w:eastAsia="ja-JP"/>
        </w:rPr>
        <w:t xml:space="preserve"> </w:t>
      </w:r>
      <w:r w:rsidR="008E65E6" w:rsidRPr="00FE6AC6">
        <w:rPr>
          <w:color w:val="000000"/>
          <w:sz w:val="22"/>
          <w:szCs w:val="22"/>
          <w:lang w:val="en-GB" w:eastAsia="ja-JP"/>
        </w:rPr>
        <w:t>B</w:t>
      </w:r>
      <w:r w:rsidR="008E65E6" w:rsidRPr="00FE6AC6">
        <w:rPr>
          <w:color w:val="000000"/>
          <w:sz w:val="22"/>
          <w:szCs w:val="22"/>
          <w:lang w:val="bg-BG" w:eastAsia="ja-JP"/>
        </w:rPr>
        <w:t xml:space="preserve">2225) </w:t>
      </w:r>
      <w:r w:rsidRPr="00FE6AC6">
        <w:rPr>
          <w:color w:val="000000"/>
          <w:sz w:val="22"/>
          <w:szCs w:val="22"/>
          <w:lang w:val="bg-BG" w:eastAsia="ja-JP"/>
        </w:rPr>
        <w:t xml:space="preserve">е било проведено за </w:t>
      </w:r>
      <w:r w:rsidR="00975696" w:rsidRPr="00FE6AC6">
        <w:rPr>
          <w:color w:val="000000"/>
          <w:sz w:val="22"/>
          <w:szCs w:val="22"/>
          <w:lang w:val="bg-BG" w:eastAsia="ja-JP"/>
        </w:rPr>
        <w:t>и</w:t>
      </w:r>
      <w:r w:rsidRPr="00FE6AC6">
        <w:rPr>
          <w:color w:val="000000"/>
          <w:sz w:val="22"/>
          <w:szCs w:val="22"/>
          <w:lang w:val="bg-BG" w:eastAsia="ja-JP"/>
        </w:rPr>
        <w:t xml:space="preserve">зпитване на </w:t>
      </w:r>
      <w:r w:rsidR="008E65E6" w:rsidRPr="00FE6AC6">
        <w:rPr>
          <w:color w:val="000000"/>
          <w:sz w:val="22"/>
          <w:szCs w:val="22"/>
          <w:lang w:val="en-GB" w:eastAsia="ja-JP"/>
        </w:rPr>
        <w:t>Glivec</w:t>
      </w:r>
      <w:r w:rsidR="008E65E6" w:rsidRPr="00FE6AC6">
        <w:rPr>
          <w:color w:val="000000"/>
          <w:sz w:val="22"/>
          <w:szCs w:val="22"/>
          <w:lang w:val="bg-BG" w:eastAsia="ja-JP"/>
        </w:rPr>
        <w:t xml:space="preserve"> </w:t>
      </w:r>
      <w:r w:rsidRPr="00FE6AC6">
        <w:rPr>
          <w:color w:val="000000"/>
          <w:sz w:val="22"/>
          <w:szCs w:val="22"/>
          <w:lang w:val="bg-BG" w:eastAsia="ja-JP"/>
        </w:rPr>
        <w:t xml:space="preserve">при различни популации пациенти, страдащи от животозастрашаващи заболявания </w:t>
      </w:r>
      <w:r w:rsidR="00D1362A" w:rsidRPr="00FE6AC6">
        <w:rPr>
          <w:color w:val="000000"/>
          <w:sz w:val="22"/>
          <w:szCs w:val="22"/>
          <w:lang w:val="bg-BG" w:eastAsia="ja-JP"/>
        </w:rPr>
        <w:t>свързани с</w:t>
      </w:r>
      <w:r w:rsidR="008E65E6" w:rsidRPr="00FE6AC6">
        <w:rPr>
          <w:color w:val="000000"/>
          <w:sz w:val="22"/>
          <w:szCs w:val="22"/>
          <w:lang w:val="bg-BG" w:eastAsia="ja-JP"/>
        </w:rPr>
        <w:t xml:space="preserve"> </w:t>
      </w:r>
      <w:r w:rsidR="008E65E6" w:rsidRPr="00FE6AC6">
        <w:rPr>
          <w:color w:val="000000"/>
          <w:sz w:val="22"/>
          <w:szCs w:val="22"/>
          <w:lang w:val="en-GB" w:eastAsia="ja-JP"/>
        </w:rPr>
        <w:t>Abl</w:t>
      </w:r>
      <w:r w:rsidR="008E65E6" w:rsidRPr="00FE6AC6">
        <w:rPr>
          <w:color w:val="000000"/>
          <w:sz w:val="22"/>
          <w:szCs w:val="22"/>
          <w:lang w:val="bg-BG" w:eastAsia="ja-JP"/>
        </w:rPr>
        <w:t xml:space="preserve">, </w:t>
      </w:r>
      <w:r w:rsidR="008E65E6" w:rsidRPr="00FE6AC6">
        <w:rPr>
          <w:color w:val="000000"/>
          <w:sz w:val="22"/>
          <w:szCs w:val="22"/>
          <w:lang w:val="en-GB" w:eastAsia="ja-JP"/>
        </w:rPr>
        <w:t>Kit</w:t>
      </w:r>
      <w:r w:rsidR="008E65E6" w:rsidRPr="00FE6AC6">
        <w:rPr>
          <w:color w:val="000000"/>
          <w:sz w:val="22"/>
          <w:szCs w:val="22"/>
          <w:lang w:val="bg-BG" w:eastAsia="ja-JP"/>
        </w:rPr>
        <w:t xml:space="preserve"> </w:t>
      </w:r>
      <w:r w:rsidR="00D1362A" w:rsidRPr="00FE6AC6">
        <w:rPr>
          <w:color w:val="000000"/>
          <w:sz w:val="22"/>
          <w:szCs w:val="22"/>
          <w:lang w:val="bg-BG" w:eastAsia="ja-JP"/>
        </w:rPr>
        <w:t>или</w:t>
      </w:r>
      <w:r w:rsidR="008E65E6" w:rsidRPr="00FE6AC6">
        <w:rPr>
          <w:color w:val="000000"/>
          <w:sz w:val="22"/>
          <w:szCs w:val="22"/>
          <w:lang w:val="bg-BG" w:eastAsia="ja-JP"/>
        </w:rPr>
        <w:t xml:space="preserve"> </w:t>
      </w:r>
      <w:r w:rsidR="008E65E6" w:rsidRPr="00FE6AC6">
        <w:rPr>
          <w:color w:val="000000"/>
          <w:sz w:val="22"/>
          <w:szCs w:val="22"/>
          <w:lang w:val="en-GB" w:eastAsia="ja-JP"/>
        </w:rPr>
        <w:t>PDGFR</w:t>
      </w:r>
      <w:r w:rsidR="008E65E6" w:rsidRPr="00FE6AC6">
        <w:rPr>
          <w:color w:val="000000"/>
          <w:sz w:val="22"/>
          <w:szCs w:val="22"/>
          <w:lang w:val="bg-BG" w:eastAsia="ja-JP"/>
        </w:rPr>
        <w:t xml:space="preserve"> </w:t>
      </w:r>
      <w:r w:rsidR="00D1362A" w:rsidRPr="00FE6AC6">
        <w:rPr>
          <w:color w:val="000000"/>
          <w:sz w:val="22"/>
          <w:szCs w:val="22"/>
          <w:lang w:val="bg-BG" w:eastAsia="ja-JP"/>
        </w:rPr>
        <w:t>протеин тирозин кинази</w:t>
      </w:r>
      <w:r w:rsidR="008E65E6" w:rsidRPr="00FE6AC6">
        <w:rPr>
          <w:color w:val="000000"/>
          <w:sz w:val="22"/>
          <w:szCs w:val="22"/>
          <w:lang w:val="bg-BG" w:eastAsia="ja-JP"/>
        </w:rPr>
        <w:t xml:space="preserve">. </w:t>
      </w:r>
      <w:r w:rsidR="00D1362A" w:rsidRPr="00FE6AC6">
        <w:rPr>
          <w:color w:val="000000"/>
          <w:sz w:val="22"/>
          <w:szCs w:val="22"/>
          <w:lang w:val="bg-BG" w:eastAsia="ja-JP"/>
        </w:rPr>
        <w:t>При това проучване</w:t>
      </w:r>
      <w:r w:rsidR="008E65E6" w:rsidRPr="00FE6AC6">
        <w:rPr>
          <w:color w:val="000000"/>
          <w:sz w:val="22"/>
          <w:szCs w:val="22"/>
          <w:lang w:val="bg-BG" w:eastAsia="ja-JP"/>
        </w:rPr>
        <w:t>, 14</w:t>
      </w:r>
      <w:r w:rsidR="008E65E6" w:rsidRPr="00FE6AC6">
        <w:rPr>
          <w:color w:val="000000"/>
          <w:sz w:val="22"/>
          <w:szCs w:val="22"/>
          <w:lang w:val="en-GB" w:eastAsia="ja-JP"/>
        </w:rPr>
        <w:t> </w:t>
      </w:r>
      <w:r w:rsidR="00D1362A" w:rsidRPr="00FE6AC6">
        <w:rPr>
          <w:color w:val="000000"/>
          <w:sz w:val="22"/>
          <w:szCs w:val="22"/>
          <w:lang w:val="bg-BG" w:eastAsia="ja-JP"/>
        </w:rPr>
        <w:t xml:space="preserve">пациента с </w:t>
      </w:r>
      <w:r w:rsidR="000E16D3" w:rsidRPr="00FE6AC6">
        <w:rPr>
          <w:color w:val="000000"/>
          <w:sz w:val="22"/>
          <w:szCs w:val="22"/>
          <w:lang w:val="bg-BG" w:eastAsia="ja-JP"/>
        </w:rPr>
        <w:t>ХЕС/ХЕЛ</w:t>
      </w:r>
      <w:r w:rsidR="008E65E6" w:rsidRPr="00FE6AC6">
        <w:rPr>
          <w:color w:val="000000"/>
          <w:sz w:val="22"/>
          <w:szCs w:val="22"/>
          <w:lang w:val="bg-BG" w:eastAsia="ja-JP"/>
        </w:rPr>
        <w:t xml:space="preserve"> </w:t>
      </w:r>
      <w:r w:rsidR="00D1362A" w:rsidRPr="00FE6AC6">
        <w:rPr>
          <w:color w:val="000000"/>
          <w:sz w:val="22"/>
          <w:szCs w:val="22"/>
          <w:lang w:val="bg-BG" w:eastAsia="ja-JP"/>
        </w:rPr>
        <w:t>са били лекувани с от</w:t>
      </w:r>
      <w:r w:rsidR="008E65E6" w:rsidRPr="00FE6AC6">
        <w:rPr>
          <w:color w:val="000000"/>
          <w:sz w:val="22"/>
          <w:szCs w:val="22"/>
          <w:lang w:val="bg-BG" w:eastAsia="ja-JP"/>
        </w:rPr>
        <w:t xml:space="preserve"> 100</w:t>
      </w:r>
      <w:r w:rsidR="008E65E6" w:rsidRPr="00FE6AC6">
        <w:rPr>
          <w:color w:val="000000"/>
          <w:sz w:val="22"/>
          <w:szCs w:val="22"/>
          <w:lang w:val="en-GB" w:eastAsia="ja-JP"/>
        </w:rPr>
        <w:t> mg</w:t>
      </w:r>
      <w:r w:rsidR="008E65E6" w:rsidRPr="00FE6AC6">
        <w:rPr>
          <w:color w:val="000000"/>
          <w:sz w:val="22"/>
          <w:szCs w:val="22"/>
          <w:lang w:val="bg-BG" w:eastAsia="ja-JP"/>
        </w:rPr>
        <w:t xml:space="preserve"> </w:t>
      </w:r>
      <w:r w:rsidR="00D1362A" w:rsidRPr="00FE6AC6">
        <w:rPr>
          <w:color w:val="000000"/>
          <w:sz w:val="22"/>
          <w:szCs w:val="22"/>
          <w:lang w:val="bg-BG" w:eastAsia="ja-JP"/>
        </w:rPr>
        <w:t>до</w:t>
      </w:r>
      <w:r w:rsidR="008E65E6" w:rsidRPr="00FE6AC6">
        <w:rPr>
          <w:color w:val="000000"/>
          <w:sz w:val="22"/>
          <w:szCs w:val="22"/>
          <w:lang w:val="bg-BG" w:eastAsia="ja-JP"/>
        </w:rPr>
        <w:t xml:space="preserve"> 1</w:t>
      </w:r>
      <w:r w:rsidR="00DF756A" w:rsidRPr="00FE6AC6">
        <w:rPr>
          <w:color w:val="000000"/>
          <w:sz w:val="22"/>
          <w:szCs w:val="22"/>
          <w:lang w:val="de-CH" w:eastAsia="ja-JP"/>
        </w:rPr>
        <w:t> </w:t>
      </w:r>
      <w:r w:rsidR="008E65E6" w:rsidRPr="00FE6AC6">
        <w:rPr>
          <w:color w:val="000000"/>
          <w:sz w:val="22"/>
          <w:szCs w:val="22"/>
          <w:lang w:val="bg-BG" w:eastAsia="ja-JP"/>
        </w:rPr>
        <w:t>000</w:t>
      </w:r>
      <w:r w:rsidR="008E65E6" w:rsidRPr="00FE6AC6">
        <w:rPr>
          <w:color w:val="000000"/>
          <w:sz w:val="22"/>
          <w:szCs w:val="22"/>
          <w:lang w:val="en-GB" w:eastAsia="ja-JP"/>
        </w:rPr>
        <w:t> mg</w:t>
      </w:r>
      <w:r w:rsidR="008E65E6" w:rsidRPr="00FE6AC6">
        <w:rPr>
          <w:color w:val="000000"/>
          <w:sz w:val="22"/>
          <w:szCs w:val="22"/>
          <w:lang w:val="bg-BG" w:eastAsia="ja-JP"/>
        </w:rPr>
        <w:t xml:space="preserve"> </w:t>
      </w:r>
      <w:r w:rsidR="008E65E6" w:rsidRPr="00FE6AC6">
        <w:rPr>
          <w:color w:val="000000"/>
          <w:sz w:val="22"/>
          <w:szCs w:val="22"/>
          <w:lang w:val="en-GB" w:eastAsia="ja-JP"/>
        </w:rPr>
        <w:t>Glivec</w:t>
      </w:r>
      <w:r w:rsidR="008E65E6" w:rsidRPr="00FE6AC6">
        <w:rPr>
          <w:color w:val="000000"/>
          <w:sz w:val="22"/>
          <w:szCs w:val="22"/>
          <w:lang w:val="bg-BG" w:eastAsia="ja-JP"/>
        </w:rPr>
        <w:t xml:space="preserve"> </w:t>
      </w:r>
      <w:r w:rsidR="00D1362A" w:rsidRPr="00FE6AC6">
        <w:rPr>
          <w:color w:val="000000"/>
          <w:sz w:val="22"/>
          <w:szCs w:val="22"/>
          <w:lang w:val="bg-BG" w:eastAsia="ja-JP"/>
        </w:rPr>
        <w:t>дневно</w:t>
      </w:r>
      <w:r w:rsidR="008E65E6" w:rsidRPr="00FE6AC6">
        <w:rPr>
          <w:color w:val="000000"/>
          <w:sz w:val="22"/>
          <w:szCs w:val="22"/>
          <w:lang w:val="bg-BG" w:eastAsia="ja-JP"/>
        </w:rPr>
        <w:t xml:space="preserve">. </w:t>
      </w:r>
      <w:r w:rsidR="00D1362A" w:rsidRPr="00FE6AC6">
        <w:rPr>
          <w:color w:val="000000"/>
          <w:sz w:val="22"/>
          <w:szCs w:val="22"/>
          <w:lang w:val="bg-BG" w:eastAsia="ja-JP"/>
        </w:rPr>
        <w:t>Други</w:t>
      </w:r>
      <w:r w:rsidR="008E65E6" w:rsidRPr="00FE6AC6">
        <w:rPr>
          <w:color w:val="000000"/>
          <w:sz w:val="22"/>
          <w:szCs w:val="22"/>
          <w:lang w:val="bg-BG" w:eastAsia="ja-JP"/>
        </w:rPr>
        <w:t xml:space="preserve"> 162</w:t>
      </w:r>
      <w:r w:rsidR="008E65E6" w:rsidRPr="00FE6AC6">
        <w:rPr>
          <w:color w:val="000000"/>
          <w:sz w:val="22"/>
          <w:szCs w:val="22"/>
          <w:lang w:val="en-GB" w:eastAsia="ja-JP"/>
        </w:rPr>
        <w:t> </w:t>
      </w:r>
      <w:r w:rsidR="00D1362A" w:rsidRPr="00FE6AC6">
        <w:rPr>
          <w:color w:val="000000"/>
          <w:sz w:val="22"/>
          <w:szCs w:val="22"/>
          <w:lang w:val="bg-BG" w:eastAsia="ja-JP"/>
        </w:rPr>
        <w:t>пациента с</w:t>
      </w:r>
      <w:r w:rsidR="008E65E6" w:rsidRPr="00FE6AC6">
        <w:rPr>
          <w:color w:val="000000"/>
          <w:sz w:val="22"/>
          <w:szCs w:val="22"/>
          <w:lang w:val="bg-BG" w:eastAsia="ja-JP"/>
        </w:rPr>
        <w:t xml:space="preserve"> </w:t>
      </w:r>
      <w:r w:rsidR="000E16D3" w:rsidRPr="00FE6AC6">
        <w:rPr>
          <w:color w:val="000000"/>
          <w:sz w:val="22"/>
          <w:szCs w:val="22"/>
          <w:lang w:val="bg-BG" w:eastAsia="ja-JP"/>
        </w:rPr>
        <w:t>ХЕС/ХЕЛ</w:t>
      </w:r>
      <w:r w:rsidR="008E65E6" w:rsidRPr="00FE6AC6">
        <w:rPr>
          <w:color w:val="000000"/>
          <w:sz w:val="22"/>
          <w:szCs w:val="22"/>
          <w:lang w:val="bg-BG" w:eastAsia="ja-JP"/>
        </w:rPr>
        <w:t xml:space="preserve">, </w:t>
      </w:r>
      <w:r w:rsidR="00D1362A" w:rsidRPr="00FE6AC6">
        <w:rPr>
          <w:color w:val="000000"/>
          <w:sz w:val="22"/>
          <w:szCs w:val="22"/>
          <w:lang w:val="bg-BG" w:eastAsia="ja-JP"/>
        </w:rPr>
        <w:t>докладвани в</w:t>
      </w:r>
      <w:r w:rsidR="008E65E6" w:rsidRPr="00FE6AC6">
        <w:rPr>
          <w:color w:val="000000"/>
          <w:sz w:val="22"/>
          <w:szCs w:val="22"/>
          <w:lang w:val="bg-BG" w:eastAsia="ja-JP"/>
        </w:rPr>
        <w:t xml:space="preserve"> </w:t>
      </w:r>
      <w:r w:rsidR="008E65E6" w:rsidRPr="00FE6AC6">
        <w:rPr>
          <w:color w:val="000000"/>
          <w:sz w:val="22"/>
          <w:szCs w:val="22"/>
          <w:lang w:val="bg-BG"/>
        </w:rPr>
        <w:t>35</w:t>
      </w:r>
      <w:r w:rsidR="008E65E6" w:rsidRPr="00FE6AC6">
        <w:rPr>
          <w:color w:val="000000"/>
          <w:sz w:val="22"/>
          <w:szCs w:val="22"/>
          <w:lang w:val="en-GB"/>
        </w:rPr>
        <w:t> </w:t>
      </w:r>
      <w:r w:rsidR="00D1362A" w:rsidRPr="00FE6AC6">
        <w:rPr>
          <w:color w:val="000000"/>
          <w:sz w:val="22"/>
          <w:szCs w:val="22"/>
          <w:lang w:val="bg-BG"/>
        </w:rPr>
        <w:t>публикувани клинични случая</w:t>
      </w:r>
      <w:r w:rsidR="008E65E6" w:rsidRPr="00FE6AC6">
        <w:rPr>
          <w:color w:val="000000"/>
          <w:sz w:val="22"/>
          <w:szCs w:val="22"/>
          <w:lang w:val="bg-BG"/>
        </w:rPr>
        <w:t xml:space="preserve"> </w:t>
      </w:r>
      <w:r w:rsidR="00D1362A" w:rsidRPr="00FE6AC6">
        <w:rPr>
          <w:color w:val="000000"/>
          <w:sz w:val="22"/>
          <w:szCs w:val="22"/>
          <w:lang w:val="bg-BG"/>
        </w:rPr>
        <w:t xml:space="preserve">и серии от случаи </w:t>
      </w:r>
      <w:r w:rsidR="00233DA8" w:rsidRPr="00FE6AC6">
        <w:rPr>
          <w:color w:val="000000"/>
          <w:sz w:val="22"/>
          <w:szCs w:val="22"/>
          <w:lang w:val="bg-BG"/>
        </w:rPr>
        <w:t>с</w:t>
      </w:r>
      <w:r w:rsidR="00D1362A" w:rsidRPr="00FE6AC6">
        <w:rPr>
          <w:color w:val="000000"/>
          <w:sz w:val="22"/>
          <w:szCs w:val="22"/>
          <w:lang w:val="bg-BG"/>
        </w:rPr>
        <w:t xml:space="preserve">а приемали </w:t>
      </w:r>
      <w:r w:rsidR="008E65E6" w:rsidRPr="00FE6AC6">
        <w:rPr>
          <w:color w:val="000000"/>
          <w:sz w:val="22"/>
          <w:szCs w:val="22"/>
          <w:lang w:val="en-GB"/>
        </w:rPr>
        <w:t>Glivec</w:t>
      </w:r>
      <w:r w:rsidR="008E65E6" w:rsidRPr="00FE6AC6">
        <w:rPr>
          <w:color w:val="000000"/>
          <w:sz w:val="22"/>
          <w:szCs w:val="22"/>
          <w:lang w:val="bg-BG"/>
        </w:rPr>
        <w:t xml:space="preserve"> </w:t>
      </w:r>
      <w:r w:rsidR="00D1362A" w:rsidRPr="00FE6AC6">
        <w:rPr>
          <w:color w:val="000000"/>
          <w:sz w:val="22"/>
          <w:szCs w:val="22"/>
          <w:lang w:val="bg-BG"/>
        </w:rPr>
        <w:t xml:space="preserve">в дози от </w:t>
      </w:r>
      <w:r w:rsidR="008E65E6" w:rsidRPr="00FE6AC6">
        <w:rPr>
          <w:color w:val="000000"/>
          <w:sz w:val="22"/>
          <w:szCs w:val="22"/>
          <w:lang w:val="bg-BG"/>
        </w:rPr>
        <w:t>75</w:t>
      </w:r>
      <w:r w:rsidR="008E65E6" w:rsidRPr="00FE6AC6">
        <w:rPr>
          <w:color w:val="000000"/>
          <w:sz w:val="22"/>
          <w:szCs w:val="22"/>
          <w:lang w:val="en-GB"/>
        </w:rPr>
        <w:t> mg</w:t>
      </w:r>
      <w:r w:rsidR="008E65E6" w:rsidRPr="00FE6AC6">
        <w:rPr>
          <w:color w:val="000000"/>
          <w:sz w:val="22"/>
          <w:szCs w:val="22"/>
          <w:lang w:val="bg-BG"/>
        </w:rPr>
        <w:t xml:space="preserve"> </w:t>
      </w:r>
      <w:r w:rsidR="00D1362A" w:rsidRPr="00FE6AC6">
        <w:rPr>
          <w:color w:val="000000"/>
          <w:sz w:val="22"/>
          <w:szCs w:val="22"/>
          <w:lang w:val="bg-BG"/>
        </w:rPr>
        <w:t>до</w:t>
      </w:r>
      <w:r w:rsidR="008E65E6" w:rsidRPr="00FE6AC6">
        <w:rPr>
          <w:color w:val="000000"/>
          <w:sz w:val="22"/>
          <w:szCs w:val="22"/>
          <w:lang w:val="bg-BG"/>
        </w:rPr>
        <w:t xml:space="preserve"> 800</w:t>
      </w:r>
      <w:r w:rsidR="008E65E6" w:rsidRPr="00FE6AC6">
        <w:rPr>
          <w:color w:val="000000"/>
          <w:sz w:val="22"/>
          <w:szCs w:val="22"/>
          <w:lang w:val="en-GB"/>
        </w:rPr>
        <w:t> mg</w:t>
      </w:r>
      <w:r w:rsidR="008E65E6" w:rsidRPr="00FE6AC6">
        <w:rPr>
          <w:color w:val="000000"/>
          <w:sz w:val="22"/>
          <w:szCs w:val="22"/>
          <w:lang w:val="bg-BG"/>
        </w:rPr>
        <w:t xml:space="preserve"> </w:t>
      </w:r>
      <w:r w:rsidR="00D1362A" w:rsidRPr="00FE6AC6">
        <w:rPr>
          <w:color w:val="000000"/>
          <w:sz w:val="22"/>
          <w:szCs w:val="22"/>
          <w:lang w:val="bg-BG"/>
        </w:rPr>
        <w:t>дневно</w:t>
      </w:r>
      <w:r w:rsidR="008E65E6" w:rsidRPr="00FE6AC6">
        <w:rPr>
          <w:color w:val="000000"/>
          <w:sz w:val="22"/>
          <w:szCs w:val="22"/>
          <w:lang w:val="bg-BG"/>
        </w:rPr>
        <w:t xml:space="preserve">. </w:t>
      </w:r>
      <w:r w:rsidR="00D1362A" w:rsidRPr="00FE6AC6">
        <w:rPr>
          <w:color w:val="000000"/>
          <w:sz w:val="22"/>
          <w:szCs w:val="22"/>
          <w:lang w:val="bg-BG"/>
        </w:rPr>
        <w:t>Цитогенетичните аномалии са оценени пр</w:t>
      </w:r>
      <w:r w:rsidR="00396B2D" w:rsidRPr="00FE6AC6">
        <w:rPr>
          <w:color w:val="000000"/>
          <w:sz w:val="22"/>
          <w:szCs w:val="22"/>
          <w:lang w:val="bg-BG"/>
        </w:rPr>
        <w:t>и</w:t>
      </w:r>
      <w:r w:rsidR="008E65E6" w:rsidRPr="00FE6AC6">
        <w:rPr>
          <w:color w:val="000000"/>
          <w:sz w:val="22"/>
          <w:szCs w:val="22"/>
          <w:lang w:val="bg-BG"/>
        </w:rPr>
        <w:t xml:space="preserve"> 117 </w:t>
      </w:r>
      <w:r w:rsidR="00D1362A" w:rsidRPr="00FE6AC6">
        <w:rPr>
          <w:color w:val="000000"/>
          <w:sz w:val="22"/>
          <w:szCs w:val="22"/>
          <w:lang w:val="bg-BG"/>
        </w:rPr>
        <w:t xml:space="preserve">от общата популация от </w:t>
      </w:r>
      <w:r w:rsidR="008E65E6" w:rsidRPr="00FE6AC6">
        <w:rPr>
          <w:color w:val="000000"/>
          <w:sz w:val="22"/>
          <w:szCs w:val="22"/>
          <w:lang w:val="bg-BG"/>
        </w:rPr>
        <w:t>176</w:t>
      </w:r>
      <w:r w:rsidR="008E65E6" w:rsidRPr="00FE6AC6">
        <w:rPr>
          <w:color w:val="000000"/>
          <w:sz w:val="22"/>
          <w:szCs w:val="22"/>
          <w:lang w:val="en-GB"/>
        </w:rPr>
        <w:t> </w:t>
      </w:r>
      <w:r w:rsidR="00D1362A" w:rsidRPr="00FE6AC6">
        <w:rPr>
          <w:color w:val="000000"/>
          <w:sz w:val="22"/>
          <w:szCs w:val="22"/>
          <w:lang w:val="bg-BG"/>
        </w:rPr>
        <w:t>пациента</w:t>
      </w:r>
      <w:r w:rsidR="008E65E6" w:rsidRPr="00FE6AC6">
        <w:rPr>
          <w:color w:val="000000"/>
          <w:sz w:val="22"/>
          <w:szCs w:val="22"/>
          <w:lang w:val="bg-BG"/>
        </w:rPr>
        <w:t xml:space="preserve">. </w:t>
      </w:r>
      <w:r w:rsidR="00D1362A" w:rsidRPr="00FE6AC6">
        <w:rPr>
          <w:color w:val="000000"/>
          <w:sz w:val="22"/>
          <w:szCs w:val="22"/>
          <w:lang w:val="bg-BG"/>
        </w:rPr>
        <w:t>При</w:t>
      </w:r>
      <w:r w:rsidR="00490D50" w:rsidRPr="00FE6AC6">
        <w:rPr>
          <w:color w:val="000000"/>
          <w:sz w:val="22"/>
          <w:szCs w:val="22"/>
          <w:lang w:val="bg-BG"/>
        </w:rPr>
        <w:t> </w:t>
      </w:r>
      <w:r w:rsidR="008E65E6" w:rsidRPr="00FE6AC6">
        <w:rPr>
          <w:color w:val="000000"/>
          <w:sz w:val="22"/>
          <w:szCs w:val="22"/>
          <w:lang w:val="bg-BG"/>
        </w:rPr>
        <w:t>61</w:t>
      </w:r>
      <w:r w:rsidR="00490D50" w:rsidRPr="00FE6AC6">
        <w:rPr>
          <w:color w:val="000000"/>
          <w:sz w:val="22"/>
          <w:szCs w:val="22"/>
          <w:lang w:val="bg-BG"/>
        </w:rPr>
        <w:t> </w:t>
      </w:r>
      <w:r w:rsidR="00D1362A" w:rsidRPr="00FE6AC6">
        <w:rPr>
          <w:color w:val="000000"/>
          <w:sz w:val="22"/>
          <w:szCs w:val="22"/>
          <w:lang w:val="bg-BG"/>
        </w:rPr>
        <w:t xml:space="preserve">от тези </w:t>
      </w:r>
      <w:r w:rsidR="008E65E6" w:rsidRPr="00FE6AC6">
        <w:rPr>
          <w:color w:val="000000"/>
          <w:sz w:val="22"/>
          <w:szCs w:val="22"/>
          <w:lang w:val="bg-BG"/>
        </w:rPr>
        <w:t>117</w:t>
      </w:r>
      <w:r w:rsidR="008E65E6" w:rsidRPr="00FE6AC6">
        <w:rPr>
          <w:color w:val="000000"/>
          <w:sz w:val="22"/>
          <w:szCs w:val="22"/>
          <w:lang w:val="en-GB"/>
        </w:rPr>
        <w:t> </w:t>
      </w:r>
      <w:r w:rsidR="00D1362A" w:rsidRPr="00FE6AC6">
        <w:rPr>
          <w:color w:val="000000"/>
          <w:sz w:val="22"/>
          <w:szCs w:val="22"/>
          <w:lang w:val="bg-BG"/>
        </w:rPr>
        <w:t>пациента</w:t>
      </w:r>
      <w:r w:rsidR="008E65E6" w:rsidRPr="00FE6AC6">
        <w:rPr>
          <w:color w:val="000000"/>
          <w:sz w:val="22"/>
          <w:szCs w:val="22"/>
          <w:lang w:val="bg-BG"/>
        </w:rPr>
        <w:t xml:space="preserve"> </w:t>
      </w:r>
      <w:r w:rsidR="007035DD" w:rsidRPr="00FE6AC6">
        <w:rPr>
          <w:color w:val="000000"/>
          <w:sz w:val="22"/>
          <w:szCs w:val="22"/>
          <w:lang w:val="bg-BG"/>
        </w:rPr>
        <w:t xml:space="preserve">е идентифицирана </w:t>
      </w:r>
      <w:r w:rsidR="008E65E6" w:rsidRPr="00FE6AC6">
        <w:rPr>
          <w:color w:val="000000"/>
          <w:sz w:val="22"/>
          <w:szCs w:val="22"/>
          <w:lang w:val="en-GB"/>
        </w:rPr>
        <w:t>FIP</w:t>
      </w:r>
      <w:r w:rsidR="008E65E6" w:rsidRPr="00FE6AC6">
        <w:rPr>
          <w:color w:val="000000"/>
          <w:sz w:val="22"/>
          <w:szCs w:val="22"/>
          <w:lang w:val="bg-BG"/>
        </w:rPr>
        <w:t>1</w:t>
      </w:r>
      <w:r w:rsidR="008E65E6" w:rsidRPr="00FE6AC6">
        <w:rPr>
          <w:color w:val="000000"/>
          <w:sz w:val="22"/>
          <w:szCs w:val="22"/>
          <w:lang w:val="en-GB"/>
        </w:rPr>
        <w:t>L</w:t>
      </w:r>
      <w:r w:rsidR="008E65E6" w:rsidRPr="00FE6AC6">
        <w:rPr>
          <w:color w:val="000000"/>
          <w:sz w:val="22"/>
          <w:szCs w:val="22"/>
          <w:lang w:val="bg-BG"/>
        </w:rPr>
        <w:t>1-</w:t>
      </w:r>
      <w:r w:rsidR="008E65E6" w:rsidRPr="00FE6AC6">
        <w:rPr>
          <w:color w:val="000000"/>
          <w:sz w:val="22"/>
          <w:szCs w:val="22"/>
          <w:lang w:val="en-GB"/>
        </w:rPr>
        <w:t>PDGFRα</w:t>
      </w:r>
      <w:r w:rsidR="008E65E6" w:rsidRPr="00FE6AC6">
        <w:rPr>
          <w:color w:val="000000"/>
          <w:sz w:val="22"/>
          <w:szCs w:val="22"/>
          <w:lang w:val="bg-BG"/>
        </w:rPr>
        <w:t xml:space="preserve"> </w:t>
      </w:r>
      <w:r w:rsidR="007035DD" w:rsidRPr="00FE6AC6">
        <w:rPr>
          <w:color w:val="000000"/>
          <w:sz w:val="22"/>
          <w:szCs w:val="22"/>
          <w:lang w:val="bg-BG"/>
        </w:rPr>
        <w:t>фузионна киназа</w:t>
      </w:r>
      <w:r w:rsidR="008E65E6" w:rsidRPr="00FE6AC6">
        <w:rPr>
          <w:color w:val="000000"/>
          <w:sz w:val="22"/>
          <w:szCs w:val="22"/>
          <w:lang w:val="bg-BG"/>
        </w:rPr>
        <w:t xml:space="preserve">. </w:t>
      </w:r>
      <w:r w:rsidR="007035DD" w:rsidRPr="00FE6AC6">
        <w:rPr>
          <w:color w:val="000000"/>
          <w:sz w:val="22"/>
          <w:szCs w:val="22"/>
          <w:lang w:val="bg-BG"/>
        </w:rPr>
        <w:t xml:space="preserve">Освен това, четири </w:t>
      </w:r>
      <w:r w:rsidR="008E65E6" w:rsidRPr="00FE6AC6">
        <w:rPr>
          <w:color w:val="000000"/>
          <w:sz w:val="22"/>
          <w:szCs w:val="22"/>
          <w:lang w:val="en-GB"/>
        </w:rPr>
        <w:t>HES</w:t>
      </w:r>
      <w:r w:rsidR="008E65E6" w:rsidRPr="00FE6AC6">
        <w:rPr>
          <w:color w:val="000000"/>
          <w:sz w:val="22"/>
          <w:szCs w:val="22"/>
          <w:lang w:val="bg-BG"/>
        </w:rPr>
        <w:t xml:space="preserve"> </w:t>
      </w:r>
      <w:r w:rsidR="007035DD" w:rsidRPr="00FE6AC6">
        <w:rPr>
          <w:color w:val="000000"/>
          <w:sz w:val="22"/>
          <w:szCs w:val="22"/>
          <w:lang w:val="bg-BG"/>
        </w:rPr>
        <w:t xml:space="preserve">пациента са диагностицирани като </w:t>
      </w:r>
      <w:r w:rsidR="008E65E6" w:rsidRPr="00FE6AC6">
        <w:rPr>
          <w:color w:val="000000"/>
          <w:sz w:val="22"/>
          <w:szCs w:val="22"/>
          <w:lang w:val="en-GB"/>
        </w:rPr>
        <w:t>FIP</w:t>
      </w:r>
      <w:r w:rsidR="008E65E6" w:rsidRPr="00FE6AC6">
        <w:rPr>
          <w:color w:val="000000"/>
          <w:sz w:val="22"/>
          <w:szCs w:val="22"/>
          <w:lang w:val="bg-BG"/>
        </w:rPr>
        <w:t>1</w:t>
      </w:r>
      <w:r w:rsidR="008E65E6" w:rsidRPr="00FE6AC6">
        <w:rPr>
          <w:color w:val="000000"/>
          <w:sz w:val="22"/>
          <w:szCs w:val="22"/>
          <w:lang w:val="en-GB"/>
        </w:rPr>
        <w:t>L</w:t>
      </w:r>
      <w:r w:rsidR="008E65E6" w:rsidRPr="00FE6AC6">
        <w:rPr>
          <w:color w:val="000000"/>
          <w:sz w:val="22"/>
          <w:szCs w:val="22"/>
          <w:lang w:val="bg-BG"/>
        </w:rPr>
        <w:t>1-</w:t>
      </w:r>
      <w:r w:rsidR="008E65E6" w:rsidRPr="00FE6AC6">
        <w:rPr>
          <w:color w:val="000000"/>
          <w:sz w:val="22"/>
          <w:szCs w:val="22"/>
          <w:lang w:val="en-GB"/>
        </w:rPr>
        <w:t>PDGFRα</w:t>
      </w:r>
      <w:r w:rsidR="008E65E6" w:rsidRPr="00FE6AC6">
        <w:rPr>
          <w:color w:val="000000"/>
          <w:sz w:val="22"/>
          <w:szCs w:val="22"/>
          <w:lang w:val="bg-BG"/>
        </w:rPr>
        <w:t>-</w:t>
      </w:r>
      <w:r w:rsidR="007035DD" w:rsidRPr="00FE6AC6">
        <w:rPr>
          <w:color w:val="000000"/>
          <w:sz w:val="22"/>
          <w:szCs w:val="22"/>
          <w:lang w:val="bg-BG"/>
        </w:rPr>
        <w:t xml:space="preserve">позитивни в </w:t>
      </w:r>
      <w:r w:rsidR="008E65E6" w:rsidRPr="00FE6AC6">
        <w:rPr>
          <w:color w:val="000000"/>
          <w:sz w:val="22"/>
          <w:szCs w:val="22"/>
          <w:lang w:val="bg-BG"/>
        </w:rPr>
        <w:t>3</w:t>
      </w:r>
      <w:r w:rsidR="008E65E6" w:rsidRPr="00FE6AC6">
        <w:rPr>
          <w:color w:val="000000"/>
          <w:sz w:val="22"/>
          <w:szCs w:val="22"/>
          <w:lang w:val="en-GB"/>
        </w:rPr>
        <w:t> </w:t>
      </w:r>
      <w:r w:rsidR="007035DD" w:rsidRPr="00FE6AC6">
        <w:rPr>
          <w:color w:val="000000"/>
          <w:sz w:val="22"/>
          <w:szCs w:val="22"/>
          <w:lang w:val="bg-BG"/>
        </w:rPr>
        <w:t>други публикувани доклада</w:t>
      </w:r>
      <w:r w:rsidR="008E65E6" w:rsidRPr="00FE6AC6">
        <w:rPr>
          <w:color w:val="000000"/>
          <w:sz w:val="22"/>
          <w:szCs w:val="22"/>
          <w:lang w:val="bg-BG"/>
        </w:rPr>
        <w:t xml:space="preserve">. </w:t>
      </w:r>
      <w:r w:rsidR="007035DD" w:rsidRPr="00FE6AC6">
        <w:rPr>
          <w:color w:val="000000"/>
          <w:sz w:val="22"/>
          <w:szCs w:val="22"/>
          <w:lang w:val="bg-BG"/>
        </w:rPr>
        <w:t xml:space="preserve">Всички </w:t>
      </w:r>
      <w:r w:rsidR="008E65E6" w:rsidRPr="00FE6AC6">
        <w:rPr>
          <w:color w:val="000000"/>
          <w:sz w:val="22"/>
          <w:szCs w:val="22"/>
          <w:lang w:val="bg-BG"/>
        </w:rPr>
        <w:t>65</w:t>
      </w:r>
      <w:r w:rsidR="00490D50" w:rsidRPr="00FE6AC6">
        <w:rPr>
          <w:color w:val="000000"/>
          <w:sz w:val="22"/>
          <w:szCs w:val="22"/>
          <w:lang w:val="bg-BG"/>
        </w:rPr>
        <w:t> </w:t>
      </w:r>
      <w:r w:rsidR="008E65E6" w:rsidRPr="00FE6AC6">
        <w:rPr>
          <w:color w:val="000000"/>
          <w:sz w:val="22"/>
          <w:szCs w:val="22"/>
          <w:lang w:val="en-GB"/>
        </w:rPr>
        <w:t>FIP</w:t>
      </w:r>
      <w:r w:rsidR="008E65E6" w:rsidRPr="00FE6AC6">
        <w:rPr>
          <w:color w:val="000000"/>
          <w:sz w:val="22"/>
          <w:szCs w:val="22"/>
          <w:lang w:val="bg-BG"/>
        </w:rPr>
        <w:t>1</w:t>
      </w:r>
      <w:r w:rsidR="008E65E6" w:rsidRPr="00FE6AC6">
        <w:rPr>
          <w:color w:val="000000"/>
          <w:sz w:val="22"/>
          <w:szCs w:val="22"/>
          <w:lang w:val="en-GB"/>
        </w:rPr>
        <w:t>L</w:t>
      </w:r>
      <w:r w:rsidR="008E65E6" w:rsidRPr="00FE6AC6">
        <w:rPr>
          <w:color w:val="000000"/>
          <w:sz w:val="22"/>
          <w:szCs w:val="22"/>
          <w:lang w:val="bg-BG"/>
        </w:rPr>
        <w:t>1-</w:t>
      </w:r>
      <w:r w:rsidR="008E65E6" w:rsidRPr="00FE6AC6">
        <w:rPr>
          <w:color w:val="000000"/>
          <w:sz w:val="22"/>
          <w:szCs w:val="22"/>
          <w:lang w:val="en-GB"/>
        </w:rPr>
        <w:t>PDGFRα</w:t>
      </w:r>
      <w:r w:rsidR="008E65E6" w:rsidRPr="00FE6AC6">
        <w:rPr>
          <w:color w:val="000000"/>
          <w:sz w:val="22"/>
          <w:szCs w:val="22"/>
          <w:lang w:val="bg-BG"/>
        </w:rPr>
        <w:t xml:space="preserve"> </w:t>
      </w:r>
      <w:r w:rsidR="007035DD" w:rsidRPr="00FE6AC6">
        <w:rPr>
          <w:color w:val="000000"/>
          <w:sz w:val="22"/>
          <w:szCs w:val="22"/>
          <w:lang w:val="bg-BG"/>
        </w:rPr>
        <w:t>фузионна киназа-поз</w:t>
      </w:r>
      <w:r w:rsidR="00233DA8" w:rsidRPr="00FE6AC6">
        <w:rPr>
          <w:color w:val="000000"/>
          <w:sz w:val="22"/>
          <w:szCs w:val="22"/>
          <w:lang w:val="bg-BG"/>
        </w:rPr>
        <w:t>и</w:t>
      </w:r>
      <w:r w:rsidR="007035DD" w:rsidRPr="00FE6AC6">
        <w:rPr>
          <w:color w:val="000000"/>
          <w:sz w:val="22"/>
          <w:szCs w:val="22"/>
          <w:lang w:val="bg-BG"/>
        </w:rPr>
        <w:t>т</w:t>
      </w:r>
      <w:r w:rsidR="00233DA8" w:rsidRPr="00FE6AC6">
        <w:rPr>
          <w:color w:val="000000"/>
          <w:sz w:val="22"/>
          <w:szCs w:val="22"/>
          <w:lang w:val="bg-BG"/>
        </w:rPr>
        <w:t>и</w:t>
      </w:r>
      <w:r w:rsidR="007035DD" w:rsidRPr="00FE6AC6">
        <w:rPr>
          <w:color w:val="000000"/>
          <w:sz w:val="22"/>
          <w:szCs w:val="22"/>
          <w:lang w:val="bg-BG"/>
        </w:rPr>
        <w:t xml:space="preserve">вни пациенти са постигнали </w:t>
      </w:r>
      <w:r w:rsidR="008E65E6" w:rsidRPr="00FE6AC6">
        <w:rPr>
          <w:color w:val="000000"/>
          <w:sz w:val="22"/>
          <w:szCs w:val="22"/>
          <w:lang w:val="en-GB"/>
        </w:rPr>
        <w:t>CHR</w:t>
      </w:r>
      <w:r w:rsidR="009A1D7E" w:rsidRPr="00FE6AC6">
        <w:rPr>
          <w:color w:val="000000"/>
          <w:sz w:val="22"/>
          <w:szCs w:val="22"/>
          <w:lang w:val="bg-BG"/>
        </w:rPr>
        <w:t>,</w:t>
      </w:r>
      <w:r w:rsidR="008E65E6" w:rsidRPr="00FE6AC6">
        <w:rPr>
          <w:color w:val="000000"/>
          <w:sz w:val="22"/>
          <w:szCs w:val="22"/>
          <w:lang w:val="bg-BG"/>
        </w:rPr>
        <w:t xml:space="preserve"> </w:t>
      </w:r>
      <w:r w:rsidR="007035DD" w:rsidRPr="00FE6AC6">
        <w:rPr>
          <w:color w:val="000000"/>
          <w:sz w:val="22"/>
          <w:szCs w:val="22"/>
          <w:lang w:val="bg-BG"/>
        </w:rPr>
        <w:t>подържан в про</w:t>
      </w:r>
      <w:r w:rsidR="00233DA8" w:rsidRPr="00FE6AC6">
        <w:rPr>
          <w:color w:val="000000"/>
          <w:sz w:val="22"/>
          <w:szCs w:val="22"/>
          <w:lang w:val="bg-BG"/>
        </w:rPr>
        <w:t>д</w:t>
      </w:r>
      <w:r w:rsidR="007035DD" w:rsidRPr="00FE6AC6">
        <w:rPr>
          <w:color w:val="000000"/>
          <w:sz w:val="22"/>
          <w:szCs w:val="22"/>
          <w:lang w:val="bg-BG"/>
        </w:rPr>
        <w:t>ължение на месеци</w:t>
      </w:r>
      <w:r w:rsidR="008E65E6" w:rsidRPr="00FE6AC6">
        <w:rPr>
          <w:color w:val="000000"/>
          <w:sz w:val="22"/>
          <w:szCs w:val="22"/>
          <w:lang w:val="bg-BG"/>
        </w:rPr>
        <w:t xml:space="preserve"> (</w:t>
      </w:r>
      <w:r w:rsidR="007035DD" w:rsidRPr="00FE6AC6">
        <w:rPr>
          <w:color w:val="000000"/>
          <w:sz w:val="22"/>
          <w:szCs w:val="22"/>
          <w:lang w:val="bg-BG"/>
        </w:rPr>
        <w:t>варира от</w:t>
      </w:r>
      <w:r w:rsidR="008E65E6" w:rsidRPr="00FE6AC6">
        <w:rPr>
          <w:color w:val="000000"/>
          <w:sz w:val="22"/>
          <w:szCs w:val="22"/>
          <w:lang w:val="bg-BG"/>
        </w:rPr>
        <w:t xml:space="preserve"> 1+ </w:t>
      </w:r>
      <w:r w:rsidR="007035DD" w:rsidRPr="00FE6AC6">
        <w:rPr>
          <w:color w:val="000000"/>
          <w:sz w:val="22"/>
          <w:szCs w:val="22"/>
          <w:lang w:val="bg-BG"/>
        </w:rPr>
        <w:t>до</w:t>
      </w:r>
      <w:r w:rsidR="008E65E6" w:rsidRPr="00FE6AC6">
        <w:rPr>
          <w:color w:val="000000"/>
          <w:sz w:val="22"/>
          <w:szCs w:val="22"/>
          <w:lang w:val="bg-BG"/>
        </w:rPr>
        <w:t xml:space="preserve"> 44+ </w:t>
      </w:r>
      <w:r w:rsidR="007035DD" w:rsidRPr="00FE6AC6">
        <w:rPr>
          <w:color w:val="000000"/>
          <w:sz w:val="22"/>
          <w:szCs w:val="22"/>
          <w:lang w:val="bg-BG"/>
        </w:rPr>
        <w:t>месеца</w:t>
      </w:r>
      <w:r w:rsidR="008E65E6" w:rsidRPr="00FE6AC6">
        <w:rPr>
          <w:color w:val="000000"/>
          <w:sz w:val="22"/>
          <w:szCs w:val="22"/>
          <w:lang w:val="bg-BG"/>
        </w:rPr>
        <w:t xml:space="preserve"> </w:t>
      </w:r>
      <w:r w:rsidR="007818C7" w:rsidRPr="00FE6AC6">
        <w:rPr>
          <w:color w:val="000000"/>
          <w:sz w:val="22"/>
          <w:szCs w:val="22"/>
          <w:lang w:val="bg-BG"/>
        </w:rPr>
        <w:t>измерени към датата на докладване</w:t>
      </w:r>
      <w:r w:rsidR="008E65E6" w:rsidRPr="00FE6AC6">
        <w:rPr>
          <w:color w:val="000000"/>
          <w:sz w:val="22"/>
          <w:szCs w:val="22"/>
          <w:lang w:val="bg-BG"/>
        </w:rPr>
        <w:t xml:space="preserve">). </w:t>
      </w:r>
      <w:r w:rsidR="007818C7" w:rsidRPr="00FE6AC6">
        <w:rPr>
          <w:color w:val="000000"/>
          <w:sz w:val="22"/>
          <w:szCs w:val="22"/>
          <w:lang w:val="bg-BG"/>
        </w:rPr>
        <w:t>Както се докладва в скорошна публикация,</w:t>
      </w:r>
      <w:r w:rsidR="008E65E6" w:rsidRPr="00FE6AC6">
        <w:rPr>
          <w:color w:val="000000"/>
          <w:sz w:val="22"/>
          <w:szCs w:val="22"/>
          <w:lang w:val="bg-BG"/>
        </w:rPr>
        <w:t xml:space="preserve"> 21 </w:t>
      </w:r>
      <w:r w:rsidR="007818C7" w:rsidRPr="00FE6AC6">
        <w:rPr>
          <w:color w:val="000000"/>
          <w:sz w:val="22"/>
          <w:szCs w:val="22"/>
          <w:lang w:val="bg-BG"/>
        </w:rPr>
        <w:t>от тези</w:t>
      </w:r>
      <w:r w:rsidR="008E65E6" w:rsidRPr="00FE6AC6">
        <w:rPr>
          <w:color w:val="000000"/>
          <w:sz w:val="22"/>
          <w:szCs w:val="22"/>
          <w:lang w:val="bg-BG"/>
        </w:rPr>
        <w:t xml:space="preserve"> 65</w:t>
      </w:r>
      <w:r w:rsidR="008E65E6" w:rsidRPr="00FE6AC6">
        <w:rPr>
          <w:color w:val="000000"/>
          <w:sz w:val="22"/>
          <w:szCs w:val="22"/>
          <w:lang w:val="en-GB"/>
        </w:rPr>
        <w:t> </w:t>
      </w:r>
      <w:r w:rsidR="007818C7" w:rsidRPr="00FE6AC6">
        <w:rPr>
          <w:color w:val="000000"/>
          <w:sz w:val="22"/>
          <w:szCs w:val="22"/>
          <w:lang w:val="bg-BG"/>
        </w:rPr>
        <w:t>пациента</w:t>
      </w:r>
      <w:r w:rsidR="008E65E6" w:rsidRPr="00FE6AC6">
        <w:rPr>
          <w:color w:val="000000"/>
          <w:sz w:val="22"/>
          <w:szCs w:val="22"/>
          <w:lang w:val="bg-BG"/>
        </w:rPr>
        <w:t xml:space="preserve"> </w:t>
      </w:r>
      <w:r w:rsidR="007818C7" w:rsidRPr="00FE6AC6">
        <w:rPr>
          <w:color w:val="000000"/>
          <w:sz w:val="22"/>
          <w:szCs w:val="22"/>
          <w:lang w:val="bg-BG"/>
        </w:rPr>
        <w:t xml:space="preserve">също са постигнали пълна молекулярна ремисия при </w:t>
      </w:r>
      <w:r w:rsidR="0072216A" w:rsidRPr="00FE6AC6">
        <w:rPr>
          <w:color w:val="000000"/>
          <w:sz w:val="22"/>
          <w:szCs w:val="22"/>
          <w:lang w:val="bg-BG"/>
        </w:rPr>
        <w:t>медиана на</w:t>
      </w:r>
      <w:r w:rsidR="007818C7" w:rsidRPr="00FE6AC6">
        <w:rPr>
          <w:color w:val="000000"/>
          <w:sz w:val="22"/>
          <w:szCs w:val="22"/>
          <w:lang w:val="bg-BG"/>
        </w:rPr>
        <w:t xml:space="preserve"> проследяване от </w:t>
      </w:r>
      <w:r w:rsidR="008E65E6" w:rsidRPr="00FE6AC6">
        <w:rPr>
          <w:color w:val="000000"/>
          <w:sz w:val="22"/>
          <w:szCs w:val="22"/>
          <w:lang w:val="bg-BG"/>
        </w:rPr>
        <w:t>28</w:t>
      </w:r>
      <w:r w:rsidR="008E65E6" w:rsidRPr="00FE6AC6">
        <w:rPr>
          <w:color w:val="000000"/>
          <w:sz w:val="22"/>
          <w:szCs w:val="22"/>
          <w:lang w:val="en-GB"/>
        </w:rPr>
        <w:t> </w:t>
      </w:r>
      <w:r w:rsidR="007818C7" w:rsidRPr="00FE6AC6">
        <w:rPr>
          <w:color w:val="000000"/>
          <w:sz w:val="22"/>
          <w:szCs w:val="22"/>
          <w:lang w:val="bg-BG"/>
        </w:rPr>
        <w:t>месеца</w:t>
      </w:r>
      <w:r w:rsidR="008E65E6" w:rsidRPr="00FE6AC6">
        <w:rPr>
          <w:color w:val="000000"/>
          <w:sz w:val="22"/>
          <w:szCs w:val="22"/>
          <w:lang w:val="bg-BG"/>
        </w:rPr>
        <w:t xml:space="preserve"> (</w:t>
      </w:r>
      <w:r w:rsidR="007818C7" w:rsidRPr="00FE6AC6">
        <w:rPr>
          <w:color w:val="000000"/>
          <w:sz w:val="22"/>
          <w:szCs w:val="22"/>
          <w:lang w:val="bg-BG"/>
        </w:rPr>
        <w:t>варира</w:t>
      </w:r>
      <w:r w:rsidR="008E65E6" w:rsidRPr="00FE6AC6">
        <w:rPr>
          <w:color w:val="000000"/>
          <w:sz w:val="22"/>
          <w:szCs w:val="22"/>
          <w:lang w:val="bg-BG"/>
        </w:rPr>
        <w:t xml:space="preserve"> 13</w:t>
      </w:r>
      <w:r w:rsidR="008E65E6" w:rsidRPr="00FE6AC6">
        <w:rPr>
          <w:color w:val="000000"/>
          <w:sz w:val="22"/>
          <w:szCs w:val="22"/>
          <w:lang w:val="bg-BG"/>
        </w:rPr>
        <w:noBreakHyphen/>
        <w:t>67</w:t>
      </w:r>
      <w:r w:rsidR="008E65E6" w:rsidRPr="00FE6AC6">
        <w:rPr>
          <w:color w:val="000000"/>
          <w:sz w:val="22"/>
          <w:szCs w:val="22"/>
          <w:lang w:val="en-GB"/>
        </w:rPr>
        <w:t> </w:t>
      </w:r>
      <w:r w:rsidR="007818C7" w:rsidRPr="00FE6AC6">
        <w:rPr>
          <w:color w:val="000000"/>
          <w:sz w:val="22"/>
          <w:szCs w:val="22"/>
          <w:lang w:val="bg-BG"/>
        </w:rPr>
        <w:t>месеца</w:t>
      </w:r>
      <w:r w:rsidR="008E65E6" w:rsidRPr="00FE6AC6">
        <w:rPr>
          <w:color w:val="000000"/>
          <w:sz w:val="22"/>
          <w:szCs w:val="22"/>
          <w:lang w:val="bg-BG"/>
        </w:rPr>
        <w:t xml:space="preserve">). </w:t>
      </w:r>
      <w:r w:rsidR="007818C7" w:rsidRPr="00FE6AC6">
        <w:rPr>
          <w:color w:val="000000"/>
          <w:sz w:val="22"/>
          <w:szCs w:val="22"/>
          <w:lang w:val="bg-BG"/>
        </w:rPr>
        <w:t>Възрастта на тези пациенти варира от</w:t>
      </w:r>
      <w:r w:rsidR="008E65E6" w:rsidRPr="00FE6AC6">
        <w:rPr>
          <w:color w:val="000000"/>
          <w:sz w:val="22"/>
          <w:szCs w:val="22"/>
          <w:lang w:val="bg-BG"/>
        </w:rPr>
        <w:t xml:space="preserve"> 25</w:t>
      </w:r>
      <w:r w:rsidR="00490D50" w:rsidRPr="00FE6AC6">
        <w:rPr>
          <w:color w:val="000000"/>
          <w:sz w:val="22"/>
          <w:szCs w:val="22"/>
          <w:lang w:val="bg-BG"/>
        </w:rPr>
        <w:t> </w:t>
      </w:r>
      <w:r w:rsidR="007818C7" w:rsidRPr="00FE6AC6">
        <w:rPr>
          <w:color w:val="000000"/>
          <w:sz w:val="22"/>
          <w:szCs w:val="22"/>
          <w:lang w:val="bg-BG"/>
        </w:rPr>
        <w:t>до</w:t>
      </w:r>
      <w:r w:rsidR="008E65E6" w:rsidRPr="00FE6AC6">
        <w:rPr>
          <w:color w:val="000000"/>
          <w:sz w:val="22"/>
          <w:szCs w:val="22"/>
          <w:lang w:val="bg-BG"/>
        </w:rPr>
        <w:t xml:space="preserve"> 72</w:t>
      </w:r>
      <w:r w:rsidR="008E65E6" w:rsidRPr="00FE6AC6">
        <w:rPr>
          <w:color w:val="000000"/>
          <w:sz w:val="22"/>
          <w:szCs w:val="22"/>
        </w:rPr>
        <w:t> </w:t>
      </w:r>
      <w:r w:rsidR="007818C7" w:rsidRPr="00FE6AC6">
        <w:rPr>
          <w:color w:val="000000"/>
          <w:sz w:val="22"/>
          <w:szCs w:val="22"/>
          <w:lang w:val="bg-BG"/>
        </w:rPr>
        <w:t>години</w:t>
      </w:r>
      <w:r w:rsidR="008E65E6" w:rsidRPr="00FE6AC6">
        <w:rPr>
          <w:color w:val="000000"/>
          <w:sz w:val="22"/>
          <w:szCs w:val="22"/>
          <w:lang w:val="bg-BG"/>
        </w:rPr>
        <w:t>.</w:t>
      </w:r>
      <w:r w:rsidR="008E65E6" w:rsidRPr="00FE6AC6">
        <w:rPr>
          <w:color w:val="000000"/>
          <w:szCs w:val="22"/>
          <w:lang w:val="bg-BG"/>
        </w:rPr>
        <w:t xml:space="preserve"> </w:t>
      </w:r>
      <w:r w:rsidR="007818C7" w:rsidRPr="00FE6AC6">
        <w:rPr>
          <w:color w:val="000000"/>
          <w:sz w:val="22"/>
          <w:szCs w:val="22"/>
          <w:lang w:val="bg-BG"/>
        </w:rPr>
        <w:t>В допълнение</w:t>
      </w:r>
      <w:r w:rsidR="008E65E6" w:rsidRPr="00FE6AC6">
        <w:rPr>
          <w:color w:val="000000"/>
          <w:sz w:val="22"/>
          <w:szCs w:val="22"/>
          <w:lang w:val="bg-BG"/>
        </w:rPr>
        <w:t xml:space="preserve">, </w:t>
      </w:r>
      <w:r w:rsidR="0072216A" w:rsidRPr="00FE6AC6">
        <w:rPr>
          <w:color w:val="000000"/>
          <w:sz w:val="22"/>
          <w:szCs w:val="22"/>
          <w:lang w:val="bg-BG"/>
        </w:rPr>
        <w:t xml:space="preserve">от изследователите са били докладвани в отделни клинични случаи </w:t>
      </w:r>
      <w:r w:rsidR="007818C7" w:rsidRPr="00FE6AC6">
        <w:rPr>
          <w:color w:val="000000"/>
          <w:sz w:val="22"/>
          <w:szCs w:val="22"/>
          <w:lang w:val="bg-BG"/>
        </w:rPr>
        <w:t>подобрение в симптоматиката и другите органни нарушения</w:t>
      </w:r>
      <w:r w:rsidR="008E65E6" w:rsidRPr="00FE6AC6">
        <w:rPr>
          <w:color w:val="000000"/>
          <w:sz w:val="22"/>
          <w:szCs w:val="22"/>
          <w:lang w:val="bg-BG"/>
        </w:rPr>
        <w:t xml:space="preserve">. </w:t>
      </w:r>
      <w:r w:rsidR="00FF135C" w:rsidRPr="00FE6AC6">
        <w:rPr>
          <w:color w:val="000000"/>
          <w:sz w:val="22"/>
          <w:szCs w:val="22"/>
          <w:lang w:val="bg-BG"/>
        </w:rPr>
        <w:t>Подобрения се докл</w:t>
      </w:r>
      <w:r w:rsidR="005D4145" w:rsidRPr="00FE6AC6">
        <w:rPr>
          <w:color w:val="000000"/>
          <w:sz w:val="22"/>
          <w:szCs w:val="22"/>
          <w:lang w:val="bg-BG"/>
        </w:rPr>
        <w:t>а</w:t>
      </w:r>
      <w:r w:rsidR="00FF135C" w:rsidRPr="00FE6AC6">
        <w:rPr>
          <w:color w:val="000000"/>
          <w:sz w:val="22"/>
          <w:szCs w:val="22"/>
          <w:lang w:val="bg-BG"/>
        </w:rPr>
        <w:t>дват в сърдечн</w:t>
      </w:r>
      <w:r w:rsidR="0072216A" w:rsidRPr="00FE6AC6">
        <w:rPr>
          <w:color w:val="000000"/>
          <w:sz w:val="22"/>
          <w:szCs w:val="22"/>
          <w:lang w:val="bg-BG"/>
        </w:rPr>
        <w:t>ата</w:t>
      </w:r>
      <w:r w:rsidR="008E65E6" w:rsidRPr="00FE6AC6">
        <w:rPr>
          <w:color w:val="000000"/>
          <w:sz w:val="22"/>
          <w:szCs w:val="22"/>
          <w:lang w:val="bg-BG"/>
        </w:rPr>
        <w:t xml:space="preserve">, </w:t>
      </w:r>
      <w:r w:rsidR="00FF135C" w:rsidRPr="00FE6AC6">
        <w:rPr>
          <w:color w:val="000000"/>
          <w:sz w:val="22"/>
          <w:szCs w:val="22"/>
          <w:lang w:val="bg-BG"/>
        </w:rPr>
        <w:t>нервната</w:t>
      </w:r>
      <w:r w:rsidR="008E65E6" w:rsidRPr="00FE6AC6">
        <w:rPr>
          <w:color w:val="000000"/>
          <w:sz w:val="22"/>
          <w:szCs w:val="22"/>
          <w:lang w:val="bg-BG"/>
        </w:rPr>
        <w:t xml:space="preserve">, </w:t>
      </w:r>
      <w:r w:rsidR="00FF135C" w:rsidRPr="00FE6AC6">
        <w:rPr>
          <w:color w:val="000000"/>
          <w:sz w:val="22"/>
          <w:szCs w:val="22"/>
          <w:lang w:val="bg-BG"/>
        </w:rPr>
        <w:t>кожа/подкожни тъкани</w:t>
      </w:r>
      <w:r w:rsidR="008E65E6" w:rsidRPr="00FE6AC6">
        <w:rPr>
          <w:color w:val="000000"/>
          <w:sz w:val="22"/>
          <w:szCs w:val="22"/>
          <w:lang w:val="bg-BG"/>
        </w:rPr>
        <w:t xml:space="preserve">, </w:t>
      </w:r>
      <w:r w:rsidR="00FF135C" w:rsidRPr="00FE6AC6">
        <w:rPr>
          <w:color w:val="000000"/>
          <w:sz w:val="22"/>
          <w:szCs w:val="22"/>
          <w:lang w:val="bg-BG"/>
        </w:rPr>
        <w:t>дихателна</w:t>
      </w:r>
      <w:r w:rsidR="008E65E6" w:rsidRPr="00FE6AC6">
        <w:rPr>
          <w:color w:val="000000"/>
          <w:sz w:val="22"/>
          <w:szCs w:val="22"/>
          <w:lang w:val="bg-BG"/>
        </w:rPr>
        <w:t>/</w:t>
      </w:r>
      <w:r w:rsidR="00FF135C" w:rsidRPr="00FE6AC6">
        <w:rPr>
          <w:color w:val="000000"/>
          <w:sz w:val="22"/>
          <w:szCs w:val="22"/>
          <w:lang w:val="bg-BG"/>
        </w:rPr>
        <w:t>торакална</w:t>
      </w:r>
      <w:r w:rsidR="008E65E6" w:rsidRPr="00FE6AC6">
        <w:rPr>
          <w:color w:val="000000"/>
          <w:sz w:val="22"/>
          <w:szCs w:val="22"/>
          <w:lang w:val="bg-BG"/>
        </w:rPr>
        <w:t>/</w:t>
      </w:r>
      <w:r w:rsidR="00FF135C" w:rsidRPr="00FE6AC6">
        <w:rPr>
          <w:color w:val="000000"/>
          <w:sz w:val="22"/>
          <w:szCs w:val="22"/>
          <w:lang w:val="bg-BG"/>
        </w:rPr>
        <w:t>медиастинална</w:t>
      </w:r>
      <w:r w:rsidR="008E65E6" w:rsidRPr="00FE6AC6">
        <w:rPr>
          <w:color w:val="000000"/>
          <w:sz w:val="22"/>
          <w:szCs w:val="22"/>
          <w:lang w:val="bg-BG"/>
        </w:rPr>
        <w:t xml:space="preserve">, </w:t>
      </w:r>
      <w:r w:rsidR="00FF135C" w:rsidRPr="00FE6AC6">
        <w:rPr>
          <w:color w:val="000000"/>
          <w:sz w:val="22"/>
          <w:szCs w:val="22"/>
          <w:lang w:val="bg-BG"/>
        </w:rPr>
        <w:t>скелетно-мускулна</w:t>
      </w:r>
      <w:r w:rsidR="008E65E6" w:rsidRPr="00FE6AC6">
        <w:rPr>
          <w:color w:val="000000"/>
          <w:sz w:val="22"/>
          <w:szCs w:val="22"/>
          <w:lang w:val="bg-BG"/>
        </w:rPr>
        <w:t>/</w:t>
      </w:r>
      <w:r w:rsidR="00FF135C" w:rsidRPr="00FE6AC6">
        <w:rPr>
          <w:color w:val="000000"/>
          <w:sz w:val="22"/>
          <w:szCs w:val="22"/>
          <w:lang w:val="bg-BG"/>
        </w:rPr>
        <w:t>съединителнотъкънна</w:t>
      </w:r>
      <w:r w:rsidR="008E65E6" w:rsidRPr="00FE6AC6">
        <w:rPr>
          <w:color w:val="000000"/>
          <w:sz w:val="22"/>
          <w:szCs w:val="22"/>
          <w:lang w:val="bg-BG"/>
        </w:rPr>
        <w:t>/</w:t>
      </w:r>
      <w:r w:rsidR="00FF135C" w:rsidRPr="00FE6AC6">
        <w:rPr>
          <w:color w:val="000000"/>
          <w:sz w:val="22"/>
          <w:szCs w:val="22"/>
          <w:lang w:val="bg-BG"/>
        </w:rPr>
        <w:t xml:space="preserve">съдова </w:t>
      </w:r>
      <w:r w:rsidR="006D5353" w:rsidRPr="00FE6AC6">
        <w:rPr>
          <w:color w:val="000000"/>
          <w:sz w:val="22"/>
          <w:szCs w:val="22"/>
          <w:lang w:val="bg-BG"/>
        </w:rPr>
        <w:t>и</w:t>
      </w:r>
      <w:r w:rsidR="008E65E6" w:rsidRPr="00FE6AC6">
        <w:rPr>
          <w:color w:val="000000"/>
          <w:sz w:val="22"/>
          <w:szCs w:val="22"/>
          <w:lang w:val="bg-BG"/>
        </w:rPr>
        <w:t xml:space="preserve"> </w:t>
      </w:r>
      <w:r w:rsidR="00FF135C" w:rsidRPr="00FE6AC6">
        <w:rPr>
          <w:color w:val="000000"/>
          <w:sz w:val="22"/>
          <w:szCs w:val="22"/>
          <w:lang w:val="bg-BG"/>
        </w:rPr>
        <w:t>стомашно-чревна органни си</w:t>
      </w:r>
      <w:r w:rsidR="001F5FA0" w:rsidRPr="00FE6AC6">
        <w:rPr>
          <w:color w:val="000000"/>
          <w:sz w:val="22"/>
          <w:szCs w:val="22"/>
          <w:lang w:val="bg-BG"/>
        </w:rPr>
        <w:t>с</w:t>
      </w:r>
      <w:r w:rsidR="00FF135C" w:rsidRPr="00FE6AC6">
        <w:rPr>
          <w:color w:val="000000"/>
          <w:sz w:val="22"/>
          <w:szCs w:val="22"/>
          <w:lang w:val="bg-BG"/>
        </w:rPr>
        <w:t>теми</w:t>
      </w:r>
      <w:r w:rsidR="008E65E6" w:rsidRPr="00FE6AC6">
        <w:rPr>
          <w:color w:val="000000"/>
          <w:sz w:val="22"/>
          <w:szCs w:val="22"/>
          <w:lang w:val="bg-BG"/>
        </w:rPr>
        <w:t>.</w:t>
      </w:r>
    </w:p>
    <w:p w14:paraId="3E54FF21" w14:textId="77777777" w:rsidR="006B5421" w:rsidRPr="00FE6AC6" w:rsidRDefault="006B5421" w:rsidP="0063575E">
      <w:pPr>
        <w:pStyle w:val="Text"/>
        <w:widowControl w:val="0"/>
        <w:spacing w:before="0"/>
        <w:jc w:val="left"/>
        <w:rPr>
          <w:color w:val="000000"/>
          <w:sz w:val="22"/>
          <w:szCs w:val="22"/>
          <w:lang w:val="bg-BG"/>
        </w:rPr>
      </w:pPr>
    </w:p>
    <w:p w14:paraId="3E54FF22" w14:textId="77777777" w:rsidR="006B5421" w:rsidRPr="00FE6AC6" w:rsidRDefault="006B5421" w:rsidP="0063575E">
      <w:pPr>
        <w:pStyle w:val="Text"/>
        <w:widowControl w:val="0"/>
        <w:spacing w:before="0"/>
        <w:jc w:val="left"/>
        <w:rPr>
          <w:color w:val="000000"/>
          <w:sz w:val="22"/>
          <w:szCs w:val="22"/>
          <w:lang w:val="bg-BG"/>
        </w:rPr>
      </w:pPr>
      <w:r w:rsidRPr="00FE6AC6">
        <w:rPr>
          <w:color w:val="000000"/>
          <w:sz w:val="22"/>
          <w:szCs w:val="22"/>
          <w:lang w:val="bg-BG"/>
        </w:rPr>
        <w:t xml:space="preserve">Няма контролирани клинични изпитвания при педиатрични пациенти с ХЕС/ХЕЛ. В 3 публикации се съобщава за 3 пациенти с ХЕС и ХЕЛ, свързани с </w:t>
      </w:r>
      <w:r w:rsidRPr="00FE6AC6">
        <w:rPr>
          <w:color w:val="000000"/>
          <w:sz w:val="22"/>
          <w:szCs w:val="22"/>
        </w:rPr>
        <w:t>PDGFR</w:t>
      </w:r>
      <w:r w:rsidRPr="00FE6AC6">
        <w:rPr>
          <w:color w:val="000000"/>
          <w:sz w:val="22"/>
          <w:szCs w:val="22"/>
          <w:lang w:val="bg-BG"/>
        </w:rPr>
        <w:t xml:space="preserve"> генни </w:t>
      </w:r>
      <w:r w:rsidR="00683C99" w:rsidRPr="00FE6AC6">
        <w:rPr>
          <w:color w:val="000000"/>
          <w:sz w:val="22"/>
          <w:szCs w:val="22"/>
          <w:lang w:val="bg-BG"/>
        </w:rPr>
        <w:t>пренареждания</w:t>
      </w:r>
      <w:r w:rsidRPr="00FE6AC6">
        <w:rPr>
          <w:color w:val="000000"/>
          <w:sz w:val="22"/>
          <w:szCs w:val="22"/>
          <w:lang w:val="bg-BG"/>
        </w:rPr>
        <w:t xml:space="preserve">. Възрастта на тези пациенти варира от 2 до 16 години, а иматиниб е прилаган в </w:t>
      </w:r>
      <w:r w:rsidR="009E5A86" w:rsidRPr="00FE6AC6">
        <w:rPr>
          <w:color w:val="000000"/>
          <w:sz w:val="22"/>
          <w:szCs w:val="22"/>
          <w:lang w:val="bg-BG"/>
        </w:rPr>
        <w:t>доза от 300</w:t>
      </w:r>
      <w:r w:rsidR="009E5A86" w:rsidRPr="00FE6AC6">
        <w:rPr>
          <w:color w:val="000000"/>
          <w:sz w:val="22"/>
          <w:szCs w:val="22"/>
        </w:rPr>
        <w:t> </w:t>
      </w:r>
      <w:r w:rsidR="009E5A86" w:rsidRPr="00FE6AC6">
        <w:rPr>
          <w:color w:val="000000"/>
          <w:sz w:val="22"/>
          <w:szCs w:val="22"/>
          <w:lang w:val="en-GB"/>
        </w:rPr>
        <w:t>mg</w:t>
      </w:r>
      <w:r w:rsidR="009E5A86" w:rsidRPr="00FE6AC6">
        <w:rPr>
          <w:color w:val="000000"/>
          <w:sz w:val="22"/>
          <w:szCs w:val="22"/>
          <w:lang w:val="bg-BG"/>
        </w:rPr>
        <w:t>/</w:t>
      </w:r>
      <w:r w:rsidR="009E5A86" w:rsidRPr="00FE6AC6">
        <w:rPr>
          <w:color w:val="000000"/>
          <w:sz w:val="22"/>
          <w:szCs w:val="22"/>
          <w:lang w:val="en-GB"/>
        </w:rPr>
        <w:t>m</w:t>
      </w:r>
      <w:r w:rsidR="009E5A86" w:rsidRPr="00FE6AC6">
        <w:rPr>
          <w:color w:val="000000"/>
          <w:sz w:val="22"/>
          <w:szCs w:val="22"/>
          <w:vertAlign w:val="superscript"/>
          <w:lang w:val="bg-BG"/>
        </w:rPr>
        <w:t>2</w:t>
      </w:r>
      <w:r w:rsidR="009E5A86" w:rsidRPr="00FE6AC6">
        <w:rPr>
          <w:color w:val="000000"/>
          <w:sz w:val="22"/>
          <w:szCs w:val="22"/>
          <w:lang w:val="bg-BG"/>
        </w:rPr>
        <w:t xml:space="preserve"> дневно или в </w:t>
      </w:r>
      <w:r w:rsidRPr="00FE6AC6">
        <w:rPr>
          <w:color w:val="000000"/>
          <w:sz w:val="22"/>
          <w:szCs w:val="22"/>
          <w:lang w:val="bg-BG"/>
        </w:rPr>
        <w:t>дози в интервала от 200 до 400</w:t>
      </w:r>
      <w:r w:rsidRPr="00FE6AC6">
        <w:rPr>
          <w:color w:val="000000"/>
          <w:sz w:val="22"/>
          <w:szCs w:val="22"/>
        </w:rPr>
        <w:t> </w:t>
      </w:r>
      <w:r w:rsidRPr="00FE6AC6">
        <w:rPr>
          <w:color w:val="000000"/>
          <w:sz w:val="22"/>
          <w:szCs w:val="22"/>
          <w:lang w:val="en-GB"/>
        </w:rPr>
        <w:t>mg</w:t>
      </w:r>
      <w:r w:rsidRPr="00FE6AC6">
        <w:rPr>
          <w:color w:val="000000"/>
          <w:sz w:val="22"/>
          <w:szCs w:val="22"/>
          <w:lang w:val="bg-BG"/>
        </w:rPr>
        <w:t xml:space="preserve"> дневно. </w:t>
      </w:r>
      <w:r w:rsidR="0070617A" w:rsidRPr="00FE6AC6">
        <w:rPr>
          <w:color w:val="000000"/>
          <w:sz w:val="22"/>
          <w:szCs w:val="22"/>
          <w:lang w:val="bg-BG"/>
        </w:rPr>
        <w:t xml:space="preserve">При всички пациенти е постигнат пълен хематологичен, </w:t>
      </w:r>
      <w:r w:rsidR="00A235A6" w:rsidRPr="00FE6AC6">
        <w:rPr>
          <w:color w:val="000000"/>
          <w:sz w:val="22"/>
          <w:szCs w:val="22"/>
          <w:lang w:val="bg-BG"/>
        </w:rPr>
        <w:t xml:space="preserve">пълен </w:t>
      </w:r>
      <w:r w:rsidR="0070617A" w:rsidRPr="00FE6AC6">
        <w:rPr>
          <w:color w:val="000000"/>
          <w:sz w:val="22"/>
          <w:szCs w:val="22"/>
          <w:lang w:val="bg-BG"/>
        </w:rPr>
        <w:t xml:space="preserve">цитогенетичен и/или </w:t>
      </w:r>
      <w:r w:rsidR="00A235A6" w:rsidRPr="00FE6AC6">
        <w:rPr>
          <w:color w:val="000000"/>
          <w:sz w:val="22"/>
          <w:szCs w:val="22"/>
          <w:lang w:val="bg-BG"/>
        </w:rPr>
        <w:t xml:space="preserve">пълен </w:t>
      </w:r>
      <w:r w:rsidR="000A0721" w:rsidRPr="00FE6AC6">
        <w:rPr>
          <w:color w:val="000000"/>
          <w:sz w:val="22"/>
          <w:szCs w:val="22"/>
          <w:lang w:val="bg-BG"/>
        </w:rPr>
        <w:t>молекулярен</w:t>
      </w:r>
      <w:r w:rsidR="0070617A" w:rsidRPr="00FE6AC6">
        <w:rPr>
          <w:color w:val="000000"/>
          <w:sz w:val="22"/>
          <w:szCs w:val="22"/>
          <w:lang w:val="bg-BG"/>
        </w:rPr>
        <w:t xml:space="preserve"> отговор.</w:t>
      </w:r>
    </w:p>
    <w:p w14:paraId="3E54FF23" w14:textId="77777777" w:rsidR="008E65E6" w:rsidRPr="00FE6AC6" w:rsidRDefault="008E65E6" w:rsidP="0063575E">
      <w:pPr>
        <w:widowControl w:val="0"/>
        <w:spacing w:line="240" w:lineRule="auto"/>
        <w:rPr>
          <w:color w:val="000000"/>
          <w:lang w:val="ru-RU"/>
        </w:rPr>
      </w:pPr>
    </w:p>
    <w:p w14:paraId="3E54FF24" w14:textId="77777777" w:rsidR="007D128F" w:rsidRPr="00FE6AC6" w:rsidRDefault="007D128F" w:rsidP="0063575E">
      <w:pPr>
        <w:keepNext/>
        <w:widowControl w:val="0"/>
        <w:spacing w:line="240" w:lineRule="auto"/>
        <w:rPr>
          <w:color w:val="000000"/>
          <w:u w:val="single"/>
          <w:lang w:val="bg-BG"/>
        </w:rPr>
      </w:pPr>
      <w:r w:rsidRPr="00FE6AC6">
        <w:rPr>
          <w:color w:val="000000"/>
          <w:u w:val="single"/>
          <w:lang w:val="bg-BG"/>
        </w:rPr>
        <w:t>Клинични проучвания при неподлежащи на резекция и/или метастатични ГИСТ</w:t>
      </w:r>
    </w:p>
    <w:p w14:paraId="3E54FF25" w14:textId="77777777" w:rsidR="001636FA" w:rsidRPr="00FE6AC6" w:rsidRDefault="001636FA" w:rsidP="0063575E">
      <w:pPr>
        <w:widowControl w:val="0"/>
        <w:spacing w:line="240" w:lineRule="auto"/>
        <w:rPr>
          <w:color w:val="000000"/>
          <w:lang w:val="bg-BG"/>
        </w:rPr>
      </w:pPr>
      <w:r w:rsidRPr="00FE6AC6">
        <w:rPr>
          <w:color w:val="000000"/>
          <w:lang w:val="bg-BG"/>
        </w:rPr>
        <w:t xml:space="preserve">Проведено е едно фаза ІІ, отворено, рандомизирано, неконтролирано </w:t>
      </w:r>
      <w:r w:rsidR="00823833" w:rsidRPr="00FE6AC6">
        <w:rPr>
          <w:color w:val="000000"/>
          <w:lang w:val="bg-BG"/>
        </w:rPr>
        <w:t>мулти</w:t>
      </w:r>
      <w:r w:rsidRPr="00FE6AC6">
        <w:rPr>
          <w:color w:val="000000"/>
          <w:lang w:val="bg-BG"/>
        </w:rPr>
        <w:t xml:space="preserve">национално проучване при пациенти с неподлежащи на резекция или метастатични злокачествени гастро-интестинални стромални тумори (ГИСТ). В това проучване са включени 147 пациенти, които са рандомизирани да получават перорално 400 mg или 600 mg </w:t>
      </w:r>
      <w:r w:rsidR="008A4143" w:rsidRPr="00FE6AC6">
        <w:rPr>
          <w:color w:val="000000"/>
          <w:lang w:val="bg-BG"/>
        </w:rPr>
        <w:t xml:space="preserve">веднъж </w:t>
      </w:r>
      <w:r w:rsidRPr="00FE6AC6">
        <w:rPr>
          <w:color w:val="000000"/>
          <w:lang w:val="bg-BG"/>
        </w:rPr>
        <w:t xml:space="preserve">дневно за период до 36 месеца. Възрастта на тези пациенти е от 18 до 83 години и са с патохистологична диагноза за положителен за Kit злокачествен ГИСТ, който не подлежи на хирургично отстраняване и/или е метастатичен. Извършено е рутинно имунохистохимично изследване с антитяло за Kit (A-4502, заешки поликлонален антисерум, 1:100; </w:t>
      </w:r>
      <w:r w:rsidRPr="00FE6AC6">
        <w:rPr>
          <w:i/>
          <w:color w:val="000000"/>
          <w:lang w:val="bg-BG"/>
        </w:rPr>
        <w:t>DAKO Corporation, Carpinteria, CA</w:t>
      </w:r>
      <w:r w:rsidRPr="00FE6AC6">
        <w:rPr>
          <w:color w:val="000000"/>
          <w:lang w:val="bg-BG"/>
        </w:rPr>
        <w:t>) в съответствие с анализа по авидин-биотин-пероксидазен метод след антигенно възстановяване.</w:t>
      </w:r>
    </w:p>
    <w:p w14:paraId="3E54FF26" w14:textId="77777777" w:rsidR="001636FA" w:rsidRPr="00FE6AC6" w:rsidRDefault="001636FA" w:rsidP="0063575E">
      <w:pPr>
        <w:widowControl w:val="0"/>
        <w:spacing w:line="240" w:lineRule="auto"/>
        <w:rPr>
          <w:color w:val="000000"/>
          <w:lang w:val="bg-BG"/>
        </w:rPr>
      </w:pPr>
    </w:p>
    <w:p w14:paraId="3E54FF27" w14:textId="77777777" w:rsidR="001636FA" w:rsidRPr="00FE6AC6" w:rsidRDefault="001636FA" w:rsidP="0063575E">
      <w:pPr>
        <w:widowControl w:val="0"/>
        <w:spacing w:line="240" w:lineRule="auto"/>
        <w:rPr>
          <w:color w:val="000000"/>
          <w:lang w:val="bg-BG"/>
        </w:rPr>
      </w:pPr>
      <w:r w:rsidRPr="00FE6AC6">
        <w:rPr>
          <w:color w:val="000000"/>
          <w:lang w:val="bg-BG"/>
        </w:rPr>
        <w:t>Първичн</w:t>
      </w:r>
      <w:r w:rsidR="008A4143" w:rsidRPr="00FE6AC6">
        <w:rPr>
          <w:color w:val="000000"/>
          <w:lang w:val="bg-BG"/>
        </w:rPr>
        <w:t>ите данни за</w:t>
      </w:r>
      <w:r w:rsidRPr="00FE6AC6">
        <w:rPr>
          <w:color w:val="000000"/>
          <w:lang w:val="bg-BG"/>
        </w:rPr>
        <w:t xml:space="preserve"> ефикасността се основава</w:t>
      </w:r>
      <w:r w:rsidR="00A10FF9" w:rsidRPr="00FE6AC6">
        <w:rPr>
          <w:color w:val="000000"/>
          <w:lang w:val="bg-BG"/>
        </w:rPr>
        <w:t>т</w:t>
      </w:r>
      <w:r w:rsidRPr="00FE6AC6">
        <w:rPr>
          <w:color w:val="000000"/>
          <w:lang w:val="bg-BG"/>
        </w:rPr>
        <w:t xml:space="preserve"> на обективната степен на отговор. Необходимо е туморите да са измерими в поне едно от местата на засягане, а характеристиката на отговора се основава на критериите на </w:t>
      </w:r>
      <w:r w:rsidRPr="00FE6AC6">
        <w:rPr>
          <w:i/>
          <w:color w:val="000000"/>
          <w:lang w:val="bg-BG"/>
        </w:rPr>
        <w:t>Southwestern Oncology Group (SWOG).</w:t>
      </w:r>
      <w:r w:rsidRPr="00FE6AC6">
        <w:rPr>
          <w:color w:val="000000"/>
          <w:lang w:val="bg-BG"/>
        </w:rPr>
        <w:t xml:space="preserve"> Резултатите са представени в Таблица </w:t>
      </w:r>
      <w:r w:rsidR="008C64DA" w:rsidRPr="00FE6AC6">
        <w:rPr>
          <w:color w:val="000000"/>
          <w:lang w:val="bg-BG"/>
        </w:rPr>
        <w:t>6</w:t>
      </w:r>
      <w:r w:rsidRPr="00FE6AC6">
        <w:rPr>
          <w:color w:val="000000"/>
          <w:lang w:val="bg-BG"/>
        </w:rPr>
        <w:t>.</w:t>
      </w:r>
    </w:p>
    <w:p w14:paraId="3E54FF28" w14:textId="77777777" w:rsidR="001636FA" w:rsidRPr="00FE6AC6" w:rsidRDefault="001636FA" w:rsidP="0063575E">
      <w:pPr>
        <w:widowControl w:val="0"/>
        <w:spacing w:line="240" w:lineRule="auto"/>
        <w:rPr>
          <w:color w:val="000000"/>
          <w:lang w:val="bg-BG"/>
        </w:rPr>
      </w:pPr>
    </w:p>
    <w:p w14:paraId="3E54FF29" w14:textId="77777777" w:rsidR="001636FA" w:rsidRPr="00FE6AC6" w:rsidRDefault="001636FA" w:rsidP="008143B1">
      <w:pPr>
        <w:keepNext/>
        <w:widowControl w:val="0"/>
        <w:tabs>
          <w:tab w:val="clear" w:pos="567"/>
          <w:tab w:val="left" w:pos="1134"/>
        </w:tabs>
        <w:spacing w:line="240" w:lineRule="auto"/>
        <w:rPr>
          <w:color w:val="000000"/>
          <w:lang w:val="bg-BG"/>
        </w:rPr>
      </w:pPr>
      <w:r w:rsidRPr="00FE6AC6">
        <w:rPr>
          <w:b/>
          <w:color w:val="000000"/>
          <w:lang w:val="bg-BG"/>
        </w:rPr>
        <w:t>Таблица </w:t>
      </w:r>
      <w:r w:rsidR="008C64DA" w:rsidRPr="00FE6AC6">
        <w:rPr>
          <w:b/>
          <w:color w:val="000000"/>
          <w:lang w:val="bg-BG"/>
        </w:rPr>
        <w:t>6</w:t>
      </w:r>
      <w:r w:rsidRPr="00FE6AC6">
        <w:rPr>
          <w:b/>
          <w:color w:val="000000"/>
          <w:lang w:val="bg-BG"/>
        </w:rPr>
        <w:tab/>
        <w:t>Най–добър отговор от срана на тумора при проучване STIB2222 (ГИСТ)</w:t>
      </w:r>
    </w:p>
    <w:p w14:paraId="3E54FF2A" w14:textId="77777777" w:rsidR="001636FA" w:rsidRPr="00FE6AC6" w:rsidRDefault="001636FA" w:rsidP="008143B1">
      <w:pPr>
        <w:keepNext/>
        <w:widowControl w:val="0"/>
        <w:spacing w:line="240" w:lineRule="auto"/>
        <w:rPr>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1636FA" w:rsidRPr="00FE6AC6" w14:paraId="3E54FF33" w14:textId="77777777" w:rsidTr="008143B1">
        <w:trPr>
          <w:cantSplit/>
        </w:trPr>
        <w:tc>
          <w:tcPr>
            <w:tcW w:w="4643" w:type="dxa"/>
            <w:tcBorders>
              <w:left w:val="nil"/>
              <w:bottom w:val="single" w:sz="4" w:space="0" w:color="auto"/>
              <w:right w:val="nil"/>
            </w:tcBorders>
          </w:tcPr>
          <w:p w14:paraId="3E54FF2B" w14:textId="77777777" w:rsidR="001636FA" w:rsidRPr="00FE6AC6" w:rsidRDefault="001636FA" w:rsidP="008143B1">
            <w:pPr>
              <w:pStyle w:val="EndnoteText"/>
              <w:keepNext/>
              <w:widowControl w:val="0"/>
              <w:tabs>
                <w:tab w:val="clear" w:pos="567"/>
              </w:tabs>
              <w:rPr>
                <w:color w:val="000000"/>
                <w:lang w:val="bg-BG"/>
              </w:rPr>
            </w:pPr>
          </w:p>
          <w:p w14:paraId="3E54FF2C" w14:textId="77777777" w:rsidR="001636FA" w:rsidRPr="00FE6AC6" w:rsidRDefault="001636FA" w:rsidP="008143B1">
            <w:pPr>
              <w:pStyle w:val="EndnoteText"/>
              <w:keepNext/>
              <w:widowControl w:val="0"/>
              <w:tabs>
                <w:tab w:val="clear" w:pos="567"/>
              </w:tabs>
              <w:rPr>
                <w:color w:val="000000"/>
                <w:lang w:val="bg-BG"/>
              </w:rPr>
            </w:pPr>
          </w:p>
          <w:p w14:paraId="3E54FF2D" w14:textId="77777777" w:rsidR="001636FA" w:rsidRPr="00FE6AC6" w:rsidRDefault="001636FA" w:rsidP="008143B1">
            <w:pPr>
              <w:pStyle w:val="EndnoteText"/>
              <w:keepNext/>
              <w:widowControl w:val="0"/>
              <w:tabs>
                <w:tab w:val="clear" w:pos="567"/>
              </w:tabs>
              <w:rPr>
                <w:color w:val="000000"/>
                <w:lang w:val="bg-BG"/>
              </w:rPr>
            </w:pPr>
          </w:p>
          <w:p w14:paraId="3E54FF2E" w14:textId="77777777" w:rsidR="001636FA" w:rsidRPr="00FE6AC6" w:rsidRDefault="001636FA" w:rsidP="008143B1">
            <w:pPr>
              <w:pStyle w:val="EndnoteText"/>
              <w:keepNext/>
              <w:widowControl w:val="0"/>
              <w:tabs>
                <w:tab w:val="clear" w:pos="567"/>
              </w:tabs>
              <w:rPr>
                <w:color w:val="000000"/>
              </w:rPr>
            </w:pPr>
            <w:r w:rsidRPr="00FE6AC6">
              <w:rPr>
                <w:color w:val="000000"/>
                <w:lang w:val="bg-BG"/>
              </w:rPr>
              <w:t>Най-добър отговор</w:t>
            </w:r>
          </w:p>
        </w:tc>
        <w:tc>
          <w:tcPr>
            <w:tcW w:w="4643" w:type="dxa"/>
            <w:tcBorders>
              <w:left w:val="nil"/>
              <w:bottom w:val="single" w:sz="4" w:space="0" w:color="auto"/>
              <w:right w:val="nil"/>
            </w:tcBorders>
          </w:tcPr>
          <w:p w14:paraId="3E54FF2F"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Всички дози (n=147)</w:t>
            </w:r>
          </w:p>
          <w:p w14:paraId="3E54FF30" w14:textId="77777777" w:rsidR="001636FA" w:rsidRPr="00FE6AC6" w:rsidRDefault="001636FA" w:rsidP="008143B1">
            <w:pPr>
              <w:keepNext/>
              <w:widowControl w:val="0"/>
              <w:spacing w:line="240" w:lineRule="auto"/>
              <w:jc w:val="center"/>
              <w:rPr>
                <w:color w:val="000000"/>
                <w:lang w:val="bg-BG"/>
              </w:rPr>
            </w:pPr>
            <w:r w:rsidRPr="00FE6AC6">
              <w:rPr>
                <w:color w:val="000000"/>
                <w:lang w:val="bg-BG"/>
              </w:rPr>
              <w:t>400 mg (n=73)</w:t>
            </w:r>
          </w:p>
          <w:p w14:paraId="3E54FF31" w14:textId="77777777" w:rsidR="001636FA" w:rsidRPr="00FE6AC6" w:rsidRDefault="001636FA" w:rsidP="008143B1">
            <w:pPr>
              <w:pStyle w:val="EndnoteText"/>
              <w:keepNext/>
              <w:widowControl w:val="0"/>
              <w:tabs>
                <w:tab w:val="clear" w:pos="567"/>
              </w:tabs>
              <w:jc w:val="center"/>
              <w:rPr>
                <w:color w:val="000000"/>
              </w:rPr>
            </w:pPr>
            <w:r w:rsidRPr="00FE6AC6">
              <w:rPr>
                <w:color w:val="000000"/>
                <w:lang w:val="bg-BG"/>
              </w:rPr>
              <w:t>600 mg (n=74)</w:t>
            </w:r>
          </w:p>
          <w:p w14:paraId="3E54FF32" w14:textId="77777777" w:rsidR="001636FA" w:rsidRPr="00FE6AC6" w:rsidRDefault="001636FA" w:rsidP="008143B1">
            <w:pPr>
              <w:pStyle w:val="EndnoteText"/>
              <w:keepNext/>
              <w:widowControl w:val="0"/>
              <w:tabs>
                <w:tab w:val="clear" w:pos="567"/>
              </w:tabs>
              <w:jc w:val="center"/>
              <w:rPr>
                <w:color w:val="000000"/>
              </w:rPr>
            </w:pPr>
            <w:r w:rsidRPr="00FE6AC6">
              <w:rPr>
                <w:color w:val="000000"/>
              </w:rPr>
              <w:t>n (%)</w:t>
            </w:r>
          </w:p>
        </w:tc>
      </w:tr>
      <w:tr w:rsidR="001636FA" w:rsidRPr="00FE6AC6" w14:paraId="3E54FF36" w14:textId="77777777" w:rsidTr="008143B1">
        <w:trPr>
          <w:cantSplit/>
        </w:trPr>
        <w:tc>
          <w:tcPr>
            <w:tcW w:w="4643" w:type="dxa"/>
            <w:tcBorders>
              <w:top w:val="nil"/>
              <w:left w:val="nil"/>
              <w:bottom w:val="nil"/>
              <w:right w:val="nil"/>
            </w:tcBorders>
          </w:tcPr>
          <w:p w14:paraId="3E54FF34" w14:textId="77777777" w:rsidR="001636FA" w:rsidRPr="00FE6AC6" w:rsidRDefault="001636FA" w:rsidP="008143B1">
            <w:pPr>
              <w:pStyle w:val="EndnoteText"/>
              <w:keepNext/>
              <w:widowControl w:val="0"/>
              <w:tabs>
                <w:tab w:val="clear" w:pos="567"/>
              </w:tabs>
              <w:rPr>
                <w:color w:val="000000"/>
              </w:rPr>
            </w:pPr>
            <w:r w:rsidRPr="00FE6AC6">
              <w:rPr>
                <w:color w:val="000000"/>
                <w:lang w:val="bg-BG"/>
              </w:rPr>
              <w:t>Пълен отговор</w:t>
            </w:r>
          </w:p>
        </w:tc>
        <w:tc>
          <w:tcPr>
            <w:tcW w:w="4643" w:type="dxa"/>
            <w:tcBorders>
              <w:top w:val="nil"/>
              <w:left w:val="nil"/>
              <w:bottom w:val="nil"/>
              <w:right w:val="nil"/>
            </w:tcBorders>
          </w:tcPr>
          <w:p w14:paraId="3E54FF35" w14:textId="77777777" w:rsidR="001636FA" w:rsidRPr="00FE6AC6" w:rsidRDefault="001636FA" w:rsidP="008143B1">
            <w:pPr>
              <w:pStyle w:val="EndnoteText"/>
              <w:keepNext/>
              <w:widowControl w:val="0"/>
              <w:tabs>
                <w:tab w:val="clear" w:pos="567"/>
              </w:tabs>
              <w:jc w:val="center"/>
              <w:rPr>
                <w:color w:val="000000"/>
              </w:rPr>
            </w:pPr>
            <w:r w:rsidRPr="00FE6AC6">
              <w:rPr>
                <w:rFonts w:eastAsia="MS Mincho"/>
                <w:color w:val="000000"/>
              </w:rPr>
              <w:t>1 (0</w:t>
            </w:r>
            <w:r w:rsidRPr="00FE6AC6">
              <w:rPr>
                <w:rFonts w:eastAsia="MS Mincho"/>
                <w:color w:val="000000"/>
                <w:lang w:val="bg-BG"/>
              </w:rPr>
              <w:t>,</w:t>
            </w:r>
            <w:r w:rsidRPr="00FE6AC6">
              <w:rPr>
                <w:rFonts w:eastAsia="MS Mincho"/>
                <w:color w:val="000000"/>
              </w:rPr>
              <w:t>7)</w:t>
            </w:r>
          </w:p>
        </w:tc>
      </w:tr>
      <w:tr w:rsidR="001636FA" w:rsidRPr="00FE6AC6" w14:paraId="3E54FF39" w14:textId="77777777" w:rsidTr="008143B1">
        <w:trPr>
          <w:cantSplit/>
        </w:trPr>
        <w:tc>
          <w:tcPr>
            <w:tcW w:w="4643" w:type="dxa"/>
            <w:tcBorders>
              <w:top w:val="nil"/>
              <w:left w:val="nil"/>
              <w:bottom w:val="nil"/>
              <w:right w:val="nil"/>
            </w:tcBorders>
          </w:tcPr>
          <w:p w14:paraId="3E54FF37" w14:textId="77777777" w:rsidR="001636FA" w:rsidRPr="00FE6AC6" w:rsidRDefault="001636FA" w:rsidP="008143B1">
            <w:pPr>
              <w:pStyle w:val="EndnoteText"/>
              <w:keepNext/>
              <w:widowControl w:val="0"/>
              <w:tabs>
                <w:tab w:val="clear" w:pos="567"/>
              </w:tabs>
              <w:rPr>
                <w:color w:val="000000"/>
              </w:rPr>
            </w:pPr>
            <w:r w:rsidRPr="00FE6AC6">
              <w:rPr>
                <w:color w:val="000000"/>
                <w:lang w:val="bg-BG"/>
              </w:rPr>
              <w:t>Частичен отговор</w:t>
            </w:r>
          </w:p>
        </w:tc>
        <w:tc>
          <w:tcPr>
            <w:tcW w:w="4643" w:type="dxa"/>
            <w:tcBorders>
              <w:top w:val="nil"/>
              <w:left w:val="nil"/>
              <w:bottom w:val="nil"/>
              <w:right w:val="nil"/>
            </w:tcBorders>
          </w:tcPr>
          <w:p w14:paraId="3E54FF38" w14:textId="77777777" w:rsidR="001636FA" w:rsidRPr="00FE6AC6" w:rsidRDefault="001636FA" w:rsidP="008143B1">
            <w:pPr>
              <w:pStyle w:val="EndnoteText"/>
              <w:keepNext/>
              <w:widowControl w:val="0"/>
              <w:tabs>
                <w:tab w:val="clear" w:pos="567"/>
              </w:tabs>
              <w:jc w:val="center"/>
              <w:rPr>
                <w:color w:val="000000"/>
              </w:rPr>
            </w:pPr>
            <w:r w:rsidRPr="00FE6AC6">
              <w:rPr>
                <w:rFonts w:eastAsia="MS Mincho"/>
                <w:color w:val="000000"/>
              </w:rPr>
              <w:t>98 (66</w:t>
            </w:r>
            <w:r w:rsidRPr="00FE6AC6">
              <w:rPr>
                <w:rFonts w:eastAsia="MS Mincho"/>
                <w:color w:val="000000"/>
                <w:lang w:val="bg-BG"/>
              </w:rPr>
              <w:t>,</w:t>
            </w:r>
            <w:r w:rsidRPr="00FE6AC6">
              <w:rPr>
                <w:rFonts w:eastAsia="MS Mincho"/>
                <w:color w:val="000000"/>
              </w:rPr>
              <w:t>7)</w:t>
            </w:r>
          </w:p>
        </w:tc>
      </w:tr>
      <w:tr w:rsidR="001636FA" w:rsidRPr="00FE6AC6" w14:paraId="3E54FF3C" w14:textId="77777777" w:rsidTr="008143B1">
        <w:trPr>
          <w:cantSplit/>
        </w:trPr>
        <w:tc>
          <w:tcPr>
            <w:tcW w:w="4643" w:type="dxa"/>
            <w:tcBorders>
              <w:top w:val="nil"/>
              <w:left w:val="nil"/>
              <w:bottom w:val="nil"/>
              <w:right w:val="nil"/>
            </w:tcBorders>
          </w:tcPr>
          <w:p w14:paraId="3E54FF3A" w14:textId="77777777" w:rsidR="001636FA" w:rsidRPr="00FE6AC6" w:rsidRDefault="001636FA" w:rsidP="008143B1">
            <w:pPr>
              <w:pStyle w:val="EndnoteText"/>
              <w:keepNext/>
              <w:widowControl w:val="0"/>
              <w:tabs>
                <w:tab w:val="clear" w:pos="567"/>
              </w:tabs>
              <w:rPr>
                <w:color w:val="000000"/>
              </w:rPr>
            </w:pPr>
            <w:r w:rsidRPr="00FE6AC6">
              <w:rPr>
                <w:color w:val="000000"/>
                <w:lang w:val="bg-BG"/>
              </w:rPr>
              <w:t>Стабилно заболяване</w:t>
            </w:r>
          </w:p>
        </w:tc>
        <w:tc>
          <w:tcPr>
            <w:tcW w:w="4643" w:type="dxa"/>
            <w:tcBorders>
              <w:top w:val="nil"/>
              <w:left w:val="nil"/>
              <w:bottom w:val="nil"/>
              <w:right w:val="nil"/>
            </w:tcBorders>
          </w:tcPr>
          <w:p w14:paraId="3E54FF3B" w14:textId="77777777" w:rsidR="001636FA" w:rsidRPr="00FE6AC6" w:rsidRDefault="001636FA" w:rsidP="008143B1">
            <w:pPr>
              <w:pStyle w:val="EndnoteText"/>
              <w:keepNext/>
              <w:widowControl w:val="0"/>
              <w:tabs>
                <w:tab w:val="clear" w:pos="567"/>
              </w:tabs>
              <w:jc w:val="center"/>
              <w:rPr>
                <w:color w:val="000000"/>
              </w:rPr>
            </w:pPr>
            <w:r w:rsidRPr="00FE6AC6">
              <w:rPr>
                <w:rFonts w:eastAsia="MS Mincho"/>
                <w:color w:val="000000"/>
              </w:rPr>
              <w:t>23 (15</w:t>
            </w:r>
            <w:r w:rsidRPr="00FE6AC6">
              <w:rPr>
                <w:rFonts w:eastAsia="MS Mincho"/>
                <w:color w:val="000000"/>
                <w:lang w:val="bg-BG"/>
              </w:rPr>
              <w:t>,</w:t>
            </w:r>
            <w:r w:rsidRPr="00FE6AC6">
              <w:rPr>
                <w:rFonts w:eastAsia="MS Mincho"/>
                <w:color w:val="000000"/>
              </w:rPr>
              <w:t>6)</w:t>
            </w:r>
          </w:p>
        </w:tc>
      </w:tr>
      <w:tr w:rsidR="001636FA" w:rsidRPr="00FE6AC6" w14:paraId="3E54FF3F" w14:textId="77777777" w:rsidTr="008143B1">
        <w:trPr>
          <w:cantSplit/>
        </w:trPr>
        <w:tc>
          <w:tcPr>
            <w:tcW w:w="4643" w:type="dxa"/>
            <w:tcBorders>
              <w:top w:val="nil"/>
              <w:left w:val="nil"/>
              <w:bottom w:val="nil"/>
              <w:right w:val="nil"/>
            </w:tcBorders>
          </w:tcPr>
          <w:p w14:paraId="3E54FF3D" w14:textId="77777777" w:rsidR="001636FA" w:rsidRPr="00FE6AC6" w:rsidRDefault="001636FA" w:rsidP="008143B1">
            <w:pPr>
              <w:pStyle w:val="EndnoteText"/>
              <w:keepNext/>
              <w:widowControl w:val="0"/>
              <w:tabs>
                <w:tab w:val="clear" w:pos="567"/>
              </w:tabs>
              <w:rPr>
                <w:color w:val="000000"/>
              </w:rPr>
            </w:pPr>
            <w:r w:rsidRPr="00FE6AC6">
              <w:rPr>
                <w:color w:val="000000"/>
                <w:lang w:val="bg-BG"/>
              </w:rPr>
              <w:t>Прогресиращо заболяване</w:t>
            </w:r>
          </w:p>
        </w:tc>
        <w:tc>
          <w:tcPr>
            <w:tcW w:w="4643" w:type="dxa"/>
            <w:tcBorders>
              <w:top w:val="nil"/>
              <w:left w:val="nil"/>
              <w:bottom w:val="nil"/>
              <w:right w:val="nil"/>
            </w:tcBorders>
          </w:tcPr>
          <w:p w14:paraId="3E54FF3E" w14:textId="77777777" w:rsidR="001636FA" w:rsidRPr="00FE6AC6" w:rsidRDefault="001636FA" w:rsidP="008143B1">
            <w:pPr>
              <w:pStyle w:val="EndnoteText"/>
              <w:keepNext/>
              <w:widowControl w:val="0"/>
              <w:tabs>
                <w:tab w:val="clear" w:pos="567"/>
              </w:tabs>
              <w:jc w:val="center"/>
              <w:rPr>
                <w:color w:val="000000"/>
              </w:rPr>
            </w:pPr>
            <w:r w:rsidRPr="00FE6AC6">
              <w:rPr>
                <w:rFonts w:eastAsia="MS Mincho"/>
                <w:color w:val="000000"/>
              </w:rPr>
              <w:t>18 (12</w:t>
            </w:r>
            <w:r w:rsidRPr="00FE6AC6">
              <w:rPr>
                <w:rFonts w:eastAsia="MS Mincho"/>
                <w:color w:val="000000"/>
                <w:lang w:val="bg-BG"/>
              </w:rPr>
              <w:t>,</w:t>
            </w:r>
            <w:r w:rsidRPr="00FE6AC6">
              <w:rPr>
                <w:rFonts w:eastAsia="MS Mincho"/>
                <w:color w:val="000000"/>
              </w:rPr>
              <w:t>2)</w:t>
            </w:r>
          </w:p>
        </w:tc>
      </w:tr>
      <w:tr w:rsidR="001636FA" w:rsidRPr="00FE6AC6" w14:paraId="3E54FF42" w14:textId="77777777" w:rsidTr="008143B1">
        <w:trPr>
          <w:cantSplit/>
        </w:trPr>
        <w:tc>
          <w:tcPr>
            <w:tcW w:w="4643" w:type="dxa"/>
            <w:tcBorders>
              <w:top w:val="nil"/>
              <w:left w:val="nil"/>
              <w:bottom w:val="nil"/>
              <w:right w:val="nil"/>
            </w:tcBorders>
          </w:tcPr>
          <w:p w14:paraId="3E54FF40" w14:textId="77777777" w:rsidR="001636FA" w:rsidRPr="00FE6AC6" w:rsidRDefault="001636FA" w:rsidP="008143B1">
            <w:pPr>
              <w:pStyle w:val="EndnoteText"/>
              <w:keepNext/>
              <w:widowControl w:val="0"/>
              <w:tabs>
                <w:tab w:val="clear" w:pos="567"/>
              </w:tabs>
              <w:rPr>
                <w:color w:val="000000"/>
                <w:lang w:val="ru-RU"/>
              </w:rPr>
            </w:pPr>
            <w:r w:rsidRPr="00FE6AC6">
              <w:rPr>
                <w:color w:val="000000"/>
                <w:lang w:val="bg-BG"/>
              </w:rPr>
              <w:t>Не може да бъде оценен</w:t>
            </w:r>
          </w:p>
        </w:tc>
        <w:tc>
          <w:tcPr>
            <w:tcW w:w="4643" w:type="dxa"/>
            <w:tcBorders>
              <w:top w:val="nil"/>
              <w:left w:val="nil"/>
              <w:bottom w:val="nil"/>
              <w:right w:val="nil"/>
            </w:tcBorders>
          </w:tcPr>
          <w:p w14:paraId="3E54FF41" w14:textId="77777777" w:rsidR="001636FA" w:rsidRPr="00FE6AC6" w:rsidRDefault="001636FA" w:rsidP="008143B1">
            <w:pPr>
              <w:pStyle w:val="EndnoteText"/>
              <w:keepNext/>
              <w:widowControl w:val="0"/>
              <w:tabs>
                <w:tab w:val="clear" w:pos="567"/>
              </w:tabs>
              <w:jc w:val="center"/>
              <w:rPr>
                <w:color w:val="000000"/>
              </w:rPr>
            </w:pPr>
            <w:r w:rsidRPr="00FE6AC6">
              <w:rPr>
                <w:rFonts w:eastAsia="MS Mincho"/>
                <w:color w:val="000000"/>
              </w:rPr>
              <w:t>5 (3</w:t>
            </w:r>
            <w:r w:rsidRPr="00FE6AC6">
              <w:rPr>
                <w:rFonts w:eastAsia="MS Mincho"/>
                <w:color w:val="000000"/>
                <w:lang w:val="bg-BG"/>
              </w:rPr>
              <w:t>,</w:t>
            </w:r>
            <w:r w:rsidRPr="00FE6AC6">
              <w:rPr>
                <w:rFonts w:eastAsia="MS Mincho"/>
                <w:color w:val="000000"/>
              </w:rPr>
              <w:t>4)</w:t>
            </w:r>
          </w:p>
        </w:tc>
      </w:tr>
      <w:tr w:rsidR="001636FA" w:rsidRPr="00FE6AC6" w14:paraId="3E54FF45" w14:textId="77777777" w:rsidTr="008143B1">
        <w:trPr>
          <w:cantSplit/>
        </w:trPr>
        <w:tc>
          <w:tcPr>
            <w:tcW w:w="4643" w:type="dxa"/>
            <w:tcBorders>
              <w:top w:val="nil"/>
              <w:left w:val="nil"/>
              <w:right w:val="nil"/>
            </w:tcBorders>
          </w:tcPr>
          <w:p w14:paraId="3E54FF43" w14:textId="77777777" w:rsidR="001636FA" w:rsidRPr="00FE6AC6" w:rsidRDefault="001636FA" w:rsidP="008143B1">
            <w:pPr>
              <w:pStyle w:val="EndnoteText"/>
              <w:widowControl w:val="0"/>
              <w:tabs>
                <w:tab w:val="clear" w:pos="567"/>
              </w:tabs>
              <w:rPr>
                <w:color w:val="000000"/>
              </w:rPr>
            </w:pPr>
            <w:r w:rsidRPr="00FE6AC6">
              <w:rPr>
                <w:color w:val="000000"/>
                <w:lang w:val="bg-BG"/>
              </w:rPr>
              <w:t>Неизвестен</w:t>
            </w:r>
          </w:p>
        </w:tc>
        <w:tc>
          <w:tcPr>
            <w:tcW w:w="4643" w:type="dxa"/>
            <w:tcBorders>
              <w:top w:val="nil"/>
              <w:left w:val="nil"/>
              <w:right w:val="nil"/>
            </w:tcBorders>
          </w:tcPr>
          <w:p w14:paraId="3E54FF44" w14:textId="77777777" w:rsidR="001636FA" w:rsidRPr="00FE6AC6" w:rsidRDefault="001636FA" w:rsidP="008143B1">
            <w:pPr>
              <w:pStyle w:val="EndnoteText"/>
              <w:widowControl w:val="0"/>
              <w:tabs>
                <w:tab w:val="clear" w:pos="567"/>
              </w:tabs>
              <w:jc w:val="center"/>
              <w:rPr>
                <w:color w:val="000000"/>
              </w:rPr>
            </w:pPr>
            <w:r w:rsidRPr="00FE6AC6">
              <w:rPr>
                <w:color w:val="000000"/>
              </w:rPr>
              <w:t>2 (1</w:t>
            </w:r>
            <w:r w:rsidRPr="00FE6AC6">
              <w:rPr>
                <w:color w:val="000000"/>
                <w:lang w:val="bg-BG"/>
              </w:rPr>
              <w:t>,</w:t>
            </w:r>
            <w:r w:rsidRPr="00FE6AC6">
              <w:rPr>
                <w:color w:val="000000"/>
              </w:rPr>
              <w:t>4)</w:t>
            </w:r>
          </w:p>
        </w:tc>
      </w:tr>
    </w:tbl>
    <w:p w14:paraId="3E54FF46" w14:textId="77777777" w:rsidR="001636FA" w:rsidRPr="00FE6AC6" w:rsidRDefault="001636FA" w:rsidP="0063575E">
      <w:pPr>
        <w:widowControl w:val="0"/>
        <w:spacing w:line="240" w:lineRule="auto"/>
        <w:rPr>
          <w:color w:val="000000"/>
          <w:lang w:val="bg-BG"/>
        </w:rPr>
      </w:pPr>
    </w:p>
    <w:p w14:paraId="3E54FF47" w14:textId="77777777" w:rsidR="001636FA" w:rsidRPr="00FE6AC6" w:rsidRDefault="001636FA" w:rsidP="0063575E">
      <w:pPr>
        <w:widowControl w:val="0"/>
        <w:spacing w:line="240" w:lineRule="auto"/>
        <w:rPr>
          <w:color w:val="000000"/>
          <w:lang w:val="bg-BG"/>
        </w:rPr>
      </w:pPr>
      <w:r w:rsidRPr="00FE6AC6">
        <w:rPr>
          <w:color w:val="000000"/>
          <w:lang w:val="bg-BG"/>
        </w:rPr>
        <w:t xml:space="preserve">Няма разлики в степените на отговор между двете дозови групи. Значителен брой от пациенти, които са със стабилно заболяване по време на междинния анализ постигат частичен отговор </w:t>
      </w:r>
      <w:r w:rsidR="00C65C45" w:rsidRPr="00FE6AC6">
        <w:rPr>
          <w:color w:val="000000"/>
          <w:lang w:val="bg-BG"/>
        </w:rPr>
        <w:t>при</w:t>
      </w:r>
      <w:r w:rsidRPr="00FE6AC6">
        <w:rPr>
          <w:color w:val="000000"/>
          <w:lang w:val="bg-BG"/>
        </w:rPr>
        <w:t xml:space="preserve"> по</w:t>
      </w:r>
      <w:r w:rsidR="00C65C45" w:rsidRPr="00FE6AC6">
        <w:rPr>
          <w:color w:val="000000"/>
          <w:lang w:val="bg-BG"/>
        </w:rPr>
        <w:t>-</w:t>
      </w:r>
      <w:r w:rsidRPr="00FE6AC6">
        <w:rPr>
          <w:color w:val="000000"/>
          <w:lang w:val="bg-BG"/>
        </w:rPr>
        <w:t xml:space="preserve">продължително лечение (средно проследяване 31 месеца). Средното време </w:t>
      </w:r>
      <w:r w:rsidR="00C65C45" w:rsidRPr="00FE6AC6">
        <w:rPr>
          <w:color w:val="000000"/>
          <w:lang w:val="bg-BG"/>
        </w:rPr>
        <w:t>до постигане на</w:t>
      </w:r>
      <w:r w:rsidRPr="00FE6AC6">
        <w:rPr>
          <w:color w:val="000000"/>
          <w:lang w:val="bg-BG"/>
        </w:rPr>
        <w:t xml:space="preserve"> отговор е 13 седмици (95%</w:t>
      </w:r>
      <w:r w:rsidR="00B33277" w:rsidRPr="00FE6AC6">
        <w:rPr>
          <w:color w:val="000000"/>
          <w:lang w:val="bg-BG"/>
        </w:rPr>
        <w:t xml:space="preserve"> </w:t>
      </w:r>
      <w:r w:rsidR="00B33277" w:rsidRPr="00FE6AC6">
        <w:rPr>
          <w:color w:val="000000"/>
          <w:lang w:val="en-US"/>
        </w:rPr>
        <w:t>CI</w:t>
      </w:r>
      <w:r w:rsidRPr="00FE6AC6">
        <w:rPr>
          <w:color w:val="000000"/>
          <w:lang w:val="bg-BG"/>
        </w:rPr>
        <w:t> 12</w:t>
      </w:r>
      <w:r w:rsidRPr="00FE6AC6">
        <w:rPr>
          <w:color w:val="000000"/>
          <w:lang w:val="bg-BG"/>
        </w:rPr>
        <w:noBreakHyphen/>
        <w:t xml:space="preserve">23). Средното време </w:t>
      </w:r>
      <w:r w:rsidR="00C65C45" w:rsidRPr="00FE6AC6">
        <w:rPr>
          <w:color w:val="000000"/>
          <w:lang w:val="bg-BG"/>
        </w:rPr>
        <w:t>до</w:t>
      </w:r>
      <w:r w:rsidRPr="00FE6AC6">
        <w:rPr>
          <w:color w:val="000000"/>
          <w:lang w:val="bg-BG"/>
        </w:rPr>
        <w:t xml:space="preserve"> неуспех </w:t>
      </w:r>
      <w:r w:rsidR="00C65C45" w:rsidRPr="00FE6AC6">
        <w:rPr>
          <w:color w:val="000000"/>
          <w:lang w:val="bg-BG"/>
        </w:rPr>
        <w:t>на</w:t>
      </w:r>
      <w:r w:rsidRPr="00FE6AC6">
        <w:rPr>
          <w:color w:val="000000"/>
          <w:lang w:val="bg-BG"/>
        </w:rPr>
        <w:t xml:space="preserve"> лечението при отговорилите е 122 седмици </w:t>
      </w:r>
      <w:r w:rsidR="00B6607E" w:rsidRPr="00FE6AC6">
        <w:rPr>
          <w:color w:val="000000"/>
          <w:lang w:val="bg-BG"/>
        </w:rPr>
        <w:t xml:space="preserve">(95% </w:t>
      </w:r>
      <w:r w:rsidR="00B33277" w:rsidRPr="00FE6AC6">
        <w:rPr>
          <w:color w:val="000000"/>
          <w:lang w:val="en-US"/>
        </w:rPr>
        <w:t>CI </w:t>
      </w:r>
      <w:r w:rsidR="00B6607E" w:rsidRPr="00FE6AC6">
        <w:rPr>
          <w:color w:val="000000"/>
          <w:lang w:val="bg-BG"/>
        </w:rPr>
        <w:t>106</w:t>
      </w:r>
      <w:r w:rsidR="00B6607E" w:rsidRPr="00FE6AC6">
        <w:rPr>
          <w:color w:val="000000"/>
          <w:lang w:val="bg-BG"/>
        </w:rPr>
        <w:noBreakHyphen/>
        <w:t xml:space="preserve">147), докато в общата популация на проучването е 84 седмици </w:t>
      </w:r>
      <w:r w:rsidRPr="00FE6AC6">
        <w:rPr>
          <w:color w:val="000000"/>
          <w:lang w:val="bg-BG"/>
        </w:rPr>
        <w:t>(95%</w:t>
      </w:r>
      <w:r w:rsidR="00B33277" w:rsidRPr="00FE6AC6">
        <w:rPr>
          <w:color w:val="000000"/>
          <w:lang w:val="bg-BG"/>
        </w:rPr>
        <w:t xml:space="preserve"> </w:t>
      </w:r>
      <w:r w:rsidR="00B33277" w:rsidRPr="00FE6AC6">
        <w:rPr>
          <w:color w:val="000000"/>
          <w:lang w:val="en-US"/>
        </w:rPr>
        <w:t>CI</w:t>
      </w:r>
      <w:r w:rsidRPr="00FE6AC6">
        <w:rPr>
          <w:color w:val="000000"/>
          <w:lang w:val="bg-BG"/>
        </w:rPr>
        <w:t> 71</w:t>
      </w:r>
      <w:r w:rsidRPr="00FE6AC6">
        <w:rPr>
          <w:color w:val="000000"/>
          <w:lang w:val="bg-BG"/>
        </w:rPr>
        <w:noBreakHyphen/>
        <w:t>109). Средната обща преживяемост не е достигната. Оценката по Kaplan-Mеier за преживяемостта след 36 месечно проследяване е 68%.</w:t>
      </w:r>
    </w:p>
    <w:p w14:paraId="3E54FF48" w14:textId="77777777" w:rsidR="001636FA" w:rsidRPr="00FE6AC6" w:rsidRDefault="001636FA" w:rsidP="0063575E">
      <w:pPr>
        <w:widowControl w:val="0"/>
        <w:spacing w:line="240" w:lineRule="auto"/>
        <w:rPr>
          <w:color w:val="000000"/>
          <w:lang w:val="bg-BG"/>
        </w:rPr>
      </w:pPr>
    </w:p>
    <w:p w14:paraId="3E54FF49" w14:textId="77777777" w:rsidR="001636FA" w:rsidRPr="00FE6AC6" w:rsidRDefault="001636FA" w:rsidP="0063575E">
      <w:pPr>
        <w:widowControl w:val="0"/>
        <w:spacing w:line="240" w:lineRule="auto"/>
        <w:rPr>
          <w:color w:val="000000"/>
          <w:lang w:val="bg-BG"/>
        </w:rPr>
      </w:pPr>
      <w:r w:rsidRPr="00FE6AC6">
        <w:rPr>
          <w:color w:val="000000"/>
          <w:lang w:val="bg-BG"/>
        </w:rPr>
        <w:t>При две клинични проучвания (проучване B2222 и междугруповото проучване S0033) дневната доза на Glivec е повишена на 800 mg при пациенти с прогресия на заболяването при ниски дневни дози от 400 mg или 600 mg. Дневната доза е повишена на 800 mg при общо 108 пациенти; 6 пациенти постигат частичен отговор и 21 стабилизиране на заболяването си след повишаване на дозата при обща клинична полза от 26%. Наличните данни за безопасност показват, че повишаването на дозата на 800 mg дневно при пациенти с прогресия при ниските дози от 400 mg или 600 mg дневно не се отразява на профил</w:t>
      </w:r>
      <w:r w:rsidR="005D4145" w:rsidRPr="00FE6AC6">
        <w:rPr>
          <w:color w:val="000000"/>
          <w:lang w:val="bg-BG"/>
        </w:rPr>
        <w:t>а</w:t>
      </w:r>
      <w:r w:rsidRPr="00FE6AC6">
        <w:rPr>
          <w:color w:val="000000"/>
          <w:lang w:val="bg-BG"/>
        </w:rPr>
        <w:t xml:space="preserve"> на безопасност на Glivec.</w:t>
      </w:r>
    </w:p>
    <w:p w14:paraId="3E54FF4A" w14:textId="77777777" w:rsidR="001636FA" w:rsidRPr="00FE6AC6" w:rsidRDefault="001636FA" w:rsidP="0063575E">
      <w:pPr>
        <w:widowControl w:val="0"/>
        <w:spacing w:line="240" w:lineRule="auto"/>
        <w:rPr>
          <w:color w:val="000000"/>
          <w:lang w:val="bg-BG"/>
        </w:rPr>
      </w:pPr>
    </w:p>
    <w:p w14:paraId="3E54FF4B" w14:textId="77777777" w:rsidR="007D128F" w:rsidRPr="00FE6AC6" w:rsidRDefault="007D128F" w:rsidP="0063575E">
      <w:pPr>
        <w:keepNext/>
        <w:widowControl w:val="0"/>
        <w:spacing w:line="240" w:lineRule="auto"/>
        <w:rPr>
          <w:color w:val="000000"/>
          <w:u w:val="single"/>
          <w:lang w:val="bg-BG"/>
        </w:rPr>
      </w:pPr>
      <w:r w:rsidRPr="00FE6AC6">
        <w:rPr>
          <w:color w:val="000000"/>
          <w:u w:val="single"/>
          <w:lang w:val="bg-BG"/>
        </w:rPr>
        <w:t>Клинични проучвания при адювантна терапия на ГИСТ</w:t>
      </w:r>
    </w:p>
    <w:p w14:paraId="3E54FF4C" w14:textId="77777777" w:rsidR="007D128F" w:rsidRPr="00FE6AC6" w:rsidRDefault="007D128F" w:rsidP="0063575E">
      <w:pPr>
        <w:widowControl w:val="0"/>
        <w:spacing w:line="240" w:lineRule="auto"/>
        <w:rPr>
          <w:color w:val="000000"/>
          <w:lang w:val="bg-BG"/>
        </w:rPr>
      </w:pPr>
      <w:r w:rsidRPr="00FE6AC6">
        <w:rPr>
          <w:color w:val="000000"/>
          <w:lang w:val="bg-BG"/>
        </w:rPr>
        <w:t xml:space="preserve">Приложението на </w:t>
      </w:r>
      <w:r w:rsidRPr="00FE6AC6">
        <w:rPr>
          <w:color w:val="000000"/>
          <w:lang w:val="en-US"/>
        </w:rPr>
        <w:t>Glivec</w:t>
      </w:r>
      <w:r w:rsidRPr="00FE6AC6">
        <w:rPr>
          <w:color w:val="000000"/>
          <w:lang w:val="bg-BG"/>
        </w:rPr>
        <w:t xml:space="preserve"> като адювантна терапия е </w:t>
      </w:r>
      <w:r w:rsidR="00631064" w:rsidRPr="00FE6AC6">
        <w:rPr>
          <w:color w:val="000000"/>
          <w:lang w:val="bg-BG"/>
        </w:rPr>
        <w:t>проучено</w:t>
      </w:r>
      <w:r w:rsidRPr="00FE6AC6">
        <w:rPr>
          <w:color w:val="000000"/>
          <w:lang w:val="bg-BG"/>
        </w:rPr>
        <w:t xml:space="preserve"> в многоцентрово, двойно-сляпо, проспективно, плацебо</w:t>
      </w:r>
      <w:r w:rsidR="00E900A3" w:rsidRPr="00FE6AC6">
        <w:rPr>
          <w:color w:val="000000"/>
          <w:lang w:val="bg-BG"/>
        </w:rPr>
        <w:t xml:space="preserve"> </w:t>
      </w:r>
      <w:r w:rsidRPr="00FE6AC6">
        <w:rPr>
          <w:color w:val="000000"/>
          <w:lang w:val="bg-BG"/>
        </w:rPr>
        <w:t xml:space="preserve">контролирано фаза </w:t>
      </w:r>
      <w:r w:rsidRPr="00FE6AC6">
        <w:rPr>
          <w:color w:val="000000"/>
          <w:lang w:val="en-US"/>
        </w:rPr>
        <w:t>III</w:t>
      </w:r>
      <w:r w:rsidRPr="00FE6AC6">
        <w:rPr>
          <w:color w:val="000000"/>
          <w:lang w:val="bg-BG"/>
        </w:rPr>
        <w:t xml:space="preserve"> проучване (</w:t>
      </w:r>
      <w:r w:rsidRPr="00FE6AC6">
        <w:rPr>
          <w:color w:val="000000"/>
          <w:lang w:val="en-US"/>
        </w:rPr>
        <w:t>Z</w:t>
      </w:r>
      <w:r w:rsidRPr="00FE6AC6">
        <w:rPr>
          <w:color w:val="000000"/>
          <w:lang w:val="ru-RU"/>
        </w:rPr>
        <w:t xml:space="preserve">9001), включващо 773 пациенти. Възрастта на пациентите варира от 18 до 91 години. В проучването са включени пациенти с хистологично диагностициран първичен ГИСТ, </w:t>
      </w:r>
      <w:r w:rsidR="0071712F" w:rsidRPr="00FE6AC6">
        <w:rPr>
          <w:color w:val="000000"/>
          <w:lang w:val="ru-RU"/>
        </w:rPr>
        <w:t xml:space="preserve">имунохистохимично </w:t>
      </w:r>
      <w:r w:rsidRPr="00FE6AC6">
        <w:rPr>
          <w:color w:val="000000"/>
          <w:lang w:val="ru-RU"/>
        </w:rPr>
        <w:t xml:space="preserve">експресиращ </w:t>
      </w:r>
      <w:r w:rsidRPr="00FE6AC6">
        <w:rPr>
          <w:color w:val="000000"/>
          <w:lang w:val="en-US"/>
        </w:rPr>
        <w:t>Kit</w:t>
      </w:r>
      <w:r w:rsidRPr="00FE6AC6">
        <w:rPr>
          <w:color w:val="000000"/>
          <w:lang w:val="bg-BG"/>
        </w:rPr>
        <w:t xml:space="preserve"> протеин и </w:t>
      </w:r>
      <w:r w:rsidR="0071712F" w:rsidRPr="00FE6AC6">
        <w:rPr>
          <w:color w:val="000000"/>
          <w:lang w:val="bg-BG"/>
        </w:rPr>
        <w:t xml:space="preserve">с </w:t>
      </w:r>
      <w:r w:rsidRPr="00FE6AC6">
        <w:rPr>
          <w:color w:val="000000"/>
          <w:lang w:val="bg-BG"/>
        </w:rPr>
        <w:t>големина на тумора ≥3 </w:t>
      </w:r>
      <w:r w:rsidRPr="00FE6AC6">
        <w:rPr>
          <w:color w:val="000000"/>
          <w:lang w:val="en-US"/>
        </w:rPr>
        <w:t>cm</w:t>
      </w:r>
      <w:r w:rsidRPr="00FE6AC6">
        <w:rPr>
          <w:color w:val="000000"/>
          <w:lang w:val="bg-BG"/>
        </w:rPr>
        <w:t xml:space="preserve"> в най-големия диаметър, претърп</w:t>
      </w:r>
      <w:r w:rsidR="00631064" w:rsidRPr="00FE6AC6">
        <w:rPr>
          <w:color w:val="000000"/>
          <w:lang w:val="bg-BG"/>
        </w:rPr>
        <w:t>е</w:t>
      </w:r>
      <w:r w:rsidRPr="00FE6AC6">
        <w:rPr>
          <w:color w:val="000000"/>
          <w:lang w:val="bg-BG"/>
        </w:rPr>
        <w:t xml:space="preserve">ли </w:t>
      </w:r>
      <w:r w:rsidR="008D48DA" w:rsidRPr="00FE6AC6">
        <w:rPr>
          <w:color w:val="000000"/>
          <w:lang w:val="bg-BG"/>
        </w:rPr>
        <w:t>тотална макроскопска</w:t>
      </w:r>
      <w:r w:rsidRPr="00FE6AC6">
        <w:rPr>
          <w:color w:val="000000"/>
          <w:lang w:val="bg-BG"/>
        </w:rPr>
        <w:t xml:space="preserve"> резекция на ГИСТ в рамките на 14</w:t>
      </w:r>
      <w:r w:rsidRPr="00FE6AC6">
        <w:rPr>
          <w:color w:val="000000"/>
          <w:lang w:val="ru-RU"/>
        </w:rPr>
        <w:noBreakHyphen/>
      </w:r>
      <w:r w:rsidRPr="00FE6AC6">
        <w:rPr>
          <w:color w:val="000000"/>
          <w:lang w:val="bg-BG"/>
        </w:rPr>
        <w:t xml:space="preserve">70 дни преди регистрацията. След резекцията на първичния ГИСТ пациентите са рандомизирани в две рамена: да получават </w:t>
      </w:r>
      <w:r w:rsidRPr="00FE6AC6">
        <w:rPr>
          <w:color w:val="000000"/>
          <w:lang w:val="en-US"/>
        </w:rPr>
        <w:t>Glivec</w:t>
      </w:r>
      <w:r w:rsidRPr="00FE6AC6">
        <w:rPr>
          <w:color w:val="000000"/>
          <w:lang w:val="ru-RU"/>
        </w:rPr>
        <w:t xml:space="preserve"> 400</w:t>
      </w:r>
      <w:r w:rsidRPr="00FE6AC6">
        <w:rPr>
          <w:color w:val="000000"/>
          <w:lang w:val="en-US"/>
        </w:rPr>
        <w:t> mg</w:t>
      </w:r>
      <w:r w:rsidRPr="00FE6AC6">
        <w:rPr>
          <w:color w:val="000000"/>
          <w:lang w:val="bg-BG"/>
        </w:rPr>
        <w:t>/ден или плацебо в продължение на една година.</w:t>
      </w:r>
    </w:p>
    <w:p w14:paraId="3E54FF4D" w14:textId="77777777" w:rsidR="007D128F" w:rsidRPr="00FE6AC6" w:rsidRDefault="007D128F" w:rsidP="0063575E">
      <w:pPr>
        <w:widowControl w:val="0"/>
        <w:spacing w:line="240" w:lineRule="auto"/>
        <w:rPr>
          <w:color w:val="000000"/>
          <w:lang w:val="bg-BG"/>
        </w:rPr>
      </w:pPr>
    </w:p>
    <w:p w14:paraId="3E54FF4E" w14:textId="77777777" w:rsidR="007D128F" w:rsidRPr="00FE6AC6" w:rsidRDefault="007D128F" w:rsidP="0063575E">
      <w:pPr>
        <w:widowControl w:val="0"/>
        <w:spacing w:line="240" w:lineRule="auto"/>
        <w:rPr>
          <w:color w:val="000000"/>
          <w:lang w:val="bg-BG"/>
        </w:rPr>
      </w:pPr>
      <w:r w:rsidRPr="00FE6AC6">
        <w:rPr>
          <w:color w:val="000000"/>
          <w:lang w:val="bg-BG"/>
        </w:rPr>
        <w:t xml:space="preserve">Първична крайна </w:t>
      </w:r>
      <w:r w:rsidR="00821C1B" w:rsidRPr="00FE6AC6">
        <w:rPr>
          <w:color w:val="000000"/>
          <w:lang w:val="bg-BG"/>
        </w:rPr>
        <w:t>цел</w:t>
      </w:r>
      <w:r w:rsidRPr="00FE6AC6">
        <w:rPr>
          <w:color w:val="000000"/>
          <w:lang w:val="bg-BG"/>
        </w:rPr>
        <w:t xml:space="preserve"> на про</w:t>
      </w:r>
      <w:r w:rsidR="008D73B6" w:rsidRPr="00FE6AC6">
        <w:rPr>
          <w:color w:val="000000"/>
          <w:lang w:val="bg-BG"/>
        </w:rPr>
        <w:t>учването е</w:t>
      </w:r>
      <w:r w:rsidRPr="00FE6AC6">
        <w:rPr>
          <w:color w:val="000000"/>
          <w:lang w:val="bg-BG"/>
        </w:rPr>
        <w:t xml:space="preserve"> преживяемост</w:t>
      </w:r>
      <w:r w:rsidR="000925F0" w:rsidRPr="00FE6AC6">
        <w:rPr>
          <w:color w:val="000000"/>
          <w:lang w:val="bg-BG"/>
        </w:rPr>
        <w:t>та</w:t>
      </w:r>
      <w:r w:rsidR="008D73B6" w:rsidRPr="00FE6AC6">
        <w:rPr>
          <w:color w:val="000000"/>
          <w:lang w:val="bg-BG"/>
        </w:rPr>
        <w:t xml:space="preserve"> без рецидив</w:t>
      </w:r>
      <w:r w:rsidRPr="00FE6AC6">
        <w:rPr>
          <w:color w:val="000000"/>
          <w:lang w:val="bg-BG"/>
        </w:rPr>
        <w:t>, определ</w:t>
      </w:r>
      <w:r w:rsidR="000B4817" w:rsidRPr="00FE6AC6">
        <w:rPr>
          <w:color w:val="000000"/>
          <w:lang w:val="bg-BG"/>
        </w:rPr>
        <w:t>е</w:t>
      </w:r>
      <w:r w:rsidRPr="00FE6AC6">
        <w:rPr>
          <w:color w:val="000000"/>
          <w:lang w:val="bg-BG"/>
        </w:rPr>
        <w:t>на като време от деня на рандомизацията до деня, в който настъпва рецидив на заболяването или смърт поради някаква друга причина.</w:t>
      </w:r>
    </w:p>
    <w:p w14:paraId="3E54FF4F" w14:textId="77777777" w:rsidR="007D128F" w:rsidRPr="00FE6AC6" w:rsidRDefault="007D128F" w:rsidP="0063575E">
      <w:pPr>
        <w:widowControl w:val="0"/>
        <w:spacing w:line="240" w:lineRule="auto"/>
        <w:rPr>
          <w:color w:val="000000"/>
          <w:lang w:val="bg-BG"/>
        </w:rPr>
      </w:pPr>
    </w:p>
    <w:p w14:paraId="3E54FF50" w14:textId="77777777" w:rsidR="007D128F" w:rsidRPr="00FE6AC6" w:rsidRDefault="007D128F" w:rsidP="0063575E">
      <w:pPr>
        <w:widowControl w:val="0"/>
        <w:spacing w:line="240" w:lineRule="auto"/>
        <w:rPr>
          <w:color w:val="000000"/>
          <w:lang w:val="bg-BG"/>
        </w:rPr>
      </w:pPr>
      <w:r w:rsidRPr="00FE6AC6">
        <w:rPr>
          <w:color w:val="000000"/>
          <w:lang w:val="en-US"/>
        </w:rPr>
        <w:t>Glivec</w:t>
      </w:r>
      <w:r w:rsidR="008D73B6" w:rsidRPr="00FE6AC6">
        <w:rPr>
          <w:color w:val="000000"/>
          <w:lang w:val="bg-BG"/>
        </w:rPr>
        <w:t xml:space="preserve"> значимо удължава </w:t>
      </w:r>
      <w:r w:rsidRPr="00FE6AC6">
        <w:rPr>
          <w:color w:val="000000"/>
          <w:lang w:val="bg-BG"/>
        </w:rPr>
        <w:t>преживяемост</w:t>
      </w:r>
      <w:r w:rsidR="008D73B6" w:rsidRPr="00FE6AC6">
        <w:rPr>
          <w:color w:val="000000"/>
          <w:lang w:val="bg-BG"/>
        </w:rPr>
        <w:t>та без рецидив</w:t>
      </w:r>
      <w:r w:rsidRPr="00FE6AC6">
        <w:rPr>
          <w:color w:val="000000"/>
          <w:lang w:val="bg-BG"/>
        </w:rPr>
        <w:t xml:space="preserve">, 75% от пациентите са без рецидив за период от 38 месеца в групата на </w:t>
      </w:r>
      <w:r w:rsidRPr="00FE6AC6">
        <w:rPr>
          <w:color w:val="000000"/>
          <w:lang w:val="en-US"/>
        </w:rPr>
        <w:t>Glivec</w:t>
      </w:r>
      <w:r w:rsidR="005D0E6C" w:rsidRPr="00FE6AC6">
        <w:rPr>
          <w:color w:val="000000"/>
          <w:lang w:val="bg-BG"/>
        </w:rPr>
        <w:t xml:space="preserve"> спрямо 20</w:t>
      </w:r>
      <w:r w:rsidRPr="00FE6AC6">
        <w:rPr>
          <w:color w:val="000000"/>
          <w:lang w:val="bg-BG"/>
        </w:rPr>
        <w:t xml:space="preserve"> месеца в групата на плацебо (95% </w:t>
      </w:r>
      <w:r w:rsidR="00B33277" w:rsidRPr="00FE6AC6">
        <w:rPr>
          <w:color w:val="000000"/>
          <w:lang w:val="en-US"/>
        </w:rPr>
        <w:t>CI</w:t>
      </w:r>
      <w:r w:rsidRPr="00FE6AC6">
        <w:rPr>
          <w:color w:val="000000"/>
          <w:lang w:val="ru-RU"/>
        </w:rPr>
        <w:t xml:space="preserve"> [30 – </w:t>
      </w:r>
      <w:r w:rsidR="00821C1B" w:rsidRPr="00FE6AC6">
        <w:rPr>
          <w:color w:val="000000"/>
          <w:lang w:val="ru-RU"/>
        </w:rPr>
        <w:t>неподлежащи на оценка</w:t>
      </w:r>
      <w:r w:rsidRPr="00FE6AC6">
        <w:rPr>
          <w:color w:val="000000"/>
          <w:lang w:val="ru-RU"/>
        </w:rPr>
        <w:t xml:space="preserve">]; съответно [14 – </w:t>
      </w:r>
      <w:r w:rsidR="00821C1B" w:rsidRPr="00FE6AC6">
        <w:rPr>
          <w:color w:val="000000"/>
          <w:lang w:val="ru-RU"/>
        </w:rPr>
        <w:t>неподлежащи на оценка</w:t>
      </w:r>
      <w:r w:rsidRPr="00FE6AC6">
        <w:rPr>
          <w:color w:val="000000"/>
          <w:lang w:val="ru-RU"/>
        </w:rPr>
        <w:t>]); (коефициент на риск = 0,398 [0</w:t>
      </w:r>
      <w:r w:rsidRPr="00FE6AC6">
        <w:rPr>
          <w:color w:val="000000"/>
          <w:lang w:val="bg-BG"/>
        </w:rPr>
        <w:t>,</w:t>
      </w:r>
      <w:r w:rsidRPr="00FE6AC6">
        <w:rPr>
          <w:color w:val="000000"/>
          <w:lang w:val="ru-RU"/>
        </w:rPr>
        <w:t>259</w:t>
      </w:r>
      <w:r w:rsidRPr="00FE6AC6">
        <w:rPr>
          <w:color w:val="000000"/>
          <w:lang w:val="bg-BG"/>
        </w:rPr>
        <w:noBreakHyphen/>
      </w:r>
      <w:r w:rsidRPr="00FE6AC6">
        <w:rPr>
          <w:color w:val="000000"/>
          <w:lang w:val="ru-RU"/>
        </w:rPr>
        <w:t>0</w:t>
      </w:r>
      <w:r w:rsidRPr="00FE6AC6">
        <w:rPr>
          <w:color w:val="000000"/>
          <w:lang w:val="bg-BG"/>
        </w:rPr>
        <w:t>,</w:t>
      </w:r>
      <w:r w:rsidRPr="00FE6AC6">
        <w:rPr>
          <w:color w:val="000000"/>
          <w:lang w:val="ru-RU"/>
        </w:rPr>
        <w:t xml:space="preserve">610], </w:t>
      </w:r>
      <w:r w:rsidRPr="00FE6AC6">
        <w:rPr>
          <w:color w:val="000000"/>
          <w:lang w:val="en-US"/>
        </w:rPr>
        <w:t>p</w:t>
      </w:r>
      <w:r w:rsidRPr="00FE6AC6">
        <w:rPr>
          <w:color w:val="000000"/>
          <w:lang w:val="ru-RU"/>
        </w:rPr>
        <w:t>&lt;0</w:t>
      </w:r>
      <w:r w:rsidRPr="00FE6AC6">
        <w:rPr>
          <w:color w:val="000000"/>
          <w:lang w:val="bg-BG"/>
        </w:rPr>
        <w:t>,</w:t>
      </w:r>
      <w:r w:rsidRPr="00FE6AC6">
        <w:rPr>
          <w:color w:val="000000"/>
          <w:lang w:val="ru-RU"/>
        </w:rPr>
        <w:t xml:space="preserve">0001). На първата година </w:t>
      </w:r>
      <w:r w:rsidR="008D73B6" w:rsidRPr="00FE6AC6">
        <w:rPr>
          <w:color w:val="000000"/>
          <w:lang w:val="ru-RU"/>
        </w:rPr>
        <w:t>общата</w:t>
      </w:r>
      <w:r w:rsidRPr="00FE6AC6">
        <w:rPr>
          <w:color w:val="000000"/>
          <w:lang w:val="ru-RU"/>
        </w:rPr>
        <w:t xml:space="preserve"> преживяемост</w:t>
      </w:r>
      <w:r w:rsidR="008D73B6" w:rsidRPr="00FE6AC6">
        <w:rPr>
          <w:color w:val="000000"/>
          <w:lang w:val="ru-RU"/>
        </w:rPr>
        <w:t xml:space="preserve"> без рецидив</w:t>
      </w:r>
      <w:r w:rsidRPr="00FE6AC6">
        <w:rPr>
          <w:color w:val="000000"/>
          <w:lang w:val="ru-RU"/>
        </w:rPr>
        <w:t xml:space="preserve"> е значимо по-висока при </w:t>
      </w:r>
      <w:r w:rsidRPr="00FE6AC6">
        <w:rPr>
          <w:color w:val="000000"/>
          <w:lang w:val="en-US"/>
        </w:rPr>
        <w:t>Glivec</w:t>
      </w:r>
      <w:r w:rsidRPr="00FE6AC6">
        <w:rPr>
          <w:color w:val="000000"/>
          <w:lang w:val="ru-RU"/>
        </w:rPr>
        <w:t xml:space="preserve"> (97,7%) спрямо плацебо (82,3%) (р&lt;0,0001). Рискът от рецидив на заболяването е редуциран с приблизително 89% в сравнение с плацебо (коефициент на риска = 0,113 [0,049</w:t>
      </w:r>
      <w:r w:rsidRPr="00FE6AC6">
        <w:rPr>
          <w:color w:val="000000"/>
          <w:lang w:val="ru-RU"/>
        </w:rPr>
        <w:noBreakHyphen/>
        <w:t>0,264]</w:t>
      </w:r>
      <w:r w:rsidRPr="00FE6AC6">
        <w:rPr>
          <w:color w:val="000000"/>
          <w:lang w:val="bg-BG"/>
        </w:rPr>
        <w:t>).</w:t>
      </w:r>
    </w:p>
    <w:p w14:paraId="3E54FF51" w14:textId="77777777" w:rsidR="007D128F" w:rsidRPr="00FE6AC6" w:rsidRDefault="007D128F" w:rsidP="0063575E">
      <w:pPr>
        <w:widowControl w:val="0"/>
        <w:spacing w:line="240" w:lineRule="auto"/>
        <w:rPr>
          <w:color w:val="000000"/>
          <w:u w:val="single"/>
          <w:lang w:val="bg-BG"/>
        </w:rPr>
      </w:pPr>
    </w:p>
    <w:p w14:paraId="3E54FF52" w14:textId="77777777" w:rsidR="007D128F" w:rsidRPr="00FE6AC6" w:rsidRDefault="007D128F" w:rsidP="0063575E">
      <w:pPr>
        <w:widowControl w:val="0"/>
        <w:spacing w:line="240" w:lineRule="auto"/>
        <w:rPr>
          <w:color w:val="000000"/>
          <w:lang w:val="bg-BG"/>
        </w:rPr>
      </w:pPr>
      <w:r w:rsidRPr="00FE6AC6">
        <w:rPr>
          <w:color w:val="000000"/>
          <w:lang w:val="bg-BG"/>
        </w:rPr>
        <w:t>Рискът от рецидив на заболяването при пациенти след оперативно лечение на първичен ГИСТ се оценява ретроспективно на база следните прогностични фактори: големина на тумора, митотичен индекс, локализация на тумора. Данни за митотич</w:t>
      </w:r>
      <w:r w:rsidR="004B1371" w:rsidRPr="00FE6AC6">
        <w:rPr>
          <w:color w:val="000000"/>
          <w:lang w:val="en-US"/>
        </w:rPr>
        <w:t>e</w:t>
      </w:r>
      <w:r w:rsidRPr="00FE6AC6">
        <w:rPr>
          <w:color w:val="000000"/>
          <w:lang w:val="bg-BG"/>
        </w:rPr>
        <w:t>н ин</w:t>
      </w:r>
      <w:r w:rsidR="00E900A3" w:rsidRPr="00FE6AC6">
        <w:rPr>
          <w:color w:val="000000"/>
          <w:lang w:val="bg-BG"/>
        </w:rPr>
        <w:t>д</w:t>
      </w:r>
      <w:r w:rsidRPr="00FE6AC6">
        <w:rPr>
          <w:color w:val="000000"/>
          <w:lang w:val="bg-BG"/>
        </w:rPr>
        <w:t xml:space="preserve">екс са налични при 556 от </w:t>
      </w:r>
      <w:r w:rsidR="009A23ED" w:rsidRPr="00FE6AC6">
        <w:rPr>
          <w:color w:val="000000"/>
          <w:lang w:val="bg-BG"/>
        </w:rPr>
        <w:t>713</w:t>
      </w:r>
      <w:r w:rsidRPr="00FE6AC6">
        <w:rPr>
          <w:color w:val="000000"/>
          <w:lang w:val="en-US"/>
        </w:rPr>
        <w:t> </w:t>
      </w:r>
      <w:r w:rsidR="004B1371" w:rsidRPr="00FE6AC6">
        <w:rPr>
          <w:rFonts w:eastAsia="MS Mincho"/>
          <w:color w:val="000000"/>
          <w:szCs w:val="22"/>
          <w:lang w:eastAsia="ja-JP"/>
        </w:rPr>
        <w:t>intention</w:t>
      </w:r>
      <w:r w:rsidR="004B1371" w:rsidRPr="00FE6AC6">
        <w:rPr>
          <w:rFonts w:eastAsia="MS Mincho"/>
          <w:color w:val="000000"/>
          <w:szCs w:val="22"/>
          <w:lang w:val="bg-BG" w:eastAsia="ja-JP"/>
        </w:rPr>
        <w:t>-</w:t>
      </w:r>
      <w:r w:rsidR="004B1371" w:rsidRPr="00FE6AC6">
        <w:rPr>
          <w:rFonts w:eastAsia="MS Mincho"/>
          <w:color w:val="000000"/>
          <w:szCs w:val="22"/>
          <w:lang w:eastAsia="ja-JP"/>
        </w:rPr>
        <w:t>to</w:t>
      </w:r>
      <w:r w:rsidR="004B1371" w:rsidRPr="00FE6AC6">
        <w:rPr>
          <w:rFonts w:eastAsia="MS Mincho"/>
          <w:color w:val="000000"/>
          <w:szCs w:val="22"/>
          <w:lang w:val="bg-BG" w:eastAsia="ja-JP"/>
        </w:rPr>
        <w:t>-</w:t>
      </w:r>
      <w:r w:rsidR="004B1371" w:rsidRPr="00FE6AC6">
        <w:rPr>
          <w:rFonts w:eastAsia="MS Mincho"/>
          <w:color w:val="000000"/>
          <w:szCs w:val="22"/>
          <w:lang w:eastAsia="ja-JP"/>
        </w:rPr>
        <w:t>treat</w:t>
      </w:r>
      <w:r w:rsidRPr="00FE6AC6">
        <w:rPr>
          <w:color w:val="000000"/>
          <w:lang w:val="bg-BG"/>
        </w:rPr>
        <w:t xml:space="preserve"> (</w:t>
      </w:r>
      <w:r w:rsidRPr="00FE6AC6">
        <w:rPr>
          <w:color w:val="000000"/>
          <w:lang w:val="en-US"/>
        </w:rPr>
        <w:t>ITT</w:t>
      </w:r>
      <w:r w:rsidRPr="00FE6AC6">
        <w:rPr>
          <w:color w:val="000000"/>
          <w:lang w:val="bg-BG"/>
        </w:rPr>
        <w:t>) п</w:t>
      </w:r>
      <w:r w:rsidR="005D7A98" w:rsidRPr="00FE6AC6">
        <w:rPr>
          <w:color w:val="000000"/>
          <w:lang w:val="bg-BG"/>
        </w:rPr>
        <w:t>ациенти</w:t>
      </w:r>
      <w:r w:rsidRPr="00FE6AC6">
        <w:rPr>
          <w:color w:val="000000"/>
          <w:lang w:val="bg-BG"/>
        </w:rPr>
        <w:t xml:space="preserve">. Резултатите от субгруповите анализи съгласно </w:t>
      </w:r>
      <w:r w:rsidR="004B1371" w:rsidRPr="00FE6AC6">
        <w:rPr>
          <w:color w:val="000000"/>
          <w:lang w:val="bg-BG"/>
        </w:rPr>
        <w:t xml:space="preserve">Националните </w:t>
      </w:r>
      <w:r w:rsidR="0007544C" w:rsidRPr="00FE6AC6">
        <w:rPr>
          <w:color w:val="000000"/>
          <w:lang w:val="bg-BG"/>
        </w:rPr>
        <w:t xml:space="preserve">здравни </w:t>
      </w:r>
      <w:r w:rsidR="004B1371" w:rsidRPr="00FE6AC6">
        <w:rPr>
          <w:color w:val="000000"/>
          <w:lang w:val="bg-BG"/>
        </w:rPr>
        <w:t>институти на САЩ (</w:t>
      </w:r>
      <w:r w:rsidR="003B7562" w:rsidRPr="00FE6AC6">
        <w:rPr>
          <w:rFonts w:eastAsia="MS Mincho"/>
          <w:color w:val="000000"/>
          <w:szCs w:val="22"/>
          <w:lang w:eastAsia="ja-JP"/>
        </w:rPr>
        <w:t>United</w:t>
      </w:r>
      <w:r w:rsidR="003B7562" w:rsidRPr="00FE6AC6">
        <w:rPr>
          <w:rFonts w:eastAsia="MS Mincho"/>
          <w:color w:val="000000"/>
          <w:szCs w:val="22"/>
          <w:lang w:val="bg-BG" w:eastAsia="ja-JP"/>
        </w:rPr>
        <w:t xml:space="preserve"> </w:t>
      </w:r>
      <w:r w:rsidR="003B7562" w:rsidRPr="00FE6AC6">
        <w:rPr>
          <w:rFonts w:eastAsia="MS Mincho"/>
          <w:color w:val="000000"/>
          <w:szCs w:val="22"/>
          <w:lang w:eastAsia="ja-JP"/>
        </w:rPr>
        <w:t>States</w:t>
      </w:r>
      <w:r w:rsidR="003B7562" w:rsidRPr="00FE6AC6">
        <w:rPr>
          <w:rFonts w:eastAsia="MS Mincho"/>
          <w:color w:val="000000"/>
          <w:szCs w:val="22"/>
          <w:lang w:val="bg-BG" w:eastAsia="ja-JP"/>
        </w:rPr>
        <w:t xml:space="preserve"> </w:t>
      </w:r>
      <w:r w:rsidR="003B7562" w:rsidRPr="00FE6AC6">
        <w:rPr>
          <w:rFonts w:eastAsia="MS Mincho"/>
          <w:color w:val="000000"/>
          <w:szCs w:val="22"/>
          <w:lang w:eastAsia="ja-JP"/>
        </w:rPr>
        <w:t>National</w:t>
      </w:r>
      <w:r w:rsidR="003B7562" w:rsidRPr="00FE6AC6">
        <w:rPr>
          <w:rFonts w:eastAsia="MS Mincho"/>
          <w:color w:val="000000"/>
          <w:szCs w:val="22"/>
          <w:lang w:val="bg-BG" w:eastAsia="ja-JP"/>
        </w:rPr>
        <w:t xml:space="preserve"> </w:t>
      </w:r>
      <w:r w:rsidR="003B7562" w:rsidRPr="00FE6AC6">
        <w:rPr>
          <w:rFonts w:eastAsia="MS Mincho"/>
          <w:color w:val="000000"/>
          <w:szCs w:val="22"/>
          <w:lang w:eastAsia="ja-JP"/>
        </w:rPr>
        <w:t>Institutes</w:t>
      </w:r>
      <w:r w:rsidR="003B7562" w:rsidRPr="00FE6AC6">
        <w:rPr>
          <w:rFonts w:eastAsia="MS Mincho"/>
          <w:color w:val="000000"/>
          <w:szCs w:val="22"/>
          <w:lang w:val="bg-BG" w:eastAsia="ja-JP"/>
        </w:rPr>
        <w:t xml:space="preserve"> </w:t>
      </w:r>
      <w:r w:rsidR="003B7562" w:rsidRPr="00FE6AC6">
        <w:rPr>
          <w:rFonts w:eastAsia="MS Mincho"/>
          <w:color w:val="000000"/>
          <w:szCs w:val="22"/>
          <w:lang w:eastAsia="ja-JP"/>
        </w:rPr>
        <w:t>of</w:t>
      </w:r>
      <w:r w:rsidR="003B7562" w:rsidRPr="00FE6AC6">
        <w:rPr>
          <w:rFonts w:eastAsia="MS Mincho"/>
          <w:color w:val="000000"/>
          <w:szCs w:val="22"/>
          <w:lang w:val="bg-BG" w:eastAsia="ja-JP"/>
        </w:rPr>
        <w:t xml:space="preserve"> </w:t>
      </w:r>
      <w:r w:rsidR="003B7562" w:rsidRPr="00FE6AC6">
        <w:rPr>
          <w:rFonts w:eastAsia="MS Mincho"/>
          <w:color w:val="000000"/>
          <w:szCs w:val="22"/>
          <w:lang w:eastAsia="ja-JP"/>
        </w:rPr>
        <w:t>Health</w:t>
      </w:r>
      <w:r w:rsidR="003B7562" w:rsidRPr="00FE6AC6">
        <w:rPr>
          <w:rFonts w:eastAsia="MS Mincho"/>
          <w:color w:val="000000"/>
          <w:szCs w:val="22"/>
          <w:lang w:val="bg-BG" w:eastAsia="ja-JP"/>
        </w:rPr>
        <w:t xml:space="preserve"> (</w:t>
      </w:r>
      <w:r w:rsidR="003B7562" w:rsidRPr="00FE6AC6">
        <w:rPr>
          <w:rFonts w:eastAsia="MS Mincho"/>
          <w:color w:val="000000"/>
          <w:szCs w:val="22"/>
          <w:lang w:eastAsia="ja-JP"/>
        </w:rPr>
        <w:t>NIH</w:t>
      </w:r>
      <w:r w:rsidR="003D39F7" w:rsidRPr="00FE6AC6">
        <w:rPr>
          <w:rFonts w:eastAsia="MS Mincho"/>
          <w:color w:val="000000"/>
          <w:szCs w:val="22"/>
          <w:lang w:val="bg-BG" w:eastAsia="ja-JP"/>
        </w:rPr>
        <w:t>)</w:t>
      </w:r>
      <w:r w:rsidR="004B1371" w:rsidRPr="00FE6AC6">
        <w:rPr>
          <w:rFonts w:eastAsia="MS Mincho"/>
          <w:color w:val="000000"/>
          <w:szCs w:val="22"/>
          <w:lang w:val="bg-BG" w:eastAsia="ja-JP"/>
        </w:rPr>
        <w:t>)</w:t>
      </w:r>
      <w:r w:rsidR="003D39F7" w:rsidRPr="00FE6AC6">
        <w:rPr>
          <w:rFonts w:eastAsia="MS Mincho"/>
          <w:color w:val="000000"/>
          <w:szCs w:val="22"/>
          <w:lang w:val="bg-BG" w:eastAsia="ja-JP"/>
        </w:rPr>
        <w:t xml:space="preserve"> и</w:t>
      </w:r>
      <w:r w:rsidR="003B7562" w:rsidRPr="00FE6AC6">
        <w:rPr>
          <w:color w:val="000000"/>
          <w:lang w:val="bg-BG"/>
        </w:rPr>
        <w:t xml:space="preserve"> </w:t>
      </w:r>
      <w:r w:rsidRPr="00FE6AC6">
        <w:rPr>
          <w:color w:val="000000"/>
          <w:lang w:val="bg-BG"/>
        </w:rPr>
        <w:t>класификацията на риска на</w:t>
      </w:r>
      <w:r w:rsidRPr="00FE6AC6">
        <w:rPr>
          <w:rFonts w:eastAsia="MS Mincho"/>
          <w:color w:val="000000"/>
          <w:szCs w:val="22"/>
          <w:lang w:val="bg-BG" w:eastAsia="ja-JP"/>
        </w:rPr>
        <w:t xml:space="preserve"> </w:t>
      </w:r>
      <w:r w:rsidR="004B1371" w:rsidRPr="00FE6AC6">
        <w:rPr>
          <w:rFonts w:eastAsia="MS Mincho"/>
          <w:color w:val="000000"/>
          <w:szCs w:val="22"/>
          <w:lang w:val="bg-BG" w:eastAsia="ja-JP"/>
        </w:rPr>
        <w:t xml:space="preserve">Института </w:t>
      </w:r>
      <w:r w:rsidR="00821C1B" w:rsidRPr="00FE6AC6">
        <w:rPr>
          <w:rFonts w:eastAsia="MS Mincho"/>
          <w:color w:val="000000"/>
          <w:szCs w:val="22"/>
          <w:lang w:val="bg-BG" w:eastAsia="ja-JP"/>
        </w:rPr>
        <w:t xml:space="preserve">по патология </w:t>
      </w:r>
      <w:r w:rsidR="004B1371" w:rsidRPr="00FE6AC6">
        <w:rPr>
          <w:rFonts w:eastAsia="MS Mincho"/>
          <w:color w:val="000000"/>
          <w:szCs w:val="22"/>
          <w:lang w:val="bg-BG" w:eastAsia="ja-JP"/>
        </w:rPr>
        <w:t>на въоръжените сили (</w:t>
      </w:r>
      <w:r w:rsidRPr="00FE6AC6">
        <w:rPr>
          <w:rFonts w:eastAsia="MS Mincho"/>
          <w:color w:val="000000"/>
          <w:szCs w:val="22"/>
          <w:lang w:eastAsia="ja-JP"/>
        </w:rPr>
        <w:t>Armed</w:t>
      </w:r>
      <w:r w:rsidRPr="00FE6AC6">
        <w:rPr>
          <w:rFonts w:eastAsia="MS Mincho"/>
          <w:color w:val="000000"/>
          <w:szCs w:val="22"/>
          <w:lang w:val="bg-BG" w:eastAsia="ja-JP"/>
        </w:rPr>
        <w:t xml:space="preserve"> </w:t>
      </w:r>
      <w:r w:rsidRPr="00FE6AC6">
        <w:rPr>
          <w:rFonts w:eastAsia="MS Mincho"/>
          <w:color w:val="000000"/>
          <w:szCs w:val="22"/>
          <w:lang w:eastAsia="ja-JP"/>
        </w:rPr>
        <w:t>Forces</w:t>
      </w:r>
      <w:r w:rsidRPr="00FE6AC6">
        <w:rPr>
          <w:rFonts w:eastAsia="MS Mincho"/>
          <w:color w:val="000000"/>
          <w:szCs w:val="22"/>
          <w:lang w:val="bg-BG" w:eastAsia="ja-JP"/>
        </w:rPr>
        <w:t xml:space="preserve"> </w:t>
      </w:r>
      <w:r w:rsidRPr="00FE6AC6">
        <w:rPr>
          <w:rFonts w:eastAsia="MS Mincho"/>
          <w:color w:val="000000"/>
          <w:szCs w:val="22"/>
          <w:lang w:eastAsia="ja-JP"/>
        </w:rPr>
        <w:t>Institute</w:t>
      </w:r>
      <w:r w:rsidRPr="00FE6AC6">
        <w:rPr>
          <w:rFonts w:eastAsia="MS Mincho"/>
          <w:color w:val="000000"/>
          <w:szCs w:val="22"/>
          <w:lang w:val="bg-BG" w:eastAsia="ja-JP"/>
        </w:rPr>
        <w:t xml:space="preserve"> </w:t>
      </w:r>
      <w:r w:rsidRPr="00FE6AC6">
        <w:rPr>
          <w:rFonts w:eastAsia="MS Mincho"/>
          <w:color w:val="000000"/>
          <w:szCs w:val="22"/>
          <w:lang w:eastAsia="ja-JP"/>
        </w:rPr>
        <w:t>of</w:t>
      </w:r>
      <w:r w:rsidRPr="00FE6AC6">
        <w:rPr>
          <w:rFonts w:eastAsia="MS Mincho"/>
          <w:color w:val="000000"/>
          <w:szCs w:val="22"/>
          <w:lang w:val="bg-BG" w:eastAsia="ja-JP"/>
        </w:rPr>
        <w:t xml:space="preserve"> </w:t>
      </w:r>
      <w:r w:rsidRPr="00FE6AC6">
        <w:rPr>
          <w:rFonts w:eastAsia="MS Mincho"/>
          <w:color w:val="000000"/>
          <w:szCs w:val="22"/>
          <w:lang w:eastAsia="ja-JP"/>
        </w:rPr>
        <w:t>Pathology</w:t>
      </w:r>
      <w:r w:rsidRPr="00FE6AC6">
        <w:rPr>
          <w:rFonts w:eastAsia="MS Mincho"/>
          <w:color w:val="000000"/>
          <w:szCs w:val="22"/>
          <w:lang w:val="bg-BG" w:eastAsia="ja-JP"/>
        </w:rPr>
        <w:t xml:space="preserve"> (</w:t>
      </w:r>
      <w:r w:rsidRPr="00FE6AC6">
        <w:rPr>
          <w:rFonts w:eastAsia="MS Mincho"/>
          <w:color w:val="000000"/>
          <w:szCs w:val="22"/>
          <w:lang w:eastAsia="ja-JP"/>
        </w:rPr>
        <w:t>AFIP</w:t>
      </w:r>
      <w:r w:rsidRPr="00FE6AC6">
        <w:rPr>
          <w:rFonts w:eastAsia="MS Mincho"/>
          <w:color w:val="000000"/>
          <w:szCs w:val="22"/>
          <w:lang w:val="bg-BG" w:eastAsia="ja-JP"/>
        </w:rPr>
        <w:t>)</w:t>
      </w:r>
      <w:r w:rsidR="004B1371" w:rsidRPr="00FE6AC6">
        <w:rPr>
          <w:color w:val="000000"/>
          <w:lang w:val="bg-BG"/>
        </w:rPr>
        <w:t xml:space="preserve">) </w:t>
      </w:r>
      <w:r w:rsidRPr="00FE6AC6">
        <w:rPr>
          <w:color w:val="000000"/>
          <w:lang w:val="bg-BG"/>
        </w:rPr>
        <w:t>са показани в Таблица </w:t>
      </w:r>
      <w:r w:rsidR="008C64DA" w:rsidRPr="00FE6AC6">
        <w:rPr>
          <w:color w:val="000000"/>
          <w:lang w:val="bg-BG"/>
        </w:rPr>
        <w:t>7</w:t>
      </w:r>
      <w:r w:rsidRPr="00FE6AC6">
        <w:rPr>
          <w:color w:val="000000"/>
          <w:lang w:val="bg-BG"/>
        </w:rPr>
        <w:t>.</w:t>
      </w:r>
      <w:r w:rsidR="009D7CB7" w:rsidRPr="00FE6AC6">
        <w:rPr>
          <w:color w:val="000000"/>
          <w:lang w:val="bg-BG"/>
        </w:rPr>
        <w:t xml:space="preserve"> </w:t>
      </w:r>
      <w:r w:rsidR="00691110" w:rsidRPr="00FE6AC6">
        <w:rPr>
          <w:color w:val="000000"/>
          <w:lang w:val="bg-BG"/>
        </w:rPr>
        <w:t>В</w:t>
      </w:r>
      <w:r w:rsidR="009D7CB7" w:rsidRPr="00FE6AC6">
        <w:rPr>
          <w:color w:val="000000"/>
          <w:lang w:val="bg-BG"/>
        </w:rPr>
        <w:t xml:space="preserve"> групите </w:t>
      </w:r>
      <w:r w:rsidR="00D95FFC" w:rsidRPr="00FE6AC6">
        <w:rPr>
          <w:color w:val="000000"/>
          <w:lang w:val="bg-BG"/>
        </w:rPr>
        <w:t>с нисък и много нисък риск</w:t>
      </w:r>
      <w:r w:rsidR="00691110" w:rsidRPr="00FE6AC6">
        <w:rPr>
          <w:color w:val="000000"/>
          <w:lang w:val="bg-BG"/>
        </w:rPr>
        <w:t xml:space="preserve"> не с</w:t>
      </w:r>
      <w:r w:rsidR="00831CBB" w:rsidRPr="00FE6AC6">
        <w:rPr>
          <w:color w:val="000000"/>
          <w:lang w:val="bg-BG"/>
        </w:rPr>
        <w:t>е наблюдават клинични</w:t>
      </w:r>
      <w:r w:rsidR="00691110" w:rsidRPr="00FE6AC6">
        <w:rPr>
          <w:color w:val="000000"/>
          <w:lang w:val="bg-BG"/>
        </w:rPr>
        <w:t xml:space="preserve"> ползи</w:t>
      </w:r>
      <w:r w:rsidR="00D95FFC" w:rsidRPr="00FE6AC6">
        <w:rPr>
          <w:color w:val="000000"/>
          <w:lang w:val="bg-BG"/>
        </w:rPr>
        <w:t xml:space="preserve">. </w:t>
      </w:r>
      <w:r w:rsidR="000965F4" w:rsidRPr="00FE6AC6">
        <w:rPr>
          <w:color w:val="000000"/>
          <w:lang w:val="bg-BG"/>
        </w:rPr>
        <w:t>По</w:t>
      </w:r>
      <w:r w:rsidR="00871C98" w:rsidRPr="00FE6AC6">
        <w:rPr>
          <w:color w:val="000000"/>
          <w:lang w:val="bg-BG"/>
        </w:rPr>
        <w:t>лзи не се наблюдават и по</w:t>
      </w:r>
      <w:r w:rsidR="000965F4" w:rsidRPr="00FE6AC6">
        <w:rPr>
          <w:color w:val="000000"/>
          <w:lang w:val="bg-BG"/>
        </w:rPr>
        <w:t xml:space="preserve"> о</w:t>
      </w:r>
      <w:r w:rsidR="00871C98" w:rsidRPr="00FE6AC6">
        <w:rPr>
          <w:color w:val="000000"/>
          <w:lang w:val="bg-BG"/>
        </w:rPr>
        <w:t>тношение на общата преживяемост.</w:t>
      </w:r>
    </w:p>
    <w:p w14:paraId="3E54FF53" w14:textId="77777777" w:rsidR="007D128F" w:rsidRPr="00FE6AC6" w:rsidRDefault="007D128F" w:rsidP="0063575E">
      <w:pPr>
        <w:widowControl w:val="0"/>
        <w:spacing w:line="240" w:lineRule="auto"/>
        <w:rPr>
          <w:color w:val="000000"/>
          <w:u w:val="single"/>
          <w:lang w:val="bg-BG"/>
        </w:rPr>
      </w:pPr>
    </w:p>
    <w:p w14:paraId="3E54FF54" w14:textId="77777777" w:rsidR="007D128F" w:rsidRPr="00FE6AC6" w:rsidRDefault="007D128F" w:rsidP="008143B1">
      <w:pPr>
        <w:pStyle w:val="Heading6"/>
        <w:keepLines/>
        <w:widowControl w:val="0"/>
        <w:tabs>
          <w:tab w:val="clear" w:pos="-720"/>
          <w:tab w:val="clear" w:pos="567"/>
          <w:tab w:val="clear" w:pos="4536"/>
          <w:tab w:val="left" w:pos="1134"/>
        </w:tabs>
        <w:suppressAutoHyphens w:val="0"/>
        <w:spacing w:line="240" w:lineRule="auto"/>
        <w:ind w:left="1134" w:hanging="1134"/>
        <w:rPr>
          <w:rFonts w:eastAsia="MS Mincho"/>
          <w:b/>
          <w:i w:val="0"/>
          <w:color w:val="000000"/>
          <w:szCs w:val="22"/>
          <w:lang w:val="ru-RU" w:eastAsia="ja-JP"/>
        </w:rPr>
      </w:pPr>
      <w:r w:rsidRPr="00FE6AC6">
        <w:rPr>
          <w:rFonts w:eastAsia="MS Mincho"/>
          <w:b/>
          <w:i w:val="0"/>
          <w:color w:val="000000"/>
          <w:szCs w:val="22"/>
          <w:lang w:val="bg-BG" w:eastAsia="ja-JP"/>
        </w:rPr>
        <w:t>Таблица</w:t>
      </w:r>
      <w:r w:rsidRPr="00FE6AC6">
        <w:rPr>
          <w:rFonts w:eastAsia="MS Mincho"/>
          <w:b/>
          <w:i w:val="0"/>
          <w:color w:val="000000"/>
          <w:szCs w:val="22"/>
          <w:lang w:val="en-US" w:eastAsia="ja-JP"/>
        </w:rPr>
        <w:t> </w:t>
      </w:r>
      <w:r w:rsidR="008C64DA" w:rsidRPr="00FE6AC6">
        <w:rPr>
          <w:rFonts w:eastAsia="MS Mincho"/>
          <w:b/>
          <w:i w:val="0"/>
          <w:color w:val="000000"/>
          <w:szCs w:val="22"/>
          <w:lang w:val="bg-BG" w:eastAsia="ja-JP"/>
        </w:rPr>
        <w:t>7</w:t>
      </w:r>
      <w:r w:rsidRPr="00FE6AC6">
        <w:rPr>
          <w:rFonts w:eastAsia="MS Mincho"/>
          <w:b/>
          <w:i w:val="0"/>
          <w:color w:val="000000"/>
          <w:szCs w:val="22"/>
          <w:lang w:val="ru-RU" w:eastAsia="ja-JP"/>
        </w:rPr>
        <w:tab/>
      </w:r>
      <w:r w:rsidRPr="00FE6AC6">
        <w:rPr>
          <w:rFonts w:eastAsia="MS Mincho"/>
          <w:b/>
          <w:i w:val="0"/>
          <w:color w:val="000000"/>
          <w:szCs w:val="22"/>
          <w:lang w:val="bg-BG" w:eastAsia="ja-JP"/>
        </w:rPr>
        <w:t>Обобщение</w:t>
      </w:r>
      <w:r w:rsidR="0007544C" w:rsidRPr="00FE6AC6">
        <w:rPr>
          <w:rFonts w:eastAsia="MS Mincho"/>
          <w:b/>
          <w:i w:val="0"/>
          <w:color w:val="000000"/>
          <w:szCs w:val="22"/>
          <w:lang w:val="bg-BG" w:eastAsia="ja-JP"/>
        </w:rPr>
        <w:t xml:space="preserve"> на</w:t>
      </w:r>
      <w:r w:rsidRPr="00FE6AC6">
        <w:rPr>
          <w:rFonts w:eastAsia="MS Mincho"/>
          <w:b/>
          <w:i w:val="0"/>
          <w:color w:val="000000"/>
          <w:szCs w:val="22"/>
          <w:lang w:val="bg-BG" w:eastAsia="ja-JP"/>
        </w:rPr>
        <w:t xml:space="preserve"> анализ</w:t>
      </w:r>
      <w:r w:rsidR="0007544C" w:rsidRPr="00FE6AC6">
        <w:rPr>
          <w:rFonts w:eastAsia="MS Mincho"/>
          <w:b/>
          <w:i w:val="0"/>
          <w:color w:val="000000"/>
          <w:szCs w:val="22"/>
          <w:lang w:val="bg-BG" w:eastAsia="ja-JP"/>
        </w:rPr>
        <w:t>ите</w:t>
      </w:r>
      <w:r w:rsidRPr="00FE6AC6">
        <w:rPr>
          <w:rFonts w:eastAsia="MS Mincho"/>
          <w:b/>
          <w:i w:val="0"/>
          <w:color w:val="000000"/>
          <w:szCs w:val="22"/>
          <w:lang w:val="bg-BG" w:eastAsia="ja-JP"/>
        </w:rPr>
        <w:t xml:space="preserve"> </w:t>
      </w:r>
      <w:r w:rsidR="008B3CD5" w:rsidRPr="00FE6AC6">
        <w:rPr>
          <w:rFonts w:eastAsia="MS Mincho"/>
          <w:b/>
          <w:i w:val="0"/>
          <w:color w:val="000000"/>
          <w:szCs w:val="22"/>
          <w:lang w:val="bg-BG" w:eastAsia="ja-JP"/>
        </w:rPr>
        <w:t xml:space="preserve">на </w:t>
      </w:r>
      <w:r w:rsidRPr="00FE6AC6">
        <w:rPr>
          <w:rFonts w:eastAsia="MS Mincho"/>
          <w:b/>
          <w:i w:val="0"/>
          <w:color w:val="000000"/>
          <w:szCs w:val="22"/>
          <w:lang w:val="bg-BG" w:eastAsia="ja-JP"/>
        </w:rPr>
        <w:t>преживяемост</w:t>
      </w:r>
      <w:r w:rsidR="008B3CD5" w:rsidRPr="00FE6AC6">
        <w:rPr>
          <w:rFonts w:eastAsia="MS Mincho"/>
          <w:b/>
          <w:i w:val="0"/>
          <w:color w:val="000000"/>
          <w:szCs w:val="22"/>
          <w:lang w:val="bg-BG" w:eastAsia="ja-JP"/>
        </w:rPr>
        <w:t>та без рецидив</w:t>
      </w:r>
      <w:r w:rsidRPr="00FE6AC6">
        <w:rPr>
          <w:rFonts w:eastAsia="MS Mincho"/>
          <w:b/>
          <w:i w:val="0"/>
          <w:color w:val="000000"/>
          <w:szCs w:val="22"/>
          <w:lang w:val="bg-BG" w:eastAsia="ja-JP"/>
        </w:rPr>
        <w:t xml:space="preserve"> </w:t>
      </w:r>
      <w:r w:rsidR="0007544C" w:rsidRPr="00FE6AC6">
        <w:rPr>
          <w:rFonts w:eastAsia="MS Mincho"/>
          <w:b/>
          <w:i w:val="0"/>
          <w:color w:val="000000"/>
          <w:szCs w:val="22"/>
          <w:lang w:val="bg-BG" w:eastAsia="ja-JP"/>
        </w:rPr>
        <w:t>при проучването</w:t>
      </w:r>
      <w:r w:rsidR="0007544C" w:rsidRPr="00FE6AC6">
        <w:rPr>
          <w:rFonts w:eastAsia="MS Mincho"/>
          <w:b/>
          <w:i w:val="0"/>
          <w:color w:val="000000"/>
          <w:szCs w:val="22"/>
          <w:lang w:val="ru-RU" w:eastAsia="ja-JP"/>
        </w:rPr>
        <w:t xml:space="preserve"> </w:t>
      </w:r>
      <w:r w:rsidR="0007544C" w:rsidRPr="00FE6AC6">
        <w:rPr>
          <w:rFonts w:eastAsia="MS Mincho"/>
          <w:b/>
          <w:i w:val="0"/>
          <w:color w:val="000000"/>
          <w:szCs w:val="22"/>
          <w:lang w:val="en-US" w:eastAsia="ja-JP"/>
        </w:rPr>
        <w:t>Z</w:t>
      </w:r>
      <w:r w:rsidR="0007544C" w:rsidRPr="00FE6AC6">
        <w:rPr>
          <w:rFonts w:eastAsia="MS Mincho"/>
          <w:b/>
          <w:i w:val="0"/>
          <w:color w:val="000000"/>
          <w:szCs w:val="22"/>
          <w:lang w:val="ru-RU" w:eastAsia="ja-JP"/>
        </w:rPr>
        <w:t xml:space="preserve">9001, </w:t>
      </w:r>
      <w:r w:rsidRPr="00FE6AC6">
        <w:rPr>
          <w:rFonts w:eastAsia="MS Mincho"/>
          <w:b/>
          <w:i w:val="0"/>
          <w:color w:val="000000"/>
          <w:szCs w:val="22"/>
          <w:lang w:val="bg-BG" w:eastAsia="ja-JP"/>
        </w:rPr>
        <w:t>съгласно класификаци</w:t>
      </w:r>
      <w:r w:rsidR="000F2186" w:rsidRPr="00FE6AC6">
        <w:rPr>
          <w:rFonts w:eastAsia="MS Mincho"/>
          <w:b/>
          <w:i w:val="0"/>
          <w:color w:val="000000"/>
          <w:szCs w:val="22"/>
          <w:lang w:val="bg-BG" w:eastAsia="ja-JP"/>
        </w:rPr>
        <w:t>ите</w:t>
      </w:r>
      <w:r w:rsidRPr="00FE6AC6">
        <w:rPr>
          <w:rFonts w:eastAsia="MS Mincho"/>
          <w:b/>
          <w:i w:val="0"/>
          <w:color w:val="000000"/>
          <w:szCs w:val="22"/>
          <w:lang w:val="bg-BG" w:eastAsia="ja-JP"/>
        </w:rPr>
        <w:t xml:space="preserve"> на риска на </w:t>
      </w:r>
      <w:r w:rsidR="000F2186" w:rsidRPr="00FE6AC6">
        <w:rPr>
          <w:rFonts w:eastAsia="MS Mincho"/>
          <w:b/>
          <w:i w:val="0"/>
          <w:color w:val="000000"/>
          <w:szCs w:val="22"/>
          <w:lang w:val="en-US" w:eastAsia="ja-JP"/>
        </w:rPr>
        <w:t>NIH</w:t>
      </w:r>
      <w:r w:rsidR="000F2186" w:rsidRPr="00FE6AC6">
        <w:rPr>
          <w:rFonts w:eastAsia="MS Mincho"/>
          <w:b/>
          <w:i w:val="0"/>
          <w:color w:val="000000"/>
          <w:szCs w:val="22"/>
          <w:lang w:val="ru-RU" w:eastAsia="ja-JP"/>
        </w:rPr>
        <w:t xml:space="preserve"> и </w:t>
      </w:r>
      <w:r w:rsidRPr="00FE6AC6">
        <w:rPr>
          <w:rFonts w:eastAsia="MS Mincho"/>
          <w:b/>
          <w:i w:val="0"/>
          <w:color w:val="000000"/>
          <w:szCs w:val="22"/>
          <w:lang w:val="en-US" w:eastAsia="ja-JP"/>
        </w:rPr>
        <w:t>AFIP</w:t>
      </w:r>
    </w:p>
    <w:p w14:paraId="3E54FF55" w14:textId="77777777" w:rsidR="00790C35" w:rsidRPr="00FE6AC6" w:rsidRDefault="00790C35" w:rsidP="008143B1">
      <w:pPr>
        <w:keepNext/>
        <w:widowControl w:val="0"/>
        <w:spacing w:line="240" w:lineRule="auto"/>
        <w:rPr>
          <w:rFonts w:eastAsia="MS Mincho"/>
          <w:lang w:val="bg-BG" w:eastAsia="ja-JP"/>
        </w:rPr>
      </w:pP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232"/>
        <w:gridCol w:w="1204"/>
        <w:gridCol w:w="1841"/>
        <w:gridCol w:w="1560"/>
        <w:gridCol w:w="1275"/>
        <w:gridCol w:w="1259"/>
      </w:tblGrid>
      <w:tr w:rsidR="00790C35" w:rsidRPr="00FE6AC6" w14:paraId="3E54FF5C" w14:textId="77777777" w:rsidTr="008143B1">
        <w:trPr>
          <w:cantSplit/>
        </w:trPr>
        <w:tc>
          <w:tcPr>
            <w:tcW w:w="934" w:type="dxa"/>
            <w:vMerge w:val="restart"/>
          </w:tcPr>
          <w:p w14:paraId="3E54FF56" w14:textId="77777777" w:rsidR="00790C35" w:rsidRPr="00FE6AC6" w:rsidRDefault="00790C35" w:rsidP="008143B1">
            <w:pPr>
              <w:keepNext/>
              <w:widowControl w:val="0"/>
              <w:spacing w:line="240" w:lineRule="auto"/>
              <w:jc w:val="center"/>
              <w:rPr>
                <w:b/>
                <w:szCs w:val="22"/>
              </w:rPr>
            </w:pPr>
            <w:r w:rsidRPr="00FE6AC6">
              <w:rPr>
                <w:b/>
                <w:szCs w:val="22"/>
                <w:lang w:val="bg-BG"/>
              </w:rPr>
              <w:t>Критерии за риск</w:t>
            </w:r>
          </w:p>
        </w:tc>
        <w:tc>
          <w:tcPr>
            <w:tcW w:w="1232" w:type="dxa"/>
            <w:vMerge w:val="restart"/>
            <w:tcBorders>
              <w:right w:val="single" w:sz="4" w:space="0" w:color="auto"/>
            </w:tcBorders>
          </w:tcPr>
          <w:p w14:paraId="3E54FF57" w14:textId="77777777" w:rsidR="00790C35" w:rsidRPr="00FE6AC6" w:rsidRDefault="00921F40" w:rsidP="008143B1">
            <w:pPr>
              <w:keepNext/>
              <w:widowControl w:val="0"/>
              <w:spacing w:line="240" w:lineRule="auto"/>
              <w:rPr>
                <w:b/>
                <w:szCs w:val="22"/>
              </w:rPr>
            </w:pPr>
            <w:r w:rsidRPr="00FE6AC6">
              <w:rPr>
                <w:b/>
                <w:szCs w:val="22"/>
                <w:lang w:val="bg-BG"/>
              </w:rPr>
              <w:t>Степен</w:t>
            </w:r>
            <w:r w:rsidR="00790C35" w:rsidRPr="00FE6AC6">
              <w:rPr>
                <w:b/>
                <w:szCs w:val="22"/>
                <w:lang w:val="bg-BG"/>
              </w:rPr>
              <w:t xml:space="preserve"> на риск</w:t>
            </w:r>
          </w:p>
        </w:tc>
        <w:tc>
          <w:tcPr>
            <w:tcW w:w="1204" w:type="dxa"/>
            <w:vMerge w:val="restart"/>
            <w:tcBorders>
              <w:left w:val="single" w:sz="4" w:space="0" w:color="auto"/>
              <w:right w:val="single" w:sz="4" w:space="0" w:color="auto"/>
            </w:tcBorders>
          </w:tcPr>
          <w:p w14:paraId="3E54FF58" w14:textId="77777777" w:rsidR="00790C35" w:rsidRPr="00FE6AC6" w:rsidRDefault="00790C35" w:rsidP="008143B1">
            <w:pPr>
              <w:keepNext/>
              <w:widowControl w:val="0"/>
              <w:spacing w:line="240" w:lineRule="auto"/>
              <w:jc w:val="center"/>
              <w:rPr>
                <w:b/>
                <w:szCs w:val="22"/>
              </w:rPr>
            </w:pPr>
            <w:r w:rsidRPr="00FE6AC6">
              <w:rPr>
                <w:b/>
                <w:szCs w:val="22"/>
              </w:rPr>
              <w:t xml:space="preserve">% </w:t>
            </w:r>
            <w:r w:rsidRPr="00FE6AC6">
              <w:rPr>
                <w:b/>
                <w:szCs w:val="22"/>
                <w:lang w:val="bg-BG"/>
              </w:rPr>
              <w:t>пациенти</w:t>
            </w:r>
          </w:p>
        </w:tc>
        <w:tc>
          <w:tcPr>
            <w:tcW w:w="1841" w:type="dxa"/>
            <w:vMerge w:val="restart"/>
            <w:tcBorders>
              <w:left w:val="single" w:sz="4" w:space="0" w:color="auto"/>
              <w:right w:val="single" w:sz="4" w:space="0" w:color="auto"/>
            </w:tcBorders>
          </w:tcPr>
          <w:p w14:paraId="3E54FF59" w14:textId="77777777" w:rsidR="00790C35" w:rsidRPr="00FE6AC6" w:rsidRDefault="00790C35" w:rsidP="008143B1">
            <w:pPr>
              <w:keepNext/>
              <w:widowControl w:val="0"/>
              <w:spacing w:line="240" w:lineRule="auto"/>
              <w:jc w:val="center"/>
              <w:rPr>
                <w:b/>
                <w:szCs w:val="22"/>
                <w:lang w:val="bg-BG"/>
              </w:rPr>
            </w:pPr>
            <w:r w:rsidRPr="00FE6AC6">
              <w:rPr>
                <w:b/>
                <w:szCs w:val="22"/>
                <w:lang w:val="bg-BG"/>
              </w:rPr>
              <w:t>Брой събития</w:t>
            </w:r>
            <w:r w:rsidRPr="00FE6AC6">
              <w:rPr>
                <w:b/>
                <w:szCs w:val="22"/>
              </w:rPr>
              <w:t>/</w:t>
            </w:r>
            <w:r w:rsidRPr="00FE6AC6">
              <w:rPr>
                <w:b/>
                <w:szCs w:val="22"/>
              </w:rPr>
              <w:br/>
            </w:r>
            <w:r w:rsidRPr="00FE6AC6">
              <w:rPr>
                <w:b/>
                <w:szCs w:val="22"/>
                <w:lang w:val="bg-BG"/>
              </w:rPr>
              <w:t>Брой пациенти</w:t>
            </w:r>
          </w:p>
        </w:tc>
        <w:tc>
          <w:tcPr>
            <w:tcW w:w="1560" w:type="dxa"/>
            <w:vMerge w:val="restart"/>
            <w:tcBorders>
              <w:left w:val="single" w:sz="4" w:space="0" w:color="auto"/>
              <w:right w:val="single" w:sz="4" w:space="0" w:color="auto"/>
            </w:tcBorders>
          </w:tcPr>
          <w:p w14:paraId="3E54FF5A" w14:textId="77777777" w:rsidR="00790C35" w:rsidRPr="00FE6AC6" w:rsidRDefault="00790C35" w:rsidP="008143B1">
            <w:pPr>
              <w:keepNext/>
              <w:widowControl w:val="0"/>
              <w:spacing w:line="240" w:lineRule="auto"/>
              <w:jc w:val="center"/>
              <w:rPr>
                <w:b/>
                <w:szCs w:val="22"/>
                <w:lang w:val="ru-RU"/>
              </w:rPr>
            </w:pPr>
            <w:r w:rsidRPr="00FE6AC6">
              <w:rPr>
                <w:b/>
                <w:szCs w:val="22"/>
                <w:lang w:val="bg-BG"/>
              </w:rPr>
              <w:t>Общ коефициент на риск</w:t>
            </w:r>
            <w:r w:rsidRPr="00FE6AC6">
              <w:rPr>
                <w:b/>
                <w:szCs w:val="22"/>
                <w:lang w:val="ru-RU"/>
              </w:rPr>
              <w:t xml:space="preserve"> (95%</w:t>
            </w:r>
            <w:r w:rsidR="00B33277" w:rsidRPr="00FE6AC6">
              <w:rPr>
                <w:b/>
                <w:szCs w:val="22"/>
                <w:lang w:val="bg-BG"/>
              </w:rPr>
              <w:t xml:space="preserve"> </w:t>
            </w:r>
            <w:r w:rsidR="00B33277" w:rsidRPr="00FE6AC6">
              <w:rPr>
                <w:b/>
                <w:szCs w:val="22"/>
                <w:lang w:val="en-US"/>
              </w:rPr>
              <w:t>CI</w:t>
            </w:r>
            <w:r w:rsidRPr="00FE6AC6">
              <w:rPr>
                <w:b/>
                <w:szCs w:val="22"/>
                <w:lang w:val="ru-RU"/>
              </w:rPr>
              <w:t>)*</w:t>
            </w:r>
          </w:p>
        </w:tc>
        <w:tc>
          <w:tcPr>
            <w:tcW w:w="2534" w:type="dxa"/>
            <w:gridSpan w:val="2"/>
            <w:tcBorders>
              <w:left w:val="single" w:sz="4" w:space="0" w:color="auto"/>
            </w:tcBorders>
          </w:tcPr>
          <w:p w14:paraId="3E54FF5B" w14:textId="77777777" w:rsidR="00790C35" w:rsidRPr="00FE6AC6" w:rsidRDefault="00E13600" w:rsidP="008143B1">
            <w:pPr>
              <w:keepNext/>
              <w:widowControl w:val="0"/>
              <w:spacing w:line="240" w:lineRule="auto"/>
              <w:jc w:val="center"/>
              <w:rPr>
                <w:b/>
                <w:szCs w:val="22"/>
              </w:rPr>
            </w:pPr>
            <w:r w:rsidRPr="00FE6AC6">
              <w:rPr>
                <w:b/>
                <w:szCs w:val="22"/>
                <w:lang w:val="bg-BG"/>
              </w:rPr>
              <w:t>П</w:t>
            </w:r>
            <w:r w:rsidR="00790C35" w:rsidRPr="00FE6AC6">
              <w:rPr>
                <w:b/>
                <w:szCs w:val="22"/>
                <w:lang w:val="bg-BG"/>
              </w:rPr>
              <w:t>реживяемост</w:t>
            </w:r>
            <w:r w:rsidRPr="00FE6AC6">
              <w:rPr>
                <w:b/>
                <w:szCs w:val="22"/>
                <w:lang w:val="bg-BG"/>
              </w:rPr>
              <w:t xml:space="preserve"> без рецидив</w:t>
            </w:r>
            <w:r w:rsidR="00790C35" w:rsidRPr="00FE6AC6">
              <w:rPr>
                <w:b/>
                <w:szCs w:val="22"/>
                <w:lang w:val="bg-BG"/>
              </w:rPr>
              <w:t xml:space="preserve"> </w:t>
            </w:r>
            <w:r w:rsidR="00790C35" w:rsidRPr="00FE6AC6">
              <w:rPr>
                <w:b/>
                <w:szCs w:val="22"/>
              </w:rPr>
              <w:t>(%)</w:t>
            </w:r>
          </w:p>
        </w:tc>
      </w:tr>
      <w:tr w:rsidR="00790C35" w:rsidRPr="00FE6AC6" w14:paraId="3E54FF64" w14:textId="77777777" w:rsidTr="008143B1">
        <w:trPr>
          <w:cantSplit/>
        </w:trPr>
        <w:tc>
          <w:tcPr>
            <w:tcW w:w="934" w:type="dxa"/>
            <w:vMerge/>
          </w:tcPr>
          <w:p w14:paraId="3E54FF5D" w14:textId="77777777" w:rsidR="00790C35" w:rsidRPr="00FE6AC6" w:rsidRDefault="00790C35" w:rsidP="008143B1">
            <w:pPr>
              <w:keepNext/>
              <w:widowControl w:val="0"/>
              <w:spacing w:line="240" w:lineRule="auto"/>
              <w:rPr>
                <w:b/>
                <w:szCs w:val="22"/>
              </w:rPr>
            </w:pPr>
          </w:p>
        </w:tc>
        <w:tc>
          <w:tcPr>
            <w:tcW w:w="1232" w:type="dxa"/>
            <w:vMerge/>
            <w:tcBorders>
              <w:right w:val="single" w:sz="4" w:space="0" w:color="auto"/>
            </w:tcBorders>
          </w:tcPr>
          <w:p w14:paraId="3E54FF5E" w14:textId="77777777" w:rsidR="00790C35" w:rsidRPr="00FE6AC6" w:rsidRDefault="00790C35" w:rsidP="008143B1">
            <w:pPr>
              <w:keepNext/>
              <w:widowControl w:val="0"/>
              <w:spacing w:line="240" w:lineRule="auto"/>
              <w:rPr>
                <w:b/>
                <w:szCs w:val="22"/>
              </w:rPr>
            </w:pPr>
          </w:p>
        </w:tc>
        <w:tc>
          <w:tcPr>
            <w:tcW w:w="1204" w:type="dxa"/>
            <w:vMerge/>
            <w:tcBorders>
              <w:left w:val="single" w:sz="4" w:space="0" w:color="auto"/>
              <w:right w:val="single" w:sz="4" w:space="0" w:color="auto"/>
            </w:tcBorders>
          </w:tcPr>
          <w:p w14:paraId="3E54FF5F" w14:textId="77777777" w:rsidR="00790C35" w:rsidRPr="00FE6AC6" w:rsidRDefault="00790C35" w:rsidP="008143B1">
            <w:pPr>
              <w:keepNext/>
              <w:widowControl w:val="0"/>
              <w:spacing w:line="240" w:lineRule="auto"/>
              <w:jc w:val="center"/>
              <w:rPr>
                <w:b/>
                <w:szCs w:val="22"/>
              </w:rPr>
            </w:pPr>
          </w:p>
        </w:tc>
        <w:tc>
          <w:tcPr>
            <w:tcW w:w="1841" w:type="dxa"/>
            <w:vMerge/>
            <w:tcBorders>
              <w:left w:val="single" w:sz="4" w:space="0" w:color="auto"/>
              <w:right w:val="single" w:sz="4" w:space="0" w:color="auto"/>
            </w:tcBorders>
          </w:tcPr>
          <w:p w14:paraId="3E54FF60" w14:textId="77777777" w:rsidR="00790C35" w:rsidRPr="00FE6AC6" w:rsidRDefault="00790C35" w:rsidP="008143B1">
            <w:pPr>
              <w:keepNext/>
              <w:widowControl w:val="0"/>
              <w:spacing w:line="240" w:lineRule="auto"/>
              <w:jc w:val="center"/>
              <w:rPr>
                <w:b/>
                <w:szCs w:val="22"/>
              </w:rPr>
            </w:pPr>
          </w:p>
        </w:tc>
        <w:tc>
          <w:tcPr>
            <w:tcW w:w="1560" w:type="dxa"/>
            <w:vMerge/>
            <w:tcBorders>
              <w:left w:val="single" w:sz="4" w:space="0" w:color="auto"/>
              <w:right w:val="single" w:sz="4" w:space="0" w:color="auto"/>
            </w:tcBorders>
          </w:tcPr>
          <w:p w14:paraId="3E54FF61" w14:textId="77777777" w:rsidR="00790C35" w:rsidRPr="00FE6AC6" w:rsidRDefault="00790C35" w:rsidP="008143B1">
            <w:pPr>
              <w:keepNext/>
              <w:widowControl w:val="0"/>
              <w:spacing w:line="240" w:lineRule="auto"/>
              <w:rPr>
                <w:b/>
                <w:szCs w:val="22"/>
              </w:rPr>
            </w:pPr>
          </w:p>
        </w:tc>
        <w:tc>
          <w:tcPr>
            <w:tcW w:w="1275" w:type="dxa"/>
            <w:tcBorders>
              <w:left w:val="single" w:sz="4" w:space="0" w:color="auto"/>
              <w:right w:val="single" w:sz="4" w:space="0" w:color="auto"/>
            </w:tcBorders>
          </w:tcPr>
          <w:p w14:paraId="3E54FF62" w14:textId="77777777" w:rsidR="00790C35" w:rsidRPr="00FE6AC6" w:rsidRDefault="00790C35" w:rsidP="008143B1">
            <w:pPr>
              <w:keepNext/>
              <w:widowControl w:val="0"/>
              <w:spacing w:line="240" w:lineRule="auto"/>
              <w:jc w:val="center"/>
              <w:rPr>
                <w:b/>
                <w:szCs w:val="22"/>
                <w:lang w:val="bg-BG"/>
              </w:rPr>
            </w:pPr>
            <w:r w:rsidRPr="00FE6AC6">
              <w:rPr>
                <w:b/>
                <w:szCs w:val="22"/>
              </w:rPr>
              <w:t>12 </w:t>
            </w:r>
            <w:r w:rsidRPr="00FE6AC6">
              <w:rPr>
                <w:b/>
                <w:szCs w:val="22"/>
                <w:lang w:val="bg-BG"/>
              </w:rPr>
              <w:t>месеца</w:t>
            </w:r>
          </w:p>
        </w:tc>
        <w:tc>
          <w:tcPr>
            <w:tcW w:w="1259" w:type="dxa"/>
            <w:tcBorders>
              <w:left w:val="single" w:sz="4" w:space="0" w:color="auto"/>
            </w:tcBorders>
          </w:tcPr>
          <w:p w14:paraId="3E54FF63" w14:textId="77777777" w:rsidR="00790C35" w:rsidRPr="00FE6AC6" w:rsidRDefault="00790C35" w:rsidP="008143B1">
            <w:pPr>
              <w:keepNext/>
              <w:widowControl w:val="0"/>
              <w:spacing w:line="240" w:lineRule="auto"/>
              <w:jc w:val="center"/>
              <w:rPr>
                <w:b/>
                <w:szCs w:val="22"/>
              </w:rPr>
            </w:pPr>
            <w:r w:rsidRPr="00FE6AC6">
              <w:rPr>
                <w:b/>
                <w:szCs w:val="22"/>
              </w:rPr>
              <w:t>24 </w:t>
            </w:r>
            <w:r w:rsidRPr="00FE6AC6">
              <w:rPr>
                <w:b/>
                <w:szCs w:val="22"/>
                <w:lang w:val="bg-BG"/>
              </w:rPr>
              <w:t>месеца</w:t>
            </w:r>
          </w:p>
        </w:tc>
      </w:tr>
      <w:tr w:rsidR="00790C35" w:rsidRPr="00FE6AC6" w14:paraId="3E54FF6C" w14:textId="77777777" w:rsidTr="008143B1">
        <w:trPr>
          <w:cantSplit/>
        </w:trPr>
        <w:tc>
          <w:tcPr>
            <w:tcW w:w="934" w:type="dxa"/>
            <w:vMerge/>
          </w:tcPr>
          <w:p w14:paraId="3E54FF65" w14:textId="77777777" w:rsidR="00790C35" w:rsidRPr="00FE6AC6" w:rsidRDefault="00790C35" w:rsidP="008143B1">
            <w:pPr>
              <w:keepNext/>
              <w:widowControl w:val="0"/>
              <w:spacing w:line="240" w:lineRule="auto"/>
              <w:rPr>
                <w:b/>
                <w:szCs w:val="22"/>
              </w:rPr>
            </w:pPr>
          </w:p>
        </w:tc>
        <w:tc>
          <w:tcPr>
            <w:tcW w:w="1232" w:type="dxa"/>
            <w:vMerge/>
            <w:tcBorders>
              <w:right w:val="single" w:sz="4" w:space="0" w:color="auto"/>
            </w:tcBorders>
          </w:tcPr>
          <w:p w14:paraId="3E54FF66" w14:textId="77777777" w:rsidR="00790C35" w:rsidRPr="00FE6AC6" w:rsidRDefault="00790C35" w:rsidP="008143B1">
            <w:pPr>
              <w:keepNext/>
              <w:widowControl w:val="0"/>
              <w:spacing w:line="240" w:lineRule="auto"/>
              <w:rPr>
                <w:b/>
                <w:szCs w:val="22"/>
              </w:rPr>
            </w:pPr>
          </w:p>
        </w:tc>
        <w:tc>
          <w:tcPr>
            <w:tcW w:w="1204" w:type="dxa"/>
            <w:vMerge/>
            <w:tcBorders>
              <w:left w:val="single" w:sz="4" w:space="0" w:color="auto"/>
              <w:right w:val="single" w:sz="4" w:space="0" w:color="auto"/>
            </w:tcBorders>
          </w:tcPr>
          <w:p w14:paraId="3E54FF67" w14:textId="77777777" w:rsidR="00790C35" w:rsidRPr="00FE6AC6" w:rsidRDefault="00790C35" w:rsidP="008143B1">
            <w:pPr>
              <w:keepNext/>
              <w:widowControl w:val="0"/>
              <w:spacing w:line="240" w:lineRule="auto"/>
              <w:jc w:val="center"/>
              <w:rPr>
                <w:b/>
                <w:szCs w:val="22"/>
              </w:rPr>
            </w:pPr>
          </w:p>
        </w:tc>
        <w:tc>
          <w:tcPr>
            <w:tcW w:w="1841" w:type="dxa"/>
            <w:tcBorders>
              <w:left w:val="single" w:sz="4" w:space="0" w:color="auto"/>
              <w:bottom w:val="single" w:sz="4" w:space="0" w:color="auto"/>
              <w:right w:val="single" w:sz="4" w:space="0" w:color="auto"/>
            </w:tcBorders>
          </w:tcPr>
          <w:p w14:paraId="3E54FF68" w14:textId="77777777" w:rsidR="00790C35" w:rsidRPr="00FE6AC6" w:rsidRDefault="00790C35" w:rsidP="008143B1">
            <w:pPr>
              <w:keepNext/>
              <w:widowControl w:val="0"/>
              <w:spacing w:line="240" w:lineRule="auto"/>
              <w:jc w:val="center"/>
              <w:rPr>
                <w:b/>
                <w:szCs w:val="22"/>
                <w:lang w:val="bg-BG"/>
              </w:rPr>
            </w:pPr>
            <w:r w:rsidRPr="00FE6AC6">
              <w:rPr>
                <w:b/>
                <w:szCs w:val="22"/>
              </w:rPr>
              <w:t xml:space="preserve">Glivec </w:t>
            </w:r>
            <w:r w:rsidRPr="00FE6AC6">
              <w:rPr>
                <w:b/>
                <w:szCs w:val="22"/>
                <w:lang w:val="bg-BG"/>
              </w:rPr>
              <w:t>спрямо плацебо</w:t>
            </w:r>
          </w:p>
        </w:tc>
        <w:tc>
          <w:tcPr>
            <w:tcW w:w="1560" w:type="dxa"/>
            <w:vMerge/>
            <w:tcBorders>
              <w:left w:val="single" w:sz="4" w:space="0" w:color="auto"/>
              <w:bottom w:val="single" w:sz="4" w:space="0" w:color="auto"/>
              <w:right w:val="single" w:sz="4" w:space="0" w:color="auto"/>
            </w:tcBorders>
          </w:tcPr>
          <w:p w14:paraId="3E54FF69" w14:textId="77777777" w:rsidR="00790C35" w:rsidRPr="00FE6AC6" w:rsidRDefault="00790C35" w:rsidP="008143B1">
            <w:pPr>
              <w:keepNext/>
              <w:widowControl w:val="0"/>
              <w:spacing w:line="240" w:lineRule="auto"/>
              <w:jc w:val="center"/>
              <w:rPr>
                <w:b/>
                <w:szCs w:val="22"/>
              </w:rPr>
            </w:pPr>
          </w:p>
        </w:tc>
        <w:tc>
          <w:tcPr>
            <w:tcW w:w="1275" w:type="dxa"/>
            <w:tcBorders>
              <w:left w:val="single" w:sz="4" w:space="0" w:color="auto"/>
              <w:bottom w:val="single" w:sz="4" w:space="0" w:color="auto"/>
              <w:right w:val="single" w:sz="4" w:space="0" w:color="auto"/>
            </w:tcBorders>
          </w:tcPr>
          <w:p w14:paraId="3E54FF6A" w14:textId="77777777" w:rsidR="00790C35" w:rsidRPr="00FE6AC6" w:rsidRDefault="00790C35" w:rsidP="008143B1">
            <w:pPr>
              <w:keepNext/>
              <w:widowControl w:val="0"/>
              <w:spacing w:line="240" w:lineRule="auto"/>
              <w:jc w:val="center"/>
              <w:rPr>
                <w:b/>
                <w:szCs w:val="22"/>
              </w:rPr>
            </w:pPr>
            <w:r w:rsidRPr="00FE6AC6">
              <w:rPr>
                <w:b/>
                <w:szCs w:val="22"/>
              </w:rPr>
              <w:t xml:space="preserve">Glivec </w:t>
            </w:r>
            <w:r w:rsidRPr="00FE6AC6">
              <w:rPr>
                <w:b/>
                <w:szCs w:val="22"/>
                <w:lang w:val="bg-BG"/>
              </w:rPr>
              <w:t>спрямо плацебо</w:t>
            </w:r>
          </w:p>
        </w:tc>
        <w:tc>
          <w:tcPr>
            <w:tcW w:w="1259" w:type="dxa"/>
            <w:tcBorders>
              <w:left w:val="single" w:sz="4" w:space="0" w:color="auto"/>
            </w:tcBorders>
          </w:tcPr>
          <w:p w14:paraId="3E54FF6B" w14:textId="77777777" w:rsidR="00790C35" w:rsidRPr="00FE6AC6" w:rsidRDefault="00790C35" w:rsidP="008143B1">
            <w:pPr>
              <w:keepNext/>
              <w:widowControl w:val="0"/>
              <w:spacing w:line="240" w:lineRule="auto"/>
              <w:jc w:val="center"/>
              <w:rPr>
                <w:b/>
                <w:szCs w:val="22"/>
              </w:rPr>
            </w:pPr>
            <w:r w:rsidRPr="00FE6AC6">
              <w:rPr>
                <w:b/>
                <w:szCs w:val="22"/>
              </w:rPr>
              <w:t xml:space="preserve">Glivec </w:t>
            </w:r>
            <w:r w:rsidRPr="00FE6AC6">
              <w:rPr>
                <w:b/>
                <w:szCs w:val="22"/>
                <w:lang w:val="bg-BG"/>
              </w:rPr>
              <w:t>спрямо плацебо</w:t>
            </w:r>
          </w:p>
        </w:tc>
      </w:tr>
      <w:tr w:rsidR="00790C35" w:rsidRPr="00FE6AC6" w14:paraId="3E54FF76" w14:textId="77777777" w:rsidTr="008143B1">
        <w:trPr>
          <w:cantSplit/>
        </w:trPr>
        <w:tc>
          <w:tcPr>
            <w:tcW w:w="934" w:type="dxa"/>
            <w:vMerge w:val="restart"/>
            <w:shd w:val="clear" w:color="auto" w:fill="auto"/>
          </w:tcPr>
          <w:p w14:paraId="3E54FF6D" w14:textId="77777777" w:rsidR="00790C35" w:rsidRPr="00FE6AC6" w:rsidRDefault="00790C35" w:rsidP="008143B1">
            <w:pPr>
              <w:pStyle w:val="Nottoc-headings"/>
              <w:keepLines w:val="0"/>
              <w:widowControl w:val="0"/>
              <w:spacing w:before="0" w:after="0"/>
              <w:ind w:left="0" w:firstLine="0"/>
              <w:rPr>
                <w:sz w:val="22"/>
                <w:szCs w:val="22"/>
              </w:rPr>
            </w:pPr>
            <w:r w:rsidRPr="00FE6AC6">
              <w:rPr>
                <w:rFonts w:ascii="Times New Roman" w:hAnsi="Times New Roman"/>
                <w:b w:val="0"/>
                <w:sz w:val="22"/>
                <w:szCs w:val="22"/>
              </w:rPr>
              <w:t>NIH</w:t>
            </w:r>
          </w:p>
        </w:tc>
        <w:tc>
          <w:tcPr>
            <w:tcW w:w="1232" w:type="dxa"/>
            <w:tcBorders>
              <w:bottom w:val="nil"/>
              <w:right w:val="single" w:sz="4" w:space="0" w:color="auto"/>
            </w:tcBorders>
            <w:vAlign w:val="bottom"/>
          </w:tcPr>
          <w:p w14:paraId="3E54FF6E" w14:textId="77777777" w:rsidR="00790C35" w:rsidRPr="00FE6AC6" w:rsidRDefault="00790C35" w:rsidP="008143B1">
            <w:pPr>
              <w:pStyle w:val="Nottoc-headings"/>
              <w:keepLines w:val="0"/>
              <w:widowControl w:val="0"/>
              <w:spacing w:before="0" w:after="0"/>
              <w:ind w:left="57" w:hanging="57"/>
              <w:rPr>
                <w:rFonts w:ascii="Times New Roman" w:hAnsi="Times New Roman"/>
                <w:b w:val="0"/>
                <w:sz w:val="22"/>
                <w:szCs w:val="22"/>
              </w:rPr>
            </w:pPr>
            <w:r w:rsidRPr="00FE6AC6">
              <w:rPr>
                <w:rFonts w:ascii="Times New Roman" w:hAnsi="Times New Roman"/>
                <w:b w:val="0"/>
                <w:sz w:val="22"/>
                <w:szCs w:val="22"/>
                <w:lang w:val="bg-BG"/>
              </w:rPr>
              <w:t>Ниск</w:t>
            </w:r>
            <w:r w:rsidR="00921F40" w:rsidRPr="00FE6AC6">
              <w:rPr>
                <w:rFonts w:ascii="Times New Roman" w:hAnsi="Times New Roman"/>
                <w:b w:val="0"/>
                <w:sz w:val="22"/>
                <w:szCs w:val="22"/>
                <w:lang w:val="bg-BG"/>
              </w:rPr>
              <w:t>а</w:t>
            </w:r>
          </w:p>
        </w:tc>
        <w:tc>
          <w:tcPr>
            <w:tcW w:w="1204" w:type="dxa"/>
            <w:tcBorders>
              <w:left w:val="single" w:sz="4" w:space="0" w:color="auto"/>
              <w:bottom w:val="nil"/>
              <w:right w:val="single" w:sz="4" w:space="0" w:color="auto"/>
            </w:tcBorders>
            <w:vAlign w:val="bottom"/>
          </w:tcPr>
          <w:p w14:paraId="3E54FF6F" w14:textId="77777777" w:rsidR="00790C35" w:rsidRPr="00FE6AC6" w:rsidRDefault="00790C35" w:rsidP="008143B1">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29</w:t>
            </w:r>
            <w:r w:rsidRPr="00FE6AC6">
              <w:rPr>
                <w:rFonts w:ascii="Times New Roman" w:hAnsi="Times New Roman"/>
                <w:b w:val="0"/>
                <w:sz w:val="22"/>
                <w:szCs w:val="22"/>
                <w:lang w:val="bg-BG"/>
              </w:rPr>
              <w:t>,</w:t>
            </w:r>
            <w:r w:rsidRPr="00FE6AC6">
              <w:rPr>
                <w:rFonts w:ascii="Times New Roman" w:hAnsi="Times New Roman"/>
                <w:b w:val="0"/>
                <w:sz w:val="22"/>
                <w:szCs w:val="22"/>
              </w:rPr>
              <w:t>5</w:t>
            </w:r>
          </w:p>
        </w:tc>
        <w:tc>
          <w:tcPr>
            <w:tcW w:w="1841" w:type="dxa"/>
            <w:tcBorders>
              <w:left w:val="single" w:sz="4" w:space="0" w:color="auto"/>
              <w:bottom w:val="nil"/>
              <w:right w:val="single" w:sz="4" w:space="0" w:color="auto"/>
            </w:tcBorders>
            <w:vAlign w:val="bottom"/>
          </w:tcPr>
          <w:p w14:paraId="3E54FF70" w14:textId="77777777" w:rsidR="00790C35" w:rsidRPr="00FE6AC6" w:rsidRDefault="00790C35" w:rsidP="008143B1">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0/86</w:t>
            </w:r>
          </w:p>
          <w:p w14:paraId="3E54FF71" w14:textId="77777777" w:rsidR="00790C35" w:rsidRPr="00FE6AC6" w:rsidRDefault="00790C35" w:rsidP="008143B1">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lang w:val="bg-BG"/>
              </w:rPr>
              <w:t>спрямо</w:t>
            </w:r>
          </w:p>
          <w:p w14:paraId="3E54FF72" w14:textId="77777777" w:rsidR="00790C35" w:rsidRPr="00FE6AC6" w:rsidRDefault="00790C35" w:rsidP="008143B1">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2/90</w:t>
            </w:r>
          </w:p>
        </w:tc>
        <w:tc>
          <w:tcPr>
            <w:tcW w:w="1560" w:type="dxa"/>
            <w:tcBorders>
              <w:left w:val="single" w:sz="4" w:space="0" w:color="auto"/>
              <w:bottom w:val="nil"/>
              <w:right w:val="single" w:sz="4" w:space="0" w:color="auto"/>
            </w:tcBorders>
            <w:vAlign w:val="bottom"/>
          </w:tcPr>
          <w:p w14:paraId="3E54FF73" w14:textId="77777777" w:rsidR="00790C35" w:rsidRPr="00FE6AC6" w:rsidRDefault="00790C35" w:rsidP="008143B1">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lang w:val="bg-BG"/>
              </w:rPr>
              <w:t>Не</w:t>
            </w:r>
            <w:r w:rsidR="00327EC0" w:rsidRPr="00FE6AC6">
              <w:rPr>
                <w:rFonts w:ascii="Times New Roman" w:hAnsi="Times New Roman"/>
                <w:b w:val="0"/>
                <w:sz w:val="22"/>
                <w:szCs w:val="22"/>
                <w:lang w:val="bg-BG"/>
              </w:rPr>
              <w:t>подлежащ на оценка</w:t>
            </w:r>
          </w:p>
        </w:tc>
        <w:tc>
          <w:tcPr>
            <w:tcW w:w="1275" w:type="dxa"/>
            <w:tcBorders>
              <w:left w:val="single" w:sz="4" w:space="0" w:color="auto"/>
              <w:bottom w:val="nil"/>
              <w:right w:val="single" w:sz="4" w:space="0" w:color="auto"/>
            </w:tcBorders>
            <w:vAlign w:val="bottom"/>
          </w:tcPr>
          <w:p w14:paraId="3E54FF74" w14:textId="77777777" w:rsidR="00790C35" w:rsidRPr="00FE6AC6" w:rsidRDefault="00790C35" w:rsidP="008143B1">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 xml:space="preserve">100 </w:t>
            </w:r>
            <w:r w:rsidRPr="00FE6AC6">
              <w:rPr>
                <w:rFonts w:ascii="Times New Roman" w:hAnsi="Times New Roman"/>
                <w:b w:val="0"/>
                <w:sz w:val="22"/>
                <w:szCs w:val="22"/>
                <w:lang w:val="bg-BG"/>
              </w:rPr>
              <w:t>спрямо</w:t>
            </w:r>
            <w:r w:rsidRPr="00FE6AC6">
              <w:rPr>
                <w:rFonts w:ascii="Times New Roman" w:hAnsi="Times New Roman"/>
                <w:b w:val="0"/>
                <w:sz w:val="22"/>
                <w:szCs w:val="22"/>
              </w:rPr>
              <w:t xml:space="preserve"> 98</w:t>
            </w:r>
            <w:r w:rsidRPr="00FE6AC6">
              <w:rPr>
                <w:rFonts w:ascii="Times New Roman" w:hAnsi="Times New Roman"/>
                <w:b w:val="0"/>
                <w:sz w:val="22"/>
                <w:szCs w:val="22"/>
                <w:lang w:val="bg-BG"/>
              </w:rPr>
              <w:t>,</w:t>
            </w:r>
            <w:r w:rsidRPr="00FE6AC6">
              <w:rPr>
                <w:rFonts w:ascii="Times New Roman" w:hAnsi="Times New Roman"/>
                <w:b w:val="0"/>
                <w:sz w:val="22"/>
                <w:szCs w:val="22"/>
              </w:rPr>
              <w:t>7</w:t>
            </w:r>
          </w:p>
        </w:tc>
        <w:tc>
          <w:tcPr>
            <w:tcW w:w="1259" w:type="dxa"/>
            <w:tcBorders>
              <w:left w:val="single" w:sz="4" w:space="0" w:color="auto"/>
              <w:bottom w:val="nil"/>
            </w:tcBorders>
            <w:vAlign w:val="bottom"/>
          </w:tcPr>
          <w:p w14:paraId="3E54FF75" w14:textId="77777777" w:rsidR="00790C35" w:rsidRPr="00FE6AC6" w:rsidRDefault="00790C35" w:rsidP="008143B1">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 xml:space="preserve">100 </w:t>
            </w:r>
            <w:r w:rsidRPr="00FE6AC6">
              <w:rPr>
                <w:rFonts w:ascii="Times New Roman" w:hAnsi="Times New Roman"/>
                <w:b w:val="0"/>
                <w:sz w:val="22"/>
                <w:szCs w:val="22"/>
                <w:lang w:val="bg-BG"/>
              </w:rPr>
              <w:t>спрямо</w:t>
            </w:r>
            <w:r w:rsidRPr="00FE6AC6">
              <w:rPr>
                <w:rFonts w:ascii="Times New Roman" w:hAnsi="Times New Roman"/>
                <w:b w:val="0"/>
                <w:sz w:val="22"/>
                <w:szCs w:val="22"/>
              </w:rPr>
              <w:t xml:space="preserve"> 95</w:t>
            </w:r>
            <w:r w:rsidRPr="00FE6AC6">
              <w:rPr>
                <w:rFonts w:ascii="Times New Roman" w:hAnsi="Times New Roman"/>
                <w:b w:val="0"/>
                <w:sz w:val="22"/>
                <w:szCs w:val="22"/>
                <w:lang w:val="bg-BG"/>
              </w:rPr>
              <w:t>,</w:t>
            </w:r>
            <w:r w:rsidRPr="00FE6AC6">
              <w:rPr>
                <w:rFonts w:ascii="Times New Roman" w:hAnsi="Times New Roman"/>
                <w:b w:val="0"/>
                <w:sz w:val="22"/>
                <w:szCs w:val="22"/>
              </w:rPr>
              <w:t>5</w:t>
            </w:r>
          </w:p>
        </w:tc>
      </w:tr>
      <w:tr w:rsidR="00790C35" w:rsidRPr="00FE6AC6" w14:paraId="3E54FF81" w14:textId="77777777" w:rsidTr="008143B1">
        <w:trPr>
          <w:cantSplit/>
        </w:trPr>
        <w:tc>
          <w:tcPr>
            <w:tcW w:w="934" w:type="dxa"/>
            <w:vMerge/>
            <w:shd w:val="clear" w:color="auto" w:fill="auto"/>
          </w:tcPr>
          <w:p w14:paraId="3E54FF77" w14:textId="77777777" w:rsidR="00790C35" w:rsidRPr="00FE6AC6" w:rsidRDefault="00790C35" w:rsidP="008143B1">
            <w:pPr>
              <w:pStyle w:val="Nottoc-headings"/>
              <w:keepLines w:val="0"/>
              <w:widowControl w:val="0"/>
              <w:spacing w:before="0" w:after="0"/>
              <w:rPr>
                <w:rFonts w:ascii="Times New Roman" w:hAnsi="Times New Roman"/>
                <w:b w:val="0"/>
                <w:sz w:val="22"/>
                <w:szCs w:val="22"/>
              </w:rPr>
            </w:pPr>
          </w:p>
        </w:tc>
        <w:tc>
          <w:tcPr>
            <w:tcW w:w="1232" w:type="dxa"/>
            <w:tcBorders>
              <w:top w:val="nil"/>
              <w:bottom w:val="nil"/>
              <w:right w:val="single" w:sz="4" w:space="0" w:color="auto"/>
            </w:tcBorders>
            <w:vAlign w:val="bottom"/>
          </w:tcPr>
          <w:p w14:paraId="3E54FF78" w14:textId="77777777" w:rsidR="00790C35" w:rsidRPr="00FE6AC6" w:rsidRDefault="00921F40" w:rsidP="008143B1">
            <w:pPr>
              <w:keepNext/>
              <w:widowControl w:val="0"/>
              <w:spacing w:line="240" w:lineRule="auto"/>
              <w:rPr>
                <w:szCs w:val="22"/>
                <w:lang w:val="bg-BG"/>
              </w:rPr>
            </w:pPr>
            <w:r w:rsidRPr="00FE6AC6">
              <w:rPr>
                <w:szCs w:val="22"/>
                <w:lang w:val="bg-BG"/>
              </w:rPr>
              <w:t>Средна</w:t>
            </w:r>
          </w:p>
        </w:tc>
        <w:tc>
          <w:tcPr>
            <w:tcW w:w="1204" w:type="dxa"/>
            <w:tcBorders>
              <w:top w:val="nil"/>
              <w:left w:val="single" w:sz="4" w:space="0" w:color="auto"/>
              <w:bottom w:val="nil"/>
              <w:right w:val="single" w:sz="4" w:space="0" w:color="auto"/>
            </w:tcBorders>
            <w:vAlign w:val="bottom"/>
          </w:tcPr>
          <w:p w14:paraId="3E54FF79" w14:textId="77777777" w:rsidR="00790C35" w:rsidRPr="00FE6AC6" w:rsidRDefault="00790C35" w:rsidP="008143B1">
            <w:pPr>
              <w:keepNext/>
              <w:widowControl w:val="0"/>
              <w:spacing w:line="240" w:lineRule="auto"/>
              <w:jc w:val="center"/>
              <w:rPr>
                <w:szCs w:val="22"/>
              </w:rPr>
            </w:pPr>
            <w:r w:rsidRPr="00FE6AC6">
              <w:rPr>
                <w:szCs w:val="22"/>
              </w:rPr>
              <w:t>25</w:t>
            </w:r>
            <w:r w:rsidRPr="00FE6AC6">
              <w:rPr>
                <w:szCs w:val="22"/>
                <w:lang w:val="bg-BG"/>
              </w:rPr>
              <w:t>,</w:t>
            </w:r>
            <w:r w:rsidRPr="00FE6AC6">
              <w:rPr>
                <w:szCs w:val="22"/>
              </w:rPr>
              <w:t>7</w:t>
            </w:r>
          </w:p>
        </w:tc>
        <w:tc>
          <w:tcPr>
            <w:tcW w:w="1841" w:type="dxa"/>
            <w:tcBorders>
              <w:top w:val="nil"/>
              <w:left w:val="single" w:sz="4" w:space="0" w:color="auto"/>
              <w:bottom w:val="nil"/>
              <w:right w:val="single" w:sz="4" w:space="0" w:color="auto"/>
            </w:tcBorders>
            <w:vAlign w:val="bottom"/>
          </w:tcPr>
          <w:p w14:paraId="3E54FF7A" w14:textId="77777777" w:rsidR="00790C35" w:rsidRPr="00FE6AC6" w:rsidRDefault="00790C35" w:rsidP="008143B1">
            <w:pPr>
              <w:keepNext/>
              <w:widowControl w:val="0"/>
              <w:spacing w:line="240" w:lineRule="auto"/>
              <w:jc w:val="center"/>
              <w:rPr>
                <w:szCs w:val="22"/>
              </w:rPr>
            </w:pPr>
            <w:r w:rsidRPr="00FE6AC6">
              <w:rPr>
                <w:szCs w:val="22"/>
              </w:rPr>
              <w:t>4/75</w:t>
            </w:r>
          </w:p>
          <w:p w14:paraId="3E54FF7B" w14:textId="77777777" w:rsidR="00790C35" w:rsidRPr="00FE6AC6" w:rsidRDefault="00790C35" w:rsidP="008143B1">
            <w:pPr>
              <w:keepNext/>
              <w:widowControl w:val="0"/>
              <w:spacing w:line="240" w:lineRule="auto"/>
              <w:jc w:val="center"/>
              <w:rPr>
                <w:szCs w:val="22"/>
                <w:lang w:val="en-US"/>
              </w:rPr>
            </w:pPr>
            <w:r w:rsidRPr="00FE6AC6">
              <w:rPr>
                <w:szCs w:val="22"/>
                <w:lang w:val="bg-BG"/>
              </w:rPr>
              <w:t>спрямо</w:t>
            </w:r>
          </w:p>
          <w:p w14:paraId="3E54FF7C" w14:textId="77777777" w:rsidR="00790C35" w:rsidRPr="00FE6AC6" w:rsidRDefault="00790C35" w:rsidP="008143B1">
            <w:pPr>
              <w:keepNext/>
              <w:widowControl w:val="0"/>
              <w:spacing w:line="240" w:lineRule="auto"/>
              <w:jc w:val="center"/>
              <w:rPr>
                <w:szCs w:val="22"/>
              </w:rPr>
            </w:pPr>
            <w:r w:rsidRPr="00FE6AC6">
              <w:rPr>
                <w:szCs w:val="22"/>
              </w:rPr>
              <w:t>6/78</w:t>
            </w:r>
          </w:p>
        </w:tc>
        <w:tc>
          <w:tcPr>
            <w:tcW w:w="1560" w:type="dxa"/>
            <w:tcBorders>
              <w:top w:val="nil"/>
              <w:left w:val="single" w:sz="4" w:space="0" w:color="auto"/>
              <w:bottom w:val="nil"/>
              <w:right w:val="single" w:sz="4" w:space="0" w:color="auto"/>
            </w:tcBorders>
            <w:vAlign w:val="bottom"/>
          </w:tcPr>
          <w:p w14:paraId="3E54FF7D" w14:textId="77777777" w:rsidR="00790C35" w:rsidRPr="00FE6AC6" w:rsidRDefault="00790C35" w:rsidP="008143B1">
            <w:pPr>
              <w:keepNext/>
              <w:widowControl w:val="0"/>
              <w:spacing w:line="240" w:lineRule="auto"/>
              <w:jc w:val="center"/>
              <w:rPr>
                <w:szCs w:val="22"/>
              </w:rPr>
            </w:pPr>
            <w:r w:rsidRPr="00FE6AC6">
              <w:rPr>
                <w:szCs w:val="22"/>
              </w:rPr>
              <w:t>0</w:t>
            </w:r>
            <w:r w:rsidRPr="00FE6AC6">
              <w:rPr>
                <w:szCs w:val="22"/>
                <w:lang w:val="bg-BG"/>
              </w:rPr>
              <w:t>,</w:t>
            </w:r>
            <w:r w:rsidRPr="00FE6AC6">
              <w:rPr>
                <w:szCs w:val="22"/>
              </w:rPr>
              <w:t>59</w:t>
            </w:r>
          </w:p>
          <w:p w14:paraId="3E54FF7E" w14:textId="77777777" w:rsidR="00790C35" w:rsidRPr="00FE6AC6" w:rsidRDefault="00790C35" w:rsidP="008143B1">
            <w:pPr>
              <w:keepNext/>
              <w:widowControl w:val="0"/>
              <w:spacing w:line="240" w:lineRule="auto"/>
              <w:jc w:val="center"/>
              <w:rPr>
                <w:szCs w:val="22"/>
              </w:rPr>
            </w:pPr>
            <w:r w:rsidRPr="00FE6AC6">
              <w:rPr>
                <w:szCs w:val="22"/>
              </w:rPr>
              <w:t>(0</w:t>
            </w:r>
            <w:r w:rsidRPr="00FE6AC6">
              <w:rPr>
                <w:szCs w:val="22"/>
                <w:lang w:val="bg-BG"/>
              </w:rPr>
              <w:t>,</w:t>
            </w:r>
            <w:r w:rsidRPr="00FE6AC6">
              <w:rPr>
                <w:szCs w:val="22"/>
              </w:rPr>
              <w:t>17; 2</w:t>
            </w:r>
            <w:r w:rsidRPr="00FE6AC6">
              <w:rPr>
                <w:szCs w:val="22"/>
                <w:lang w:val="bg-BG"/>
              </w:rPr>
              <w:t>,</w:t>
            </w:r>
            <w:r w:rsidRPr="00FE6AC6">
              <w:rPr>
                <w:szCs w:val="22"/>
              </w:rPr>
              <w:t>10)</w:t>
            </w:r>
          </w:p>
        </w:tc>
        <w:tc>
          <w:tcPr>
            <w:tcW w:w="1275" w:type="dxa"/>
            <w:tcBorders>
              <w:top w:val="nil"/>
              <w:left w:val="single" w:sz="4" w:space="0" w:color="auto"/>
              <w:bottom w:val="nil"/>
              <w:right w:val="single" w:sz="4" w:space="0" w:color="auto"/>
            </w:tcBorders>
            <w:vAlign w:val="bottom"/>
          </w:tcPr>
          <w:p w14:paraId="3E54FF7F" w14:textId="77777777" w:rsidR="00790C35" w:rsidRPr="00FE6AC6" w:rsidRDefault="00790C35" w:rsidP="008143B1">
            <w:pPr>
              <w:keepNext/>
              <w:widowControl w:val="0"/>
              <w:spacing w:line="240" w:lineRule="auto"/>
              <w:jc w:val="center"/>
              <w:rPr>
                <w:szCs w:val="22"/>
              </w:rPr>
            </w:pPr>
            <w:r w:rsidRPr="00FE6AC6">
              <w:rPr>
                <w:szCs w:val="22"/>
              </w:rPr>
              <w:t xml:space="preserve">100 </w:t>
            </w:r>
            <w:r w:rsidRPr="00FE6AC6">
              <w:rPr>
                <w:szCs w:val="22"/>
                <w:lang w:val="bg-BG"/>
              </w:rPr>
              <w:t>спрямо</w:t>
            </w:r>
            <w:r w:rsidRPr="00FE6AC6">
              <w:rPr>
                <w:szCs w:val="22"/>
              </w:rPr>
              <w:t xml:space="preserve"> 94</w:t>
            </w:r>
            <w:r w:rsidRPr="00FE6AC6">
              <w:rPr>
                <w:szCs w:val="22"/>
                <w:lang w:val="bg-BG"/>
              </w:rPr>
              <w:t>,</w:t>
            </w:r>
            <w:r w:rsidRPr="00FE6AC6">
              <w:rPr>
                <w:szCs w:val="22"/>
              </w:rPr>
              <w:t>8</w:t>
            </w:r>
          </w:p>
        </w:tc>
        <w:tc>
          <w:tcPr>
            <w:tcW w:w="1259" w:type="dxa"/>
            <w:tcBorders>
              <w:top w:val="nil"/>
              <w:left w:val="single" w:sz="4" w:space="0" w:color="auto"/>
              <w:bottom w:val="nil"/>
            </w:tcBorders>
            <w:vAlign w:val="bottom"/>
          </w:tcPr>
          <w:p w14:paraId="3E54FF80" w14:textId="77777777" w:rsidR="00790C35" w:rsidRPr="00FE6AC6" w:rsidRDefault="00790C35" w:rsidP="008143B1">
            <w:pPr>
              <w:keepNext/>
              <w:widowControl w:val="0"/>
              <w:spacing w:line="240" w:lineRule="auto"/>
              <w:jc w:val="center"/>
              <w:rPr>
                <w:szCs w:val="22"/>
              </w:rPr>
            </w:pPr>
            <w:r w:rsidRPr="00FE6AC6">
              <w:rPr>
                <w:szCs w:val="22"/>
              </w:rPr>
              <w:t>97</w:t>
            </w:r>
            <w:r w:rsidRPr="00FE6AC6">
              <w:rPr>
                <w:szCs w:val="22"/>
                <w:lang w:val="bg-BG"/>
              </w:rPr>
              <w:t>,</w:t>
            </w:r>
            <w:r w:rsidRPr="00FE6AC6">
              <w:rPr>
                <w:szCs w:val="22"/>
              </w:rPr>
              <w:t xml:space="preserve">8 </w:t>
            </w:r>
            <w:r w:rsidRPr="00FE6AC6">
              <w:rPr>
                <w:szCs w:val="22"/>
                <w:lang w:val="bg-BG"/>
              </w:rPr>
              <w:t>спрямо</w:t>
            </w:r>
            <w:r w:rsidRPr="00FE6AC6">
              <w:rPr>
                <w:szCs w:val="22"/>
              </w:rPr>
              <w:t xml:space="preserve"> 89</w:t>
            </w:r>
            <w:r w:rsidRPr="00FE6AC6">
              <w:rPr>
                <w:szCs w:val="22"/>
                <w:lang w:val="bg-BG"/>
              </w:rPr>
              <w:t>,</w:t>
            </w:r>
            <w:r w:rsidRPr="00FE6AC6">
              <w:rPr>
                <w:szCs w:val="22"/>
              </w:rPr>
              <w:t>5</w:t>
            </w:r>
          </w:p>
        </w:tc>
      </w:tr>
      <w:tr w:rsidR="00790C35" w:rsidRPr="00FE6AC6" w14:paraId="3E54FF8C" w14:textId="77777777" w:rsidTr="008143B1">
        <w:trPr>
          <w:cantSplit/>
        </w:trPr>
        <w:tc>
          <w:tcPr>
            <w:tcW w:w="934" w:type="dxa"/>
            <w:vMerge/>
            <w:shd w:val="clear" w:color="auto" w:fill="auto"/>
          </w:tcPr>
          <w:p w14:paraId="3E54FF82" w14:textId="77777777" w:rsidR="00790C35" w:rsidRPr="00FE6AC6" w:rsidRDefault="00790C35" w:rsidP="008143B1">
            <w:pPr>
              <w:keepNext/>
              <w:widowControl w:val="0"/>
              <w:spacing w:line="240" w:lineRule="auto"/>
              <w:rPr>
                <w:szCs w:val="22"/>
              </w:rPr>
            </w:pPr>
          </w:p>
        </w:tc>
        <w:tc>
          <w:tcPr>
            <w:tcW w:w="1232" w:type="dxa"/>
            <w:tcBorders>
              <w:top w:val="nil"/>
              <w:right w:val="single" w:sz="4" w:space="0" w:color="auto"/>
            </w:tcBorders>
            <w:vAlign w:val="bottom"/>
          </w:tcPr>
          <w:p w14:paraId="3E54FF83" w14:textId="77777777" w:rsidR="00790C35" w:rsidRPr="00FE6AC6" w:rsidRDefault="00790C35" w:rsidP="008143B1">
            <w:pPr>
              <w:keepNext/>
              <w:widowControl w:val="0"/>
              <w:spacing w:line="240" w:lineRule="auto"/>
              <w:rPr>
                <w:szCs w:val="22"/>
                <w:lang w:val="bg-BG"/>
              </w:rPr>
            </w:pPr>
            <w:r w:rsidRPr="00FE6AC6">
              <w:rPr>
                <w:szCs w:val="22"/>
                <w:lang w:val="bg-BG"/>
              </w:rPr>
              <w:t>Висок</w:t>
            </w:r>
            <w:r w:rsidR="00921F40" w:rsidRPr="00FE6AC6">
              <w:rPr>
                <w:szCs w:val="22"/>
                <w:lang w:val="bg-BG"/>
              </w:rPr>
              <w:t>а</w:t>
            </w:r>
          </w:p>
        </w:tc>
        <w:tc>
          <w:tcPr>
            <w:tcW w:w="1204" w:type="dxa"/>
            <w:tcBorders>
              <w:top w:val="nil"/>
              <w:left w:val="single" w:sz="4" w:space="0" w:color="auto"/>
              <w:right w:val="single" w:sz="4" w:space="0" w:color="auto"/>
            </w:tcBorders>
            <w:vAlign w:val="bottom"/>
          </w:tcPr>
          <w:p w14:paraId="3E54FF84" w14:textId="77777777" w:rsidR="00790C35" w:rsidRPr="00FE6AC6" w:rsidRDefault="00790C35" w:rsidP="008143B1">
            <w:pPr>
              <w:keepNext/>
              <w:widowControl w:val="0"/>
              <w:spacing w:line="240" w:lineRule="auto"/>
              <w:jc w:val="center"/>
              <w:rPr>
                <w:szCs w:val="22"/>
              </w:rPr>
            </w:pPr>
            <w:r w:rsidRPr="00FE6AC6">
              <w:rPr>
                <w:szCs w:val="22"/>
              </w:rPr>
              <w:t>44</w:t>
            </w:r>
            <w:r w:rsidRPr="00FE6AC6">
              <w:rPr>
                <w:szCs w:val="22"/>
                <w:lang w:val="bg-BG"/>
              </w:rPr>
              <w:t>,</w:t>
            </w:r>
            <w:r w:rsidRPr="00FE6AC6">
              <w:rPr>
                <w:szCs w:val="22"/>
              </w:rPr>
              <w:t>8</w:t>
            </w:r>
          </w:p>
        </w:tc>
        <w:tc>
          <w:tcPr>
            <w:tcW w:w="1841" w:type="dxa"/>
            <w:tcBorders>
              <w:top w:val="nil"/>
              <w:left w:val="single" w:sz="4" w:space="0" w:color="auto"/>
              <w:right w:val="single" w:sz="4" w:space="0" w:color="auto"/>
            </w:tcBorders>
            <w:vAlign w:val="bottom"/>
          </w:tcPr>
          <w:p w14:paraId="3E54FF85" w14:textId="77777777" w:rsidR="00790C35" w:rsidRPr="00FE6AC6" w:rsidRDefault="00790C35" w:rsidP="008143B1">
            <w:pPr>
              <w:keepNext/>
              <w:widowControl w:val="0"/>
              <w:spacing w:line="240" w:lineRule="auto"/>
              <w:jc w:val="center"/>
              <w:rPr>
                <w:szCs w:val="22"/>
              </w:rPr>
            </w:pPr>
            <w:r w:rsidRPr="00FE6AC6">
              <w:rPr>
                <w:szCs w:val="22"/>
              </w:rPr>
              <w:t>21/140</w:t>
            </w:r>
          </w:p>
          <w:p w14:paraId="3E54FF86" w14:textId="77777777" w:rsidR="00790C35" w:rsidRPr="00FE6AC6" w:rsidRDefault="00790C35" w:rsidP="008143B1">
            <w:pPr>
              <w:keepNext/>
              <w:widowControl w:val="0"/>
              <w:spacing w:line="240" w:lineRule="auto"/>
              <w:jc w:val="center"/>
              <w:rPr>
                <w:szCs w:val="22"/>
                <w:lang w:val="en-US"/>
              </w:rPr>
            </w:pPr>
            <w:r w:rsidRPr="00FE6AC6">
              <w:rPr>
                <w:szCs w:val="22"/>
                <w:lang w:val="bg-BG"/>
              </w:rPr>
              <w:t>спрямо</w:t>
            </w:r>
          </w:p>
          <w:p w14:paraId="3E54FF87" w14:textId="77777777" w:rsidR="00790C35" w:rsidRPr="00FE6AC6" w:rsidRDefault="00790C35" w:rsidP="008143B1">
            <w:pPr>
              <w:keepNext/>
              <w:widowControl w:val="0"/>
              <w:spacing w:line="240" w:lineRule="auto"/>
              <w:jc w:val="center"/>
              <w:rPr>
                <w:szCs w:val="22"/>
              </w:rPr>
            </w:pPr>
            <w:r w:rsidRPr="00FE6AC6">
              <w:rPr>
                <w:szCs w:val="22"/>
              </w:rPr>
              <w:t>51/127</w:t>
            </w:r>
          </w:p>
        </w:tc>
        <w:tc>
          <w:tcPr>
            <w:tcW w:w="1560" w:type="dxa"/>
            <w:tcBorders>
              <w:top w:val="nil"/>
              <w:left w:val="single" w:sz="4" w:space="0" w:color="auto"/>
              <w:right w:val="single" w:sz="4" w:space="0" w:color="auto"/>
            </w:tcBorders>
            <w:vAlign w:val="bottom"/>
          </w:tcPr>
          <w:p w14:paraId="3E54FF88" w14:textId="77777777" w:rsidR="00790C35" w:rsidRPr="00FE6AC6" w:rsidRDefault="00790C35" w:rsidP="008143B1">
            <w:pPr>
              <w:keepNext/>
              <w:widowControl w:val="0"/>
              <w:spacing w:line="240" w:lineRule="auto"/>
              <w:jc w:val="center"/>
              <w:rPr>
                <w:szCs w:val="22"/>
              </w:rPr>
            </w:pPr>
            <w:r w:rsidRPr="00FE6AC6">
              <w:rPr>
                <w:szCs w:val="22"/>
              </w:rPr>
              <w:t>0</w:t>
            </w:r>
            <w:r w:rsidRPr="00FE6AC6">
              <w:rPr>
                <w:szCs w:val="22"/>
                <w:lang w:val="bg-BG"/>
              </w:rPr>
              <w:t>,</w:t>
            </w:r>
            <w:r w:rsidRPr="00FE6AC6">
              <w:rPr>
                <w:szCs w:val="22"/>
              </w:rPr>
              <w:t>29</w:t>
            </w:r>
          </w:p>
          <w:p w14:paraId="3E54FF89" w14:textId="77777777" w:rsidR="00790C35" w:rsidRPr="00FE6AC6" w:rsidRDefault="00790C35" w:rsidP="008143B1">
            <w:pPr>
              <w:keepNext/>
              <w:widowControl w:val="0"/>
              <w:spacing w:line="240" w:lineRule="auto"/>
              <w:jc w:val="center"/>
              <w:rPr>
                <w:szCs w:val="22"/>
              </w:rPr>
            </w:pPr>
            <w:r w:rsidRPr="00FE6AC6">
              <w:rPr>
                <w:szCs w:val="22"/>
              </w:rPr>
              <w:t>(0</w:t>
            </w:r>
            <w:r w:rsidRPr="00FE6AC6">
              <w:rPr>
                <w:szCs w:val="22"/>
                <w:lang w:val="bg-BG"/>
              </w:rPr>
              <w:t>,</w:t>
            </w:r>
            <w:r w:rsidRPr="00FE6AC6">
              <w:rPr>
                <w:szCs w:val="22"/>
              </w:rPr>
              <w:t>18; 0</w:t>
            </w:r>
            <w:r w:rsidRPr="00FE6AC6">
              <w:rPr>
                <w:szCs w:val="22"/>
                <w:lang w:val="bg-BG"/>
              </w:rPr>
              <w:t>,</w:t>
            </w:r>
            <w:r w:rsidRPr="00FE6AC6">
              <w:rPr>
                <w:szCs w:val="22"/>
              </w:rPr>
              <w:t>49)</w:t>
            </w:r>
          </w:p>
        </w:tc>
        <w:tc>
          <w:tcPr>
            <w:tcW w:w="1275" w:type="dxa"/>
            <w:tcBorders>
              <w:top w:val="nil"/>
              <w:left w:val="single" w:sz="4" w:space="0" w:color="auto"/>
              <w:right w:val="single" w:sz="4" w:space="0" w:color="auto"/>
            </w:tcBorders>
            <w:vAlign w:val="bottom"/>
          </w:tcPr>
          <w:p w14:paraId="3E54FF8A" w14:textId="77777777" w:rsidR="00790C35" w:rsidRPr="00FE6AC6" w:rsidRDefault="00790C35" w:rsidP="008143B1">
            <w:pPr>
              <w:keepNext/>
              <w:widowControl w:val="0"/>
              <w:spacing w:line="240" w:lineRule="auto"/>
              <w:jc w:val="center"/>
              <w:rPr>
                <w:szCs w:val="22"/>
              </w:rPr>
            </w:pPr>
            <w:r w:rsidRPr="00FE6AC6">
              <w:rPr>
                <w:szCs w:val="22"/>
              </w:rPr>
              <w:t>94</w:t>
            </w:r>
            <w:r w:rsidRPr="00FE6AC6">
              <w:rPr>
                <w:szCs w:val="22"/>
                <w:lang w:val="bg-BG"/>
              </w:rPr>
              <w:t>,</w:t>
            </w:r>
            <w:r w:rsidRPr="00FE6AC6">
              <w:rPr>
                <w:szCs w:val="22"/>
              </w:rPr>
              <w:t xml:space="preserve">8 </w:t>
            </w:r>
            <w:r w:rsidRPr="00FE6AC6">
              <w:rPr>
                <w:szCs w:val="22"/>
                <w:lang w:val="bg-BG"/>
              </w:rPr>
              <w:t>спрямо</w:t>
            </w:r>
            <w:r w:rsidRPr="00FE6AC6">
              <w:rPr>
                <w:szCs w:val="22"/>
              </w:rPr>
              <w:t xml:space="preserve"> 64</w:t>
            </w:r>
            <w:r w:rsidRPr="00FE6AC6">
              <w:rPr>
                <w:szCs w:val="22"/>
                <w:lang w:val="bg-BG"/>
              </w:rPr>
              <w:t>,</w:t>
            </w:r>
            <w:r w:rsidRPr="00FE6AC6">
              <w:rPr>
                <w:szCs w:val="22"/>
              </w:rPr>
              <w:t>0</w:t>
            </w:r>
          </w:p>
        </w:tc>
        <w:tc>
          <w:tcPr>
            <w:tcW w:w="1259" w:type="dxa"/>
            <w:tcBorders>
              <w:top w:val="nil"/>
              <w:left w:val="single" w:sz="4" w:space="0" w:color="auto"/>
            </w:tcBorders>
            <w:vAlign w:val="bottom"/>
          </w:tcPr>
          <w:p w14:paraId="3E54FF8B" w14:textId="77777777" w:rsidR="00790C35" w:rsidRPr="00FE6AC6" w:rsidRDefault="00790C35" w:rsidP="008143B1">
            <w:pPr>
              <w:keepNext/>
              <w:widowControl w:val="0"/>
              <w:spacing w:line="240" w:lineRule="auto"/>
              <w:jc w:val="center"/>
              <w:rPr>
                <w:szCs w:val="22"/>
              </w:rPr>
            </w:pPr>
            <w:r w:rsidRPr="00FE6AC6">
              <w:rPr>
                <w:szCs w:val="22"/>
              </w:rPr>
              <w:t>80</w:t>
            </w:r>
            <w:r w:rsidRPr="00FE6AC6">
              <w:rPr>
                <w:szCs w:val="22"/>
                <w:lang w:val="bg-BG"/>
              </w:rPr>
              <w:t>,</w:t>
            </w:r>
            <w:r w:rsidRPr="00FE6AC6">
              <w:rPr>
                <w:szCs w:val="22"/>
              </w:rPr>
              <w:t xml:space="preserve">7 </w:t>
            </w:r>
            <w:r w:rsidRPr="00FE6AC6">
              <w:rPr>
                <w:szCs w:val="22"/>
                <w:lang w:val="bg-BG"/>
              </w:rPr>
              <w:t>спрямо</w:t>
            </w:r>
            <w:r w:rsidRPr="00FE6AC6">
              <w:rPr>
                <w:szCs w:val="22"/>
              </w:rPr>
              <w:t xml:space="preserve"> 46</w:t>
            </w:r>
            <w:r w:rsidRPr="00FE6AC6">
              <w:rPr>
                <w:szCs w:val="22"/>
                <w:lang w:val="bg-BG"/>
              </w:rPr>
              <w:t>,</w:t>
            </w:r>
            <w:r w:rsidRPr="00FE6AC6">
              <w:rPr>
                <w:szCs w:val="22"/>
              </w:rPr>
              <w:t>6</w:t>
            </w:r>
          </w:p>
        </w:tc>
      </w:tr>
      <w:tr w:rsidR="00790C35" w:rsidRPr="00FE6AC6" w14:paraId="3E54FF96" w14:textId="77777777" w:rsidTr="008143B1">
        <w:trPr>
          <w:cantSplit/>
        </w:trPr>
        <w:tc>
          <w:tcPr>
            <w:tcW w:w="934" w:type="dxa"/>
            <w:vMerge w:val="restart"/>
            <w:shd w:val="clear" w:color="auto" w:fill="auto"/>
          </w:tcPr>
          <w:p w14:paraId="3E54FF8D" w14:textId="77777777" w:rsidR="00790C35" w:rsidRPr="00FE6AC6" w:rsidRDefault="00790C35" w:rsidP="008143B1">
            <w:pPr>
              <w:keepNext/>
              <w:widowControl w:val="0"/>
              <w:spacing w:line="240" w:lineRule="auto"/>
              <w:rPr>
                <w:szCs w:val="22"/>
              </w:rPr>
            </w:pPr>
            <w:r w:rsidRPr="00FE6AC6">
              <w:rPr>
                <w:szCs w:val="22"/>
              </w:rPr>
              <w:t>AFIP</w:t>
            </w:r>
          </w:p>
        </w:tc>
        <w:tc>
          <w:tcPr>
            <w:tcW w:w="1232" w:type="dxa"/>
            <w:tcBorders>
              <w:bottom w:val="nil"/>
              <w:right w:val="single" w:sz="4" w:space="0" w:color="auto"/>
            </w:tcBorders>
            <w:vAlign w:val="bottom"/>
          </w:tcPr>
          <w:p w14:paraId="3E54FF8E" w14:textId="77777777" w:rsidR="00790C35" w:rsidRPr="00FE6AC6" w:rsidRDefault="00790C35" w:rsidP="008143B1">
            <w:pPr>
              <w:keepNext/>
              <w:widowControl w:val="0"/>
              <w:spacing w:line="240" w:lineRule="auto"/>
              <w:rPr>
                <w:szCs w:val="22"/>
              </w:rPr>
            </w:pPr>
            <w:r w:rsidRPr="00FE6AC6">
              <w:rPr>
                <w:szCs w:val="22"/>
                <w:lang w:val="bg-BG"/>
              </w:rPr>
              <w:t>Много ниск</w:t>
            </w:r>
            <w:r w:rsidR="00921F40" w:rsidRPr="00FE6AC6">
              <w:rPr>
                <w:szCs w:val="22"/>
                <w:lang w:val="bg-BG"/>
              </w:rPr>
              <w:t>а</w:t>
            </w:r>
          </w:p>
        </w:tc>
        <w:tc>
          <w:tcPr>
            <w:tcW w:w="1204" w:type="dxa"/>
            <w:tcBorders>
              <w:left w:val="single" w:sz="4" w:space="0" w:color="auto"/>
              <w:bottom w:val="nil"/>
              <w:right w:val="single" w:sz="4" w:space="0" w:color="auto"/>
            </w:tcBorders>
            <w:vAlign w:val="bottom"/>
          </w:tcPr>
          <w:p w14:paraId="3E54FF8F" w14:textId="77777777" w:rsidR="00790C35" w:rsidRPr="00FE6AC6" w:rsidRDefault="00790C35" w:rsidP="008143B1">
            <w:pPr>
              <w:keepNext/>
              <w:widowControl w:val="0"/>
              <w:spacing w:line="240" w:lineRule="auto"/>
              <w:jc w:val="center"/>
              <w:rPr>
                <w:szCs w:val="22"/>
              </w:rPr>
            </w:pPr>
            <w:r w:rsidRPr="00FE6AC6">
              <w:rPr>
                <w:szCs w:val="22"/>
              </w:rPr>
              <w:t>20</w:t>
            </w:r>
            <w:r w:rsidRPr="00FE6AC6">
              <w:rPr>
                <w:szCs w:val="22"/>
                <w:lang w:val="bg-BG"/>
              </w:rPr>
              <w:t>,</w:t>
            </w:r>
            <w:r w:rsidRPr="00FE6AC6">
              <w:rPr>
                <w:szCs w:val="22"/>
              </w:rPr>
              <w:t>7</w:t>
            </w:r>
          </w:p>
        </w:tc>
        <w:tc>
          <w:tcPr>
            <w:tcW w:w="1841" w:type="dxa"/>
            <w:tcBorders>
              <w:left w:val="single" w:sz="4" w:space="0" w:color="auto"/>
              <w:bottom w:val="nil"/>
              <w:right w:val="single" w:sz="4" w:space="0" w:color="auto"/>
            </w:tcBorders>
            <w:vAlign w:val="bottom"/>
          </w:tcPr>
          <w:p w14:paraId="3E54FF90" w14:textId="77777777" w:rsidR="00790C35" w:rsidRPr="00FE6AC6" w:rsidRDefault="00790C35" w:rsidP="008143B1">
            <w:pPr>
              <w:keepNext/>
              <w:widowControl w:val="0"/>
              <w:spacing w:line="240" w:lineRule="auto"/>
              <w:jc w:val="center"/>
              <w:rPr>
                <w:szCs w:val="22"/>
              </w:rPr>
            </w:pPr>
            <w:r w:rsidRPr="00FE6AC6">
              <w:rPr>
                <w:szCs w:val="22"/>
              </w:rPr>
              <w:t>0/52</w:t>
            </w:r>
          </w:p>
          <w:p w14:paraId="3E54FF91" w14:textId="77777777" w:rsidR="00790C35" w:rsidRPr="00FE6AC6" w:rsidRDefault="00790C35" w:rsidP="008143B1">
            <w:pPr>
              <w:keepNext/>
              <w:widowControl w:val="0"/>
              <w:spacing w:line="240" w:lineRule="auto"/>
              <w:jc w:val="center"/>
              <w:rPr>
                <w:szCs w:val="22"/>
                <w:lang w:val="en-US"/>
              </w:rPr>
            </w:pPr>
            <w:r w:rsidRPr="00FE6AC6">
              <w:rPr>
                <w:szCs w:val="22"/>
                <w:lang w:val="bg-BG"/>
              </w:rPr>
              <w:t>спрямо</w:t>
            </w:r>
          </w:p>
          <w:p w14:paraId="3E54FF92" w14:textId="77777777" w:rsidR="00790C35" w:rsidRPr="00FE6AC6" w:rsidRDefault="00790C35" w:rsidP="008143B1">
            <w:pPr>
              <w:keepNext/>
              <w:widowControl w:val="0"/>
              <w:spacing w:line="240" w:lineRule="auto"/>
              <w:jc w:val="center"/>
              <w:rPr>
                <w:szCs w:val="22"/>
              </w:rPr>
            </w:pPr>
            <w:r w:rsidRPr="00FE6AC6">
              <w:rPr>
                <w:szCs w:val="22"/>
              </w:rPr>
              <w:t>2/63</w:t>
            </w:r>
          </w:p>
        </w:tc>
        <w:tc>
          <w:tcPr>
            <w:tcW w:w="1560" w:type="dxa"/>
            <w:tcBorders>
              <w:left w:val="single" w:sz="4" w:space="0" w:color="auto"/>
              <w:bottom w:val="nil"/>
              <w:right w:val="single" w:sz="4" w:space="0" w:color="auto"/>
            </w:tcBorders>
            <w:vAlign w:val="bottom"/>
          </w:tcPr>
          <w:p w14:paraId="3E54FF93" w14:textId="77777777" w:rsidR="00790C35" w:rsidRPr="00FE6AC6" w:rsidRDefault="00327EC0" w:rsidP="008143B1">
            <w:pPr>
              <w:keepNext/>
              <w:widowControl w:val="0"/>
              <w:spacing w:line="240" w:lineRule="auto"/>
              <w:jc w:val="center"/>
              <w:rPr>
                <w:szCs w:val="22"/>
                <w:lang w:val="bg-BG"/>
              </w:rPr>
            </w:pPr>
            <w:r w:rsidRPr="00FE6AC6">
              <w:rPr>
                <w:szCs w:val="22"/>
                <w:lang w:val="bg-BG"/>
              </w:rPr>
              <w:t>Неподлежащ на оценка</w:t>
            </w:r>
          </w:p>
        </w:tc>
        <w:tc>
          <w:tcPr>
            <w:tcW w:w="1275" w:type="dxa"/>
            <w:tcBorders>
              <w:left w:val="single" w:sz="4" w:space="0" w:color="auto"/>
              <w:bottom w:val="nil"/>
              <w:right w:val="single" w:sz="4" w:space="0" w:color="auto"/>
            </w:tcBorders>
            <w:vAlign w:val="bottom"/>
          </w:tcPr>
          <w:p w14:paraId="3E54FF94" w14:textId="77777777" w:rsidR="00790C35" w:rsidRPr="00FE6AC6" w:rsidRDefault="00790C35" w:rsidP="008143B1">
            <w:pPr>
              <w:keepNext/>
              <w:widowControl w:val="0"/>
              <w:spacing w:line="240" w:lineRule="auto"/>
              <w:jc w:val="center"/>
              <w:rPr>
                <w:szCs w:val="22"/>
              </w:rPr>
            </w:pPr>
            <w:r w:rsidRPr="00FE6AC6">
              <w:rPr>
                <w:szCs w:val="22"/>
              </w:rPr>
              <w:t xml:space="preserve">100 </w:t>
            </w:r>
            <w:r w:rsidRPr="00FE6AC6">
              <w:rPr>
                <w:szCs w:val="22"/>
                <w:lang w:val="bg-BG"/>
              </w:rPr>
              <w:t>спрямо</w:t>
            </w:r>
            <w:r w:rsidRPr="00FE6AC6">
              <w:rPr>
                <w:szCs w:val="22"/>
              </w:rPr>
              <w:t xml:space="preserve"> 98</w:t>
            </w:r>
            <w:r w:rsidRPr="00FE6AC6">
              <w:rPr>
                <w:szCs w:val="22"/>
                <w:lang w:val="bg-BG"/>
              </w:rPr>
              <w:t>,</w:t>
            </w:r>
            <w:r w:rsidRPr="00FE6AC6">
              <w:rPr>
                <w:szCs w:val="22"/>
              </w:rPr>
              <w:t>1</w:t>
            </w:r>
          </w:p>
        </w:tc>
        <w:tc>
          <w:tcPr>
            <w:tcW w:w="1259" w:type="dxa"/>
            <w:tcBorders>
              <w:left w:val="single" w:sz="4" w:space="0" w:color="auto"/>
              <w:bottom w:val="nil"/>
            </w:tcBorders>
            <w:vAlign w:val="bottom"/>
          </w:tcPr>
          <w:p w14:paraId="3E54FF95" w14:textId="77777777" w:rsidR="00790C35" w:rsidRPr="00FE6AC6" w:rsidRDefault="00790C35" w:rsidP="008143B1">
            <w:pPr>
              <w:keepNext/>
              <w:widowControl w:val="0"/>
              <w:spacing w:line="240" w:lineRule="auto"/>
              <w:jc w:val="center"/>
              <w:rPr>
                <w:szCs w:val="22"/>
              </w:rPr>
            </w:pPr>
            <w:r w:rsidRPr="00FE6AC6">
              <w:rPr>
                <w:szCs w:val="22"/>
              </w:rPr>
              <w:t xml:space="preserve">100 </w:t>
            </w:r>
            <w:r w:rsidRPr="00FE6AC6">
              <w:rPr>
                <w:szCs w:val="22"/>
                <w:lang w:val="bg-BG"/>
              </w:rPr>
              <w:t>спрямо</w:t>
            </w:r>
            <w:r w:rsidRPr="00FE6AC6">
              <w:rPr>
                <w:szCs w:val="22"/>
              </w:rPr>
              <w:t xml:space="preserve"> 93</w:t>
            </w:r>
            <w:r w:rsidRPr="00FE6AC6">
              <w:rPr>
                <w:szCs w:val="22"/>
                <w:lang w:val="bg-BG"/>
              </w:rPr>
              <w:t>,</w:t>
            </w:r>
            <w:r w:rsidRPr="00FE6AC6">
              <w:rPr>
                <w:szCs w:val="22"/>
              </w:rPr>
              <w:t>0</w:t>
            </w:r>
          </w:p>
        </w:tc>
      </w:tr>
      <w:tr w:rsidR="00790C35" w:rsidRPr="00FE6AC6" w14:paraId="3E54FFA0" w14:textId="77777777" w:rsidTr="008143B1">
        <w:trPr>
          <w:cantSplit/>
        </w:trPr>
        <w:tc>
          <w:tcPr>
            <w:tcW w:w="934" w:type="dxa"/>
            <w:vMerge/>
            <w:shd w:val="clear" w:color="auto" w:fill="auto"/>
          </w:tcPr>
          <w:p w14:paraId="3E54FF97" w14:textId="77777777" w:rsidR="00790C35" w:rsidRPr="00FE6AC6" w:rsidRDefault="00790C35" w:rsidP="008143B1">
            <w:pPr>
              <w:keepNext/>
              <w:widowControl w:val="0"/>
              <w:spacing w:line="240" w:lineRule="auto"/>
              <w:rPr>
                <w:szCs w:val="22"/>
              </w:rPr>
            </w:pPr>
          </w:p>
        </w:tc>
        <w:tc>
          <w:tcPr>
            <w:tcW w:w="1232" w:type="dxa"/>
            <w:tcBorders>
              <w:top w:val="nil"/>
              <w:bottom w:val="nil"/>
              <w:right w:val="single" w:sz="4" w:space="0" w:color="auto"/>
            </w:tcBorders>
            <w:vAlign w:val="bottom"/>
          </w:tcPr>
          <w:p w14:paraId="3E54FF98" w14:textId="77777777" w:rsidR="00790C35" w:rsidRPr="00FE6AC6" w:rsidRDefault="00790C35" w:rsidP="008143B1">
            <w:pPr>
              <w:keepNext/>
              <w:widowControl w:val="0"/>
              <w:spacing w:line="240" w:lineRule="auto"/>
              <w:rPr>
                <w:szCs w:val="22"/>
                <w:lang w:val="bg-BG"/>
              </w:rPr>
            </w:pPr>
            <w:r w:rsidRPr="00FE6AC6">
              <w:rPr>
                <w:szCs w:val="22"/>
                <w:lang w:val="bg-BG"/>
              </w:rPr>
              <w:t>Ниск</w:t>
            </w:r>
            <w:r w:rsidR="00921F40" w:rsidRPr="00FE6AC6">
              <w:rPr>
                <w:szCs w:val="22"/>
                <w:lang w:val="bg-BG"/>
              </w:rPr>
              <w:t>а</w:t>
            </w:r>
          </w:p>
        </w:tc>
        <w:tc>
          <w:tcPr>
            <w:tcW w:w="1204" w:type="dxa"/>
            <w:tcBorders>
              <w:top w:val="nil"/>
              <w:left w:val="single" w:sz="4" w:space="0" w:color="auto"/>
              <w:bottom w:val="nil"/>
              <w:right w:val="single" w:sz="4" w:space="0" w:color="auto"/>
            </w:tcBorders>
            <w:vAlign w:val="bottom"/>
          </w:tcPr>
          <w:p w14:paraId="3E54FF99" w14:textId="77777777" w:rsidR="00790C35" w:rsidRPr="00FE6AC6" w:rsidRDefault="00790C35" w:rsidP="008143B1">
            <w:pPr>
              <w:keepNext/>
              <w:widowControl w:val="0"/>
              <w:spacing w:line="240" w:lineRule="auto"/>
              <w:jc w:val="center"/>
              <w:rPr>
                <w:szCs w:val="22"/>
              </w:rPr>
            </w:pPr>
            <w:r w:rsidRPr="00FE6AC6">
              <w:rPr>
                <w:szCs w:val="22"/>
              </w:rPr>
              <w:t>25</w:t>
            </w:r>
            <w:r w:rsidRPr="00FE6AC6">
              <w:rPr>
                <w:szCs w:val="22"/>
                <w:lang w:val="bg-BG"/>
              </w:rPr>
              <w:t>,</w:t>
            </w:r>
            <w:r w:rsidRPr="00FE6AC6">
              <w:rPr>
                <w:szCs w:val="22"/>
              </w:rPr>
              <w:t>0</w:t>
            </w:r>
          </w:p>
        </w:tc>
        <w:tc>
          <w:tcPr>
            <w:tcW w:w="1841" w:type="dxa"/>
            <w:tcBorders>
              <w:top w:val="nil"/>
              <w:left w:val="single" w:sz="4" w:space="0" w:color="auto"/>
              <w:bottom w:val="nil"/>
              <w:right w:val="single" w:sz="4" w:space="0" w:color="auto"/>
            </w:tcBorders>
            <w:vAlign w:val="bottom"/>
          </w:tcPr>
          <w:p w14:paraId="3E54FF9A" w14:textId="77777777" w:rsidR="00790C35" w:rsidRPr="00FE6AC6" w:rsidRDefault="00790C35" w:rsidP="008143B1">
            <w:pPr>
              <w:keepNext/>
              <w:widowControl w:val="0"/>
              <w:spacing w:line="240" w:lineRule="auto"/>
              <w:jc w:val="center"/>
              <w:rPr>
                <w:szCs w:val="22"/>
              </w:rPr>
            </w:pPr>
            <w:r w:rsidRPr="00FE6AC6">
              <w:rPr>
                <w:szCs w:val="22"/>
              </w:rPr>
              <w:t>2/70</w:t>
            </w:r>
          </w:p>
          <w:p w14:paraId="3E54FF9B" w14:textId="77777777" w:rsidR="00790C35" w:rsidRPr="00FE6AC6" w:rsidRDefault="00790C35" w:rsidP="008143B1">
            <w:pPr>
              <w:keepNext/>
              <w:widowControl w:val="0"/>
              <w:spacing w:line="240" w:lineRule="auto"/>
              <w:jc w:val="center"/>
              <w:rPr>
                <w:szCs w:val="22"/>
                <w:lang w:val="en-US"/>
              </w:rPr>
            </w:pPr>
            <w:r w:rsidRPr="00FE6AC6">
              <w:rPr>
                <w:szCs w:val="22"/>
                <w:lang w:val="bg-BG"/>
              </w:rPr>
              <w:t>спрямо</w:t>
            </w:r>
          </w:p>
          <w:p w14:paraId="3E54FF9C" w14:textId="77777777" w:rsidR="00790C35" w:rsidRPr="00FE6AC6" w:rsidRDefault="00790C35" w:rsidP="008143B1">
            <w:pPr>
              <w:keepNext/>
              <w:widowControl w:val="0"/>
              <w:spacing w:line="240" w:lineRule="auto"/>
              <w:jc w:val="center"/>
              <w:rPr>
                <w:szCs w:val="22"/>
              </w:rPr>
            </w:pPr>
            <w:r w:rsidRPr="00FE6AC6">
              <w:rPr>
                <w:szCs w:val="22"/>
              </w:rPr>
              <w:t>0/69</w:t>
            </w:r>
          </w:p>
        </w:tc>
        <w:tc>
          <w:tcPr>
            <w:tcW w:w="1560" w:type="dxa"/>
            <w:tcBorders>
              <w:top w:val="nil"/>
              <w:left w:val="single" w:sz="4" w:space="0" w:color="auto"/>
              <w:bottom w:val="nil"/>
              <w:right w:val="single" w:sz="4" w:space="0" w:color="auto"/>
            </w:tcBorders>
            <w:vAlign w:val="bottom"/>
          </w:tcPr>
          <w:p w14:paraId="3E54FF9D" w14:textId="77777777" w:rsidR="00790C35" w:rsidRPr="00FE6AC6" w:rsidRDefault="00327EC0" w:rsidP="008143B1">
            <w:pPr>
              <w:keepNext/>
              <w:widowControl w:val="0"/>
              <w:spacing w:line="240" w:lineRule="auto"/>
              <w:jc w:val="center"/>
              <w:rPr>
                <w:szCs w:val="22"/>
                <w:lang w:val="bg-BG"/>
              </w:rPr>
            </w:pPr>
            <w:r w:rsidRPr="00FE6AC6">
              <w:rPr>
                <w:szCs w:val="22"/>
                <w:lang w:val="bg-BG"/>
              </w:rPr>
              <w:t>Неподлежащ на оценка</w:t>
            </w:r>
          </w:p>
        </w:tc>
        <w:tc>
          <w:tcPr>
            <w:tcW w:w="1275" w:type="dxa"/>
            <w:tcBorders>
              <w:top w:val="nil"/>
              <w:left w:val="single" w:sz="4" w:space="0" w:color="auto"/>
              <w:bottom w:val="nil"/>
              <w:right w:val="single" w:sz="4" w:space="0" w:color="auto"/>
            </w:tcBorders>
            <w:vAlign w:val="bottom"/>
          </w:tcPr>
          <w:p w14:paraId="3E54FF9E" w14:textId="77777777" w:rsidR="00790C35" w:rsidRPr="00FE6AC6" w:rsidRDefault="00790C35" w:rsidP="008143B1">
            <w:pPr>
              <w:keepNext/>
              <w:widowControl w:val="0"/>
              <w:spacing w:line="240" w:lineRule="auto"/>
              <w:jc w:val="center"/>
              <w:rPr>
                <w:szCs w:val="22"/>
              </w:rPr>
            </w:pPr>
            <w:r w:rsidRPr="00FE6AC6">
              <w:rPr>
                <w:szCs w:val="22"/>
              </w:rPr>
              <w:t xml:space="preserve">100 </w:t>
            </w:r>
            <w:r w:rsidRPr="00FE6AC6">
              <w:rPr>
                <w:szCs w:val="22"/>
                <w:lang w:val="bg-BG"/>
              </w:rPr>
              <w:t>спрямо</w:t>
            </w:r>
            <w:r w:rsidRPr="00FE6AC6">
              <w:rPr>
                <w:szCs w:val="22"/>
              </w:rPr>
              <w:t xml:space="preserve"> 100</w:t>
            </w:r>
          </w:p>
        </w:tc>
        <w:tc>
          <w:tcPr>
            <w:tcW w:w="1259" w:type="dxa"/>
            <w:tcBorders>
              <w:top w:val="nil"/>
              <w:left w:val="single" w:sz="4" w:space="0" w:color="auto"/>
              <w:bottom w:val="nil"/>
            </w:tcBorders>
            <w:vAlign w:val="bottom"/>
          </w:tcPr>
          <w:p w14:paraId="3E54FF9F" w14:textId="77777777" w:rsidR="00790C35" w:rsidRPr="00FE6AC6" w:rsidRDefault="00790C35" w:rsidP="008143B1">
            <w:pPr>
              <w:keepNext/>
              <w:widowControl w:val="0"/>
              <w:spacing w:line="240" w:lineRule="auto"/>
              <w:jc w:val="center"/>
              <w:rPr>
                <w:szCs w:val="22"/>
              </w:rPr>
            </w:pPr>
            <w:r w:rsidRPr="00FE6AC6">
              <w:rPr>
                <w:szCs w:val="22"/>
              </w:rPr>
              <w:t>97</w:t>
            </w:r>
            <w:r w:rsidRPr="00FE6AC6">
              <w:rPr>
                <w:szCs w:val="22"/>
                <w:lang w:val="bg-BG"/>
              </w:rPr>
              <w:t>,</w:t>
            </w:r>
            <w:r w:rsidRPr="00FE6AC6">
              <w:rPr>
                <w:szCs w:val="22"/>
              </w:rPr>
              <w:t xml:space="preserve">8 </w:t>
            </w:r>
            <w:r w:rsidRPr="00FE6AC6">
              <w:rPr>
                <w:szCs w:val="22"/>
                <w:lang w:val="bg-BG"/>
              </w:rPr>
              <w:t>спрямо</w:t>
            </w:r>
            <w:r w:rsidRPr="00FE6AC6">
              <w:rPr>
                <w:szCs w:val="22"/>
              </w:rPr>
              <w:t xml:space="preserve"> 100</w:t>
            </w:r>
          </w:p>
        </w:tc>
      </w:tr>
      <w:tr w:rsidR="00790C35" w:rsidRPr="00FE6AC6" w14:paraId="3E54FFAB" w14:textId="77777777" w:rsidTr="008143B1">
        <w:trPr>
          <w:cantSplit/>
        </w:trPr>
        <w:tc>
          <w:tcPr>
            <w:tcW w:w="934" w:type="dxa"/>
            <w:vMerge/>
            <w:shd w:val="clear" w:color="auto" w:fill="auto"/>
          </w:tcPr>
          <w:p w14:paraId="3E54FFA1" w14:textId="77777777" w:rsidR="00790C35" w:rsidRPr="00FE6AC6" w:rsidRDefault="00790C35" w:rsidP="008143B1">
            <w:pPr>
              <w:keepNext/>
              <w:widowControl w:val="0"/>
              <w:spacing w:line="240" w:lineRule="auto"/>
              <w:rPr>
                <w:b/>
                <w:szCs w:val="22"/>
              </w:rPr>
            </w:pPr>
          </w:p>
        </w:tc>
        <w:tc>
          <w:tcPr>
            <w:tcW w:w="1232" w:type="dxa"/>
            <w:tcBorders>
              <w:top w:val="nil"/>
              <w:bottom w:val="nil"/>
              <w:right w:val="single" w:sz="4" w:space="0" w:color="auto"/>
            </w:tcBorders>
            <w:vAlign w:val="bottom"/>
          </w:tcPr>
          <w:p w14:paraId="3E54FFA2" w14:textId="77777777" w:rsidR="00790C35" w:rsidRPr="00FE6AC6" w:rsidRDefault="00790C35" w:rsidP="008143B1">
            <w:pPr>
              <w:keepNext/>
              <w:widowControl w:val="0"/>
              <w:spacing w:line="240" w:lineRule="auto"/>
              <w:rPr>
                <w:szCs w:val="22"/>
                <w:lang w:val="bg-BG"/>
              </w:rPr>
            </w:pPr>
            <w:r w:rsidRPr="00FE6AC6">
              <w:rPr>
                <w:szCs w:val="22"/>
                <w:lang w:val="bg-BG"/>
              </w:rPr>
              <w:t>Умерен</w:t>
            </w:r>
            <w:r w:rsidR="00921F40" w:rsidRPr="00FE6AC6">
              <w:rPr>
                <w:szCs w:val="22"/>
                <w:lang w:val="bg-BG"/>
              </w:rPr>
              <w:t>а</w:t>
            </w:r>
          </w:p>
        </w:tc>
        <w:tc>
          <w:tcPr>
            <w:tcW w:w="1204" w:type="dxa"/>
            <w:tcBorders>
              <w:top w:val="nil"/>
              <w:left w:val="single" w:sz="4" w:space="0" w:color="auto"/>
              <w:bottom w:val="nil"/>
              <w:right w:val="single" w:sz="4" w:space="0" w:color="auto"/>
            </w:tcBorders>
            <w:vAlign w:val="bottom"/>
          </w:tcPr>
          <w:p w14:paraId="3E54FFA3" w14:textId="77777777" w:rsidR="00790C35" w:rsidRPr="00FE6AC6" w:rsidRDefault="00790C35" w:rsidP="008143B1">
            <w:pPr>
              <w:keepNext/>
              <w:widowControl w:val="0"/>
              <w:spacing w:line="240" w:lineRule="auto"/>
              <w:jc w:val="center"/>
              <w:rPr>
                <w:szCs w:val="22"/>
              </w:rPr>
            </w:pPr>
            <w:r w:rsidRPr="00FE6AC6">
              <w:rPr>
                <w:szCs w:val="22"/>
              </w:rPr>
              <w:t>24</w:t>
            </w:r>
            <w:r w:rsidRPr="00FE6AC6">
              <w:rPr>
                <w:szCs w:val="22"/>
                <w:lang w:val="bg-BG"/>
              </w:rPr>
              <w:t>,</w:t>
            </w:r>
            <w:r w:rsidRPr="00FE6AC6">
              <w:rPr>
                <w:szCs w:val="22"/>
              </w:rPr>
              <w:t>6</w:t>
            </w:r>
          </w:p>
        </w:tc>
        <w:tc>
          <w:tcPr>
            <w:tcW w:w="1841" w:type="dxa"/>
            <w:tcBorders>
              <w:top w:val="nil"/>
              <w:left w:val="single" w:sz="4" w:space="0" w:color="auto"/>
              <w:bottom w:val="nil"/>
              <w:right w:val="single" w:sz="4" w:space="0" w:color="auto"/>
            </w:tcBorders>
            <w:vAlign w:val="bottom"/>
          </w:tcPr>
          <w:p w14:paraId="3E54FFA4" w14:textId="77777777" w:rsidR="00790C35" w:rsidRPr="00FE6AC6" w:rsidRDefault="00790C35" w:rsidP="008143B1">
            <w:pPr>
              <w:keepNext/>
              <w:widowControl w:val="0"/>
              <w:spacing w:line="240" w:lineRule="auto"/>
              <w:jc w:val="center"/>
              <w:rPr>
                <w:szCs w:val="22"/>
              </w:rPr>
            </w:pPr>
            <w:r w:rsidRPr="00FE6AC6">
              <w:rPr>
                <w:szCs w:val="22"/>
              </w:rPr>
              <w:t>2/70</w:t>
            </w:r>
          </w:p>
          <w:p w14:paraId="3E54FFA5" w14:textId="77777777" w:rsidR="00790C35" w:rsidRPr="00FE6AC6" w:rsidRDefault="00790C35" w:rsidP="008143B1">
            <w:pPr>
              <w:keepNext/>
              <w:widowControl w:val="0"/>
              <w:spacing w:line="240" w:lineRule="auto"/>
              <w:jc w:val="center"/>
              <w:rPr>
                <w:szCs w:val="22"/>
                <w:lang w:val="en-US"/>
              </w:rPr>
            </w:pPr>
            <w:r w:rsidRPr="00FE6AC6">
              <w:rPr>
                <w:szCs w:val="22"/>
                <w:lang w:val="bg-BG"/>
              </w:rPr>
              <w:t>спрямо</w:t>
            </w:r>
          </w:p>
          <w:p w14:paraId="3E54FFA6" w14:textId="77777777" w:rsidR="00790C35" w:rsidRPr="00FE6AC6" w:rsidRDefault="00790C35" w:rsidP="008143B1">
            <w:pPr>
              <w:keepNext/>
              <w:widowControl w:val="0"/>
              <w:spacing w:line="240" w:lineRule="auto"/>
              <w:jc w:val="center"/>
              <w:rPr>
                <w:szCs w:val="22"/>
              </w:rPr>
            </w:pPr>
            <w:r w:rsidRPr="00FE6AC6">
              <w:rPr>
                <w:szCs w:val="22"/>
              </w:rPr>
              <w:t>11/67</w:t>
            </w:r>
          </w:p>
        </w:tc>
        <w:tc>
          <w:tcPr>
            <w:tcW w:w="1560" w:type="dxa"/>
            <w:tcBorders>
              <w:top w:val="nil"/>
              <w:left w:val="single" w:sz="4" w:space="0" w:color="auto"/>
              <w:bottom w:val="nil"/>
              <w:right w:val="single" w:sz="4" w:space="0" w:color="auto"/>
            </w:tcBorders>
            <w:vAlign w:val="bottom"/>
          </w:tcPr>
          <w:p w14:paraId="3E54FFA7" w14:textId="77777777" w:rsidR="00790C35" w:rsidRPr="00FE6AC6" w:rsidRDefault="00790C35" w:rsidP="008143B1">
            <w:pPr>
              <w:keepNext/>
              <w:widowControl w:val="0"/>
              <w:spacing w:line="240" w:lineRule="auto"/>
              <w:jc w:val="center"/>
              <w:rPr>
                <w:szCs w:val="22"/>
              </w:rPr>
            </w:pPr>
            <w:r w:rsidRPr="00FE6AC6">
              <w:rPr>
                <w:szCs w:val="22"/>
              </w:rPr>
              <w:t>0</w:t>
            </w:r>
            <w:r w:rsidRPr="00FE6AC6">
              <w:rPr>
                <w:szCs w:val="22"/>
                <w:lang w:val="bg-BG"/>
              </w:rPr>
              <w:t>,</w:t>
            </w:r>
            <w:r w:rsidRPr="00FE6AC6">
              <w:rPr>
                <w:szCs w:val="22"/>
              </w:rPr>
              <w:t>16</w:t>
            </w:r>
          </w:p>
          <w:p w14:paraId="3E54FFA8" w14:textId="77777777" w:rsidR="00790C35" w:rsidRPr="00FE6AC6" w:rsidRDefault="00790C35" w:rsidP="008143B1">
            <w:pPr>
              <w:keepNext/>
              <w:widowControl w:val="0"/>
              <w:spacing w:line="240" w:lineRule="auto"/>
              <w:jc w:val="center"/>
              <w:rPr>
                <w:szCs w:val="22"/>
              </w:rPr>
            </w:pPr>
            <w:r w:rsidRPr="00FE6AC6">
              <w:rPr>
                <w:szCs w:val="22"/>
              </w:rPr>
              <w:t>(0</w:t>
            </w:r>
            <w:r w:rsidRPr="00FE6AC6">
              <w:rPr>
                <w:szCs w:val="22"/>
                <w:lang w:val="bg-BG"/>
              </w:rPr>
              <w:t>,</w:t>
            </w:r>
            <w:r w:rsidRPr="00FE6AC6">
              <w:rPr>
                <w:szCs w:val="22"/>
              </w:rPr>
              <w:t>03; 0</w:t>
            </w:r>
            <w:r w:rsidRPr="00FE6AC6">
              <w:rPr>
                <w:szCs w:val="22"/>
                <w:lang w:val="bg-BG"/>
              </w:rPr>
              <w:t>,</w:t>
            </w:r>
            <w:r w:rsidRPr="00FE6AC6">
              <w:rPr>
                <w:szCs w:val="22"/>
              </w:rPr>
              <w:t>70)</w:t>
            </w:r>
          </w:p>
        </w:tc>
        <w:tc>
          <w:tcPr>
            <w:tcW w:w="1275" w:type="dxa"/>
            <w:tcBorders>
              <w:top w:val="nil"/>
              <w:left w:val="single" w:sz="4" w:space="0" w:color="auto"/>
              <w:bottom w:val="nil"/>
              <w:right w:val="single" w:sz="4" w:space="0" w:color="auto"/>
            </w:tcBorders>
            <w:vAlign w:val="bottom"/>
          </w:tcPr>
          <w:p w14:paraId="3E54FFA9" w14:textId="77777777" w:rsidR="00790C35" w:rsidRPr="00FE6AC6" w:rsidRDefault="00790C35" w:rsidP="008143B1">
            <w:pPr>
              <w:keepNext/>
              <w:widowControl w:val="0"/>
              <w:spacing w:line="240" w:lineRule="auto"/>
              <w:jc w:val="center"/>
              <w:rPr>
                <w:szCs w:val="22"/>
              </w:rPr>
            </w:pPr>
            <w:r w:rsidRPr="00FE6AC6">
              <w:rPr>
                <w:szCs w:val="22"/>
              </w:rPr>
              <w:t>97</w:t>
            </w:r>
            <w:r w:rsidRPr="00FE6AC6">
              <w:rPr>
                <w:szCs w:val="22"/>
                <w:lang w:val="bg-BG"/>
              </w:rPr>
              <w:t>,</w:t>
            </w:r>
            <w:r w:rsidRPr="00FE6AC6">
              <w:rPr>
                <w:szCs w:val="22"/>
              </w:rPr>
              <w:t xml:space="preserve">9 </w:t>
            </w:r>
            <w:r w:rsidRPr="00FE6AC6">
              <w:rPr>
                <w:szCs w:val="22"/>
                <w:lang w:val="bg-BG"/>
              </w:rPr>
              <w:t>спрямо</w:t>
            </w:r>
            <w:r w:rsidRPr="00FE6AC6">
              <w:rPr>
                <w:szCs w:val="22"/>
              </w:rPr>
              <w:t xml:space="preserve"> 90</w:t>
            </w:r>
            <w:r w:rsidRPr="00FE6AC6">
              <w:rPr>
                <w:szCs w:val="22"/>
                <w:lang w:val="bg-BG"/>
              </w:rPr>
              <w:t>,</w:t>
            </w:r>
            <w:r w:rsidRPr="00FE6AC6">
              <w:rPr>
                <w:szCs w:val="22"/>
              </w:rPr>
              <w:t>8</w:t>
            </w:r>
          </w:p>
        </w:tc>
        <w:tc>
          <w:tcPr>
            <w:tcW w:w="1259" w:type="dxa"/>
            <w:tcBorders>
              <w:top w:val="nil"/>
              <w:left w:val="single" w:sz="4" w:space="0" w:color="auto"/>
              <w:bottom w:val="nil"/>
            </w:tcBorders>
            <w:vAlign w:val="bottom"/>
          </w:tcPr>
          <w:p w14:paraId="3E54FFAA" w14:textId="77777777" w:rsidR="00790C35" w:rsidRPr="00FE6AC6" w:rsidRDefault="00790C35" w:rsidP="008143B1">
            <w:pPr>
              <w:keepNext/>
              <w:widowControl w:val="0"/>
              <w:spacing w:line="240" w:lineRule="auto"/>
              <w:jc w:val="center"/>
              <w:rPr>
                <w:szCs w:val="22"/>
              </w:rPr>
            </w:pPr>
            <w:r w:rsidRPr="00FE6AC6">
              <w:rPr>
                <w:szCs w:val="22"/>
              </w:rPr>
              <w:t>97</w:t>
            </w:r>
            <w:r w:rsidRPr="00FE6AC6">
              <w:rPr>
                <w:szCs w:val="22"/>
                <w:lang w:val="bg-BG"/>
              </w:rPr>
              <w:t>,</w:t>
            </w:r>
            <w:r w:rsidRPr="00FE6AC6">
              <w:rPr>
                <w:szCs w:val="22"/>
              </w:rPr>
              <w:t xml:space="preserve">9 </w:t>
            </w:r>
            <w:r w:rsidRPr="00FE6AC6">
              <w:rPr>
                <w:szCs w:val="22"/>
                <w:lang w:val="bg-BG"/>
              </w:rPr>
              <w:t>спрямо</w:t>
            </w:r>
            <w:r w:rsidRPr="00FE6AC6">
              <w:rPr>
                <w:szCs w:val="22"/>
              </w:rPr>
              <w:t xml:space="preserve"> 73</w:t>
            </w:r>
            <w:r w:rsidRPr="00FE6AC6">
              <w:rPr>
                <w:szCs w:val="22"/>
                <w:lang w:val="bg-BG"/>
              </w:rPr>
              <w:t>,</w:t>
            </w:r>
            <w:r w:rsidRPr="00FE6AC6">
              <w:rPr>
                <w:szCs w:val="22"/>
              </w:rPr>
              <w:t>3</w:t>
            </w:r>
          </w:p>
        </w:tc>
      </w:tr>
      <w:tr w:rsidR="00790C35" w:rsidRPr="00FE6AC6" w14:paraId="3E54FFB6" w14:textId="77777777" w:rsidTr="008143B1">
        <w:trPr>
          <w:cantSplit/>
        </w:trPr>
        <w:tc>
          <w:tcPr>
            <w:tcW w:w="934" w:type="dxa"/>
            <w:vMerge/>
            <w:tcBorders>
              <w:bottom w:val="single" w:sz="4" w:space="0" w:color="auto"/>
            </w:tcBorders>
            <w:shd w:val="clear" w:color="auto" w:fill="auto"/>
          </w:tcPr>
          <w:p w14:paraId="3E54FFAC" w14:textId="77777777" w:rsidR="00790C35" w:rsidRPr="00FE6AC6" w:rsidRDefault="00790C35" w:rsidP="008143B1">
            <w:pPr>
              <w:keepNext/>
              <w:widowControl w:val="0"/>
              <w:spacing w:line="240" w:lineRule="auto"/>
              <w:rPr>
                <w:szCs w:val="22"/>
              </w:rPr>
            </w:pPr>
          </w:p>
        </w:tc>
        <w:tc>
          <w:tcPr>
            <w:tcW w:w="1232" w:type="dxa"/>
            <w:tcBorders>
              <w:top w:val="nil"/>
              <w:bottom w:val="single" w:sz="4" w:space="0" w:color="auto"/>
              <w:right w:val="single" w:sz="4" w:space="0" w:color="auto"/>
            </w:tcBorders>
            <w:vAlign w:val="bottom"/>
          </w:tcPr>
          <w:p w14:paraId="3E54FFAD" w14:textId="77777777" w:rsidR="00790C35" w:rsidRPr="00FE6AC6" w:rsidRDefault="00790C35" w:rsidP="008143B1">
            <w:pPr>
              <w:keepNext/>
              <w:widowControl w:val="0"/>
              <w:spacing w:line="240" w:lineRule="auto"/>
              <w:rPr>
                <w:szCs w:val="22"/>
                <w:lang w:val="bg-BG"/>
              </w:rPr>
            </w:pPr>
            <w:r w:rsidRPr="00FE6AC6">
              <w:rPr>
                <w:szCs w:val="22"/>
                <w:lang w:val="bg-BG"/>
              </w:rPr>
              <w:t>Висок</w:t>
            </w:r>
            <w:r w:rsidR="00921F40" w:rsidRPr="00FE6AC6">
              <w:rPr>
                <w:szCs w:val="22"/>
                <w:lang w:val="bg-BG"/>
              </w:rPr>
              <w:t>а</w:t>
            </w:r>
          </w:p>
        </w:tc>
        <w:tc>
          <w:tcPr>
            <w:tcW w:w="1204" w:type="dxa"/>
            <w:tcBorders>
              <w:top w:val="nil"/>
              <w:left w:val="single" w:sz="4" w:space="0" w:color="auto"/>
              <w:bottom w:val="single" w:sz="4" w:space="0" w:color="auto"/>
              <w:right w:val="single" w:sz="4" w:space="0" w:color="auto"/>
            </w:tcBorders>
            <w:vAlign w:val="bottom"/>
          </w:tcPr>
          <w:p w14:paraId="3E54FFAE" w14:textId="77777777" w:rsidR="00790C35" w:rsidRPr="00FE6AC6" w:rsidRDefault="00790C35" w:rsidP="008143B1">
            <w:pPr>
              <w:keepNext/>
              <w:widowControl w:val="0"/>
              <w:spacing w:line="240" w:lineRule="auto"/>
              <w:ind w:right="-3"/>
              <w:jc w:val="center"/>
              <w:rPr>
                <w:szCs w:val="22"/>
              </w:rPr>
            </w:pPr>
            <w:r w:rsidRPr="00FE6AC6">
              <w:rPr>
                <w:szCs w:val="22"/>
              </w:rPr>
              <w:t>29</w:t>
            </w:r>
            <w:r w:rsidRPr="00FE6AC6">
              <w:rPr>
                <w:szCs w:val="22"/>
                <w:lang w:val="bg-BG"/>
              </w:rPr>
              <w:t>,</w:t>
            </w:r>
            <w:r w:rsidRPr="00FE6AC6">
              <w:rPr>
                <w:szCs w:val="22"/>
              </w:rPr>
              <w:t>7</w:t>
            </w:r>
          </w:p>
        </w:tc>
        <w:tc>
          <w:tcPr>
            <w:tcW w:w="1841" w:type="dxa"/>
            <w:tcBorders>
              <w:top w:val="nil"/>
              <w:left w:val="single" w:sz="4" w:space="0" w:color="auto"/>
              <w:bottom w:val="single" w:sz="4" w:space="0" w:color="auto"/>
              <w:right w:val="single" w:sz="4" w:space="0" w:color="auto"/>
            </w:tcBorders>
            <w:vAlign w:val="bottom"/>
          </w:tcPr>
          <w:p w14:paraId="3E54FFAF" w14:textId="77777777" w:rsidR="00790C35" w:rsidRPr="00FE6AC6" w:rsidRDefault="00790C35" w:rsidP="008143B1">
            <w:pPr>
              <w:keepNext/>
              <w:widowControl w:val="0"/>
              <w:spacing w:line="240" w:lineRule="auto"/>
              <w:jc w:val="center"/>
              <w:rPr>
                <w:szCs w:val="22"/>
              </w:rPr>
            </w:pPr>
            <w:r w:rsidRPr="00FE6AC6">
              <w:rPr>
                <w:szCs w:val="22"/>
              </w:rPr>
              <w:t>16/84</w:t>
            </w:r>
          </w:p>
          <w:p w14:paraId="3E54FFB0" w14:textId="77777777" w:rsidR="00790C35" w:rsidRPr="00FE6AC6" w:rsidRDefault="00790C35" w:rsidP="008143B1">
            <w:pPr>
              <w:keepNext/>
              <w:widowControl w:val="0"/>
              <w:spacing w:line="240" w:lineRule="auto"/>
              <w:jc w:val="center"/>
              <w:rPr>
                <w:szCs w:val="22"/>
                <w:lang w:val="en-US"/>
              </w:rPr>
            </w:pPr>
            <w:r w:rsidRPr="00FE6AC6">
              <w:rPr>
                <w:szCs w:val="22"/>
                <w:lang w:val="bg-BG"/>
              </w:rPr>
              <w:t>спрямо</w:t>
            </w:r>
          </w:p>
          <w:p w14:paraId="3E54FFB1" w14:textId="77777777" w:rsidR="00790C35" w:rsidRPr="00FE6AC6" w:rsidRDefault="00790C35" w:rsidP="008143B1">
            <w:pPr>
              <w:keepNext/>
              <w:widowControl w:val="0"/>
              <w:spacing w:line="240" w:lineRule="auto"/>
              <w:jc w:val="center"/>
              <w:rPr>
                <w:szCs w:val="22"/>
              </w:rPr>
            </w:pPr>
            <w:r w:rsidRPr="00FE6AC6">
              <w:rPr>
                <w:szCs w:val="22"/>
              </w:rPr>
              <w:t>39/81</w:t>
            </w:r>
          </w:p>
        </w:tc>
        <w:tc>
          <w:tcPr>
            <w:tcW w:w="1560" w:type="dxa"/>
            <w:tcBorders>
              <w:top w:val="nil"/>
              <w:left w:val="single" w:sz="4" w:space="0" w:color="auto"/>
              <w:bottom w:val="single" w:sz="4" w:space="0" w:color="auto"/>
              <w:right w:val="single" w:sz="4" w:space="0" w:color="auto"/>
            </w:tcBorders>
            <w:vAlign w:val="bottom"/>
          </w:tcPr>
          <w:p w14:paraId="3E54FFB2" w14:textId="77777777" w:rsidR="00790C35" w:rsidRPr="00FE6AC6" w:rsidRDefault="00790C35" w:rsidP="008143B1">
            <w:pPr>
              <w:keepNext/>
              <w:widowControl w:val="0"/>
              <w:spacing w:line="240" w:lineRule="auto"/>
              <w:jc w:val="center"/>
              <w:rPr>
                <w:szCs w:val="22"/>
              </w:rPr>
            </w:pPr>
            <w:r w:rsidRPr="00FE6AC6">
              <w:rPr>
                <w:szCs w:val="22"/>
              </w:rPr>
              <w:t>0</w:t>
            </w:r>
            <w:r w:rsidRPr="00FE6AC6">
              <w:rPr>
                <w:szCs w:val="22"/>
                <w:lang w:val="bg-BG"/>
              </w:rPr>
              <w:t>,</w:t>
            </w:r>
            <w:r w:rsidRPr="00FE6AC6">
              <w:rPr>
                <w:szCs w:val="22"/>
              </w:rPr>
              <w:t>27</w:t>
            </w:r>
          </w:p>
          <w:p w14:paraId="3E54FFB3" w14:textId="77777777" w:rsidR="00790C35" w:rsidRPr="00FE6AC6" w:rsidRDefault="00790C35" w:rsidP="008143B1">
            <w:pPr>
              <w:keepNext/>
              <w:widowControl w:val="0"/>
              <w:spacing w:line="240" w:lineRule="auto"/>
              <w:jc w:val="center"/>
              <w:rPr>
                <w:szCs w:val="22"/>
              </w:rPr>
            </w:pPr>
            <w:r w:rsidRPr="00FE6AC6">
              <w:rPr>
                <w:szCs w:val="22"/>
              </w:rPr>
              <w:t>(0</w:t>
            </w:r>
            <w:r w:rsidRPr="00FE6AC6">
              <w:rPr>
                <w:szCs w:val="22"/>
                <w:lang w:val="bg-BG"/>
              </w:rPr>
              <w:t>,</w:t>
            </w:r>
            <w:r w:rsidRPr="00FE6AC6">
              <w:rPr>
                <w:szCs w:val="22"/>
              </w:rPr>
              <w:t>15; 0</w:t>
            </w:r>
            <w:r w:rsidRPr="00FE6AC6">
              <w:rPr>
                <w:szCs w:val="22"/>
                <w:lang w:val="bg-BG"/>
              </w:rPr>
              <w:t>,</w:t>
            </w:r>
            <w:r w:rsidRPr="00FE6AC6">
              <w:rPr>
                <w:szCs w:val="22"/>
              </w:rPr>
              <w:t>48)</w:t>
            </w:r>
          </w:p>
        </w:tc>
        <w:tc>
          <w:tcPr>
            <w:tcW w:w="1275" w:type="dxa"/>
            <w:tcBorders>
              <w:top w:val="nil"/>
              <w:left w:val="single" w:sz="4" w:space="0" w:color="auto"/>
              <w:bottom w:val="single" w:sz="4" w:space="0" w:color="auto"/>
              <w:right w:val="single" w:sz="4" w:space="0" w:color="auto"/>
            </w:tcBorders>
            <w:vAlign w:val="bottom"/>
          </w:tcPr>
          <w:p w14:paraId="3E54FFB4" w14:textId="77777777" w:rsidR="00790C35" w:rsidRPr="00FE6AC6" w:rsidRDefault="00790C35" w:rsidP="008143B1">
            <w:pPr>
              <w:keepNext/>
              <w:widowControl w:val="0"/>
              <w:spacing w:line="240" w:lineRule="auto"/>
              <w:jc w:val="center"/>
              <w:rPr>
                <w:szCs w:val="22"/>
              </w:rPr>
            </w:pPr>
            <w:r w:rsidRPr="00FE6AC6">
              <w:rPr>
                <w:szCs w:val="22"/>
              </w:rPr>
              <w:t>98</w:t>
            </w:r>
            <w:r w:rsidRPr="00FE6AC6">
              <w:rPr>
                <w:szCs w:val="22"/>
                <w:lang w:val="bg-BG"/>
              </w:rPr>
              <w:t>,</w:t>
            </w:r>
            <w:r w:rsidRPr="00FE6AC6">
              <w:rPr>
                <w:szCs w:val="22"/>
              </w:rPr>
              <w:t xml:space="preserve">7 </w:t>
            </w:r>
            <w:r w:rsidRPr="00FE6AC6">
              <w:rPr>
                <w:szCs w:val="22"/>
                <w:lang w:val="bg-BG"/>
              </w:rPr>
              <w:t>спрямо</w:t>
            </w:r>
            <w:r w:rsidRPr="00FE6AC6">
              <w:rPr>
                <w:szCs w:val="22"/>
              </w:rPr>
              <w:t xml:space="preserve"> 56</w:t>
            </w:r>
            <w:r w:rsidRPr="00FE6AC6">
              <w:rPr>
                <w:szCs w:val="22"/>
                <w:lang w:val="bg-BG"/>
              </w:rPr>
              <w:t>,</w:t>
            </w:r>
            <w:r w:rsidRPr="00FE6AC6">
              <w:rPr>
                <w:szCs w:val="22"/>
              </w:rPr>
              <w:t>1</w:t>
            </w:r>
          </w:p>
        </w:tc>
        <w:tc>
          <w:tcPr>
            <w:tcW w:w="1259" w:type="dxa"/>
            <w:tcBorders>
              <w:top w:val="nil"/>
              <w:left w:val="single" w:sz="4" w:space="0" w:color="auto"/>
              <w:bottom w:val="single" w:sz="4" w:space="0" w:color="auto"/>
            </w:tcBorders>
            <w:vAlign w:val="bottom"/>
          </w:tcPr>
          <w:p w14:paraId="3E54FFB5" w14:textId="77777777" w:rsidR="00790C35" w:rsidRPr="00FE6AC6" w:rsidRDefault="00790C35" w:rsidP="008143B1">
            <w:pPr>
              <w:keepNext/>
              <w:widowControl w:val="0"/>
              <w:spacing w:line="240" w:lineRule="auto"/>
              <w:jc w:val="center"/>
              <w:rPr>
                <w:szCs w:val="22"/>
              </w:rPr>
            </w:pPr>
            <w:r w:rsidRPr="00FE6AC6">
              <w:rPr>
                <w:szCs w:val="22"/>
              </w:rPr>
              <w:t>79</w:t>
            </w:r>
            <w:r w:rsidRPr="00FE6AC6">
              <w:rPr>
                <w:szCs w:val="22"/>
                <w:lang w:val="bg-BG"/>
              </w:rPr>
              <w:t>,</w:t>
            </w:r>
            <w:r w:rsidRPr="00FE6AC6">
              <w:rPr>
                <w:szCs w:val="22"/>
              </w:rPr>
              <w:t xml:space="preserve">9 </w:t>
            </w:r>
            <w:r w:rsidRPr="00FE6AC6">
              <w:rPr>
                <w:szCs w:val="22"/>
                <w:lang w:val="bg-BG"/>
              </w:rPr>
              <w:t>спрямо</w:t>
            </w:r>
            <w:r w:rsidRPr="00FE6AC6">
              <w:rPr>
                <w:szCs w:val="22"/>
              </w:rPr>
              <w:t xml:space="preserve"> 41</w:t>
            </w:r>
            <w:r w:rsidRPr="00FE6AC6">
              <w:rPr>
                <w:szCs w:val="22"/>
                <w:lang w:val="bg-BG"/>
              </w:rPr>
              <w:t>,</w:t>
            </w:r>
            <w:r w:rsidRPr="00FE6AC6">
              <w:rPr>
                <w:szCs w:val="22"/>
              </w:rPr>
              <w:t>5</w:t>
            </w:r>
          </w:p>
        </w:tc>
      </w:tr>
    </w:tbl>
    <w:p w14:paraId="3E54FFB7" w14:textId="77777777" w:rsidR="00790C35" w:rsidRPr="00FE6AC6" w:rsidRDefault="00790C35" w:rsidP="008143B1">
      <w:pPr>
        <w:pStyle w:val="Text"/>
        <w:widowControl w:val="0"/>
        <w:spacing w:before="0"/>
        <w:rPr>
          <w:sz w:val="22"/>
          <w:szCs w:val="22"/>
          <w:lang w:val="bg-BG"/>
        </w:rPr>
      </w:pPr>
      <w:r w:rsidRPr="00FE6AC6">
        <w:rPr>
          <w:sz w:val="22"/>
          <w:szCs w:val="22"/>
          <w:lang w:val="ru-RU"/>
        </w:rPr>
        <w:t xml:space="preserve">* </w:t>
      </w:r>
      <w:r w:rsidRPr="00FE6AC6">
        <w:rPr>
          <w:sz w:val="22"/>
          <w:szCs w:val="22"/>
          <w:lang w:val="bg-BG"/>
        </w:rPr>
        <w:t>Пълен период на проследяване</w:t>
      </w:r>
      <w:r w:rsidR="00921F40" w:rsidRPr="00FE6AC6">
        <w:rPr>
          <w:sz w:val="22"/>
          <w:szCs w:val="22"/>
          <w:lang w:val="bg-BG"/>
        </w:rPr>
        <w:t xml:space="preserve">; </w:t>
      </w:r>
      <w:r w:rsidR="00921F40" w:rsidRPr="00FE6AC6">
        <w:rPr>
          <w:sz w:val="22"/>
          <w:szCs w:val="22"/>
        </w:rPr>
        <w:t>NE</w:t>
      </w:r>
      <w:r w:rsidR="00921F40" w:rsidRPr="00FE6AC6">
        <w:rPr>
          <w:sz w:val="22"/>
          <w:szCs w:val="22"/>
          <w:lang w:val="bg-BG"/>
        </w:rPr>
        <w:t xml:space="preserve"> - </w:t>
      </w:r>
      <w:r w:rsidR="00E26BF3" w:rsidRPr="00FE6AC6">
        <w:rPr>
          <w:sz w:val="22"/>
          <w:szCs w:val="22"/>
          <w:lang w:val="bg-BG"/>
        </w:rPr>
        <w:t>Неподлежащ на оценка</w:t>
      </w:r>
    </w:p>
    <w:p w14:paraId="3E54FFB8" w14:textId="77777777" w:rsidR="00A83B63" w:rsidRPr="00FE6AC6" w:rsidRDefault="00A83B63" w:rsidP="0063575E">
      <w:pPr>
        <w:pStyle w:val="Text"/>
        <w:widowControl w:val="0"/>
        <w:spacing w:before="0"/>
        <w:jc w:val="left"/>
        <w:rPr>
          <w:rFonts w:eastAsia="MS Mincho"/>
          <w:color w:val="000000"/>
          <w:sz w:val="22"/>
          <w:szCs w:val="22"/>
          <w:lang w:val="ru-RU" w:eastAsia="ja-JP"/>
        </w:rPr>
      </w:pPr>
    </w:p>
    <w:p w14:paraId="3E54FFB9" w14:textId="77777777" w:rsidR="00A83B63" w:rsidRPr="00FE6AC6" w:rsidRDefault="00A83B63" w:rsidP="0063575E">
      <w:pPr>
        <w:widowControl w:val="0"/>
        <w:tabs>
          <w:tab w:val="clear" w:pos="567"/>
        </w:tabs>
        <w:spacing w:line="240" w:lineRule="auto"/>
        <w:rPr>
          <w:rFonts w:eastAsia="MS Mincho"/>
          <w:iCs/>
          <w:szCs w:val="22"/>
          <w:lang w:val="bg-BG" w:eastAsia="ja-JP"/>
        </w:rPr>
      </w:pPr>
      <w:r w:rsidRPr="00FE6AC6">
        <w:rPr>
          <w:rFonts w:eastAsia="MS Mincho"/>
          <w:szCs w:val="22"/>
          <w:lang w:val="bg-BG" w:eastAsia="ja-JP"/>
        </w:rPr>
        <w:t>Второ моногоцентрово, отворено фаза</w:t>
      </w:r>
      <w:r w:rsidRPr="00FE6AC6">
        <w:rPr>
          <w:rFonts w:eastAsia="MS Mincho"/>
          <w:szCs w:val="22"/>
          <w:lang w:val="ru-RU" w:eastAsia="ja-JP"/>
        </w:rPr>
        <w:t xml:space="preserve"> </w:t>
      </w:r>
      <w:r w:rsidRPr="00FE6AC6">
        <w:rPr>
          <w:rFonts w:eastAsia="MS Mincho"/>
          <w:szCs w:val="22"/>
          <w:lang w:val="en-US" w:eastAsia="ja-JP"/>
        </w:rPr>
        <w:t>III</w:t>
      </w:r>
      <w:r w:rsidRPr="00FE6AC6">
        <w:rPr>
          <w:rFonts w:eastAsia="MS Mincho"/>
          <w:szCs w:val="22"/>
          <w:lang w:val="ru-RU" w:eastAsia="ja-JP"/>
        </w:rPr>
        <w:t xml:space="preserve"> </w:t>
      </w:r>
      <w:r w:rsidRPr="00FE6AC6">
        <w:rPr>
          <w:rFonts w:eastAsia="MS Mincho"/>
          <w:szCs w:val="22"/>
          <w:lang w:val="bg-BG" w:eastAsia="ja-JP"/>
        </w:rPr>
        <w:t>проучване</w:t>
      </w:r>
      <w:r w:rsidRPr="00FE6AC6">
        <w:rPr>
          <w:rFonts w:eastAsia="MS Mincho"/>
          <w:szCs w:val="22"/>
          <w:lang w:val="ru-RU" w:eastAsia="ja-JP"/>
        </w:rPr>
        <w:t xml:space="preserve"> (</w:t>
      </w:r>
      <w:r w:rsidRPr="00FE6AC6">
        <w:rPr>
          <w:rFonts w:eastAsia="MS Mincho"/>
          <w:szCs w:val="22"/>
          <w:lang w:val="en-US" w:eastAsia="ja-JP"/>
        </w:rPr>
        <w:t>SSG</w:t>
      </w:r>
      <w:r w:rsidRPr="00FE6AC6">
        <w:rPr>
          <w:rFonts w:eastAsia="MS Mincho"/>
          <w:szCs w:val="22"/>
          <w:lang w:val="ru-RU" w:eastAsia="ja-JP"/>
        </w:rPr>
        <w:t xml:space="preserve"> </w:t>
      </w:r>
      <w:r w:rsidRPr="00FE6AC6">
        <w:rPr>
          <w:rFonts w:eastAsia="MS Mincho"/>
          <w:szCs w:val="22"/>
          <w:lang w:val="en-US" w:eastAsia="ja-JP"/>
        </w:rPr>
        <w:t>XVIII</w:t>
      </w:r>
      <w:r w:rsidRPr="00FE6AC6">
        <w:rPr>
          <w:rFonts w:eastAsia="MS Mincho"/>
          <w:szCs w:val="22"/>
          <w:lang w:val="ru-RU" w:eastAsia="ja-JP"/>
        </w:rPr>
        <w:t>/</w:t>
      </w:r>
      <w:r w:rsidRPr="00FE6AC6">
        <w:rPr>
          <w:rFonts w:eastAsia="MS Mincho"/>
          <w:szCs w:val="22"/>
          <w:lang w:val="en-US" w:eastAsia="ja-JP"/>
        </w:rPr>
        <w:t>AIO</w:t>
      </w:r>
      <w:r w:rsidRPr="00FE6AC6">
        <w:rPr>
          <w:rFonts w:eastAsia="MS Mincho"/>
          <w:szCs w:val="22"/>
          <w:lang w:val="ru-RU" w:eastAsia="ja-JP"/>
        </w:rPr>
        <w:t xml:space="preserve">) </w:t>
      </w:r>
      <w:r w:rsidRPr="00FE6AC6">
        <w:rPr>
          <w:rFonts w:eastAsia="MS Mincho"/>
          <w:szCs w:val="22"/>
          <w:lang w:val="bg-BG" w:eastAsia="ja-JP"/>
        </w:rPr>
        <w:t>сравнява 12 месечно</w:t>
      </w:r>
      <w:r w:rsidR="003169A3" w:rsidRPr="00FE6AC6">
        <w:rPr>
          <w:rFonts w:eastAsia="MS Mincho"/>
          <w:szCs w:val="22"/>
          <w:lang w:val="bg-BG" w:eastAsia="ja-JP"/>
        </w:rPr>
        <w:t>то</w:t>
      </w:r>
      <w:r w:rsidRPr="00FE6AC6">
        <w:rPr>
          <w:rFonts w:eastAsia="MS Mincho"/>
          <w:szCs w:val="22"/>
          <w:lang w:val="bg-BG" w:eastAsia="ja-JP"/>
        </w:rPr>
        <w:t xml:space="preserve"> лечение с </w:t>
      </w:r>
      <w:r w:rsidRPr="00FE6AC6">
        <w:rPr>
          <w:rFonts w:eastAsia="MS Mincho"/>
          <w:szCs w:val="22"/>
          <w:lang w:val="en-US" w:eastAsia="ja-JP"/>
        </w:rPr>
        <w:t>Glivec</w:t>
      </w:r>
      <w:r w:rsidRPr="00FE6AC6">
        <w:rPr>
          <w:rFonts w:eastAsia="MS Mincho"/>
          <w:szCs w:val="22"/>
          <w:lang w:val="ru-RU" w:eastAsia="ja-JP"/>
        </w:rPr>
        <w:t xml:space="preserve"> 400</w:t>
      </w:r>
      <w:r w:rsidRPr="00FE6AC6">
        <w:rPr>
          <w:rFonts w:eastAsia="MS Mincho"/>
          <w:szCs w:val="22"/>
          <w:lang w:val="en-US" w:eastAsia="ja-JP"/>
        </w:rPr>
        <w:t> mg</w:t>
      </w:r>
      <w:r w:rsidRPr="00FE6AC6">
        <w:rPr>
          <w:rFonts w:eastAsia="MS Mincho"/>
          <w:szCs w:val="22"/>
          <w:lang w:val="ru-RU" w:eastAsia="ja-JP"/>
        </w:rPr>
        <w:t>/</w:t>
      </w:r>
      <w:r w:rsidRPr="00FE6AC6">
        <w:rPr>
          <w:rFonts w:eastAsia="MS Mincho"/>
          <w:szCs w:val="22"/>
          <w:lang w:val="bg-BG" w:eastAsia="ja-JP"/>
        </w:rPr>
        <w:t>ден спрямо 36 месечно лечение при пациенти след хирургична резекция на ГИСТ с</w:t>
      </w:r>
      <w:r w:rsidR="009B4700" w:rsidRPr="00FE6AC6">
        <w:rPr>
          <w:rFonts w:eastAsia="MS Mincho"/>
          <w:szCs w:val="22"/>
          <w:lang w:val="bg-BG" w:eastAsia="ja-JP"/>
        </w:rPr>
        <w:t xml:space="preserve"> една от следните характеристики:</w:t>
      </w:r>
      <w:r w:rsidRPr="00FE6AC6">
        <w:rPr>
          <w:rFonts w:eastAsia="MS Mincho"/>
          <w:szCs w:val="22"/>
          <w:lang w:val="bg-BG" w:eastAsia="ja-JP"/>
        </w:rPr>
        <w:t xml:space="preserve"> тумор</w:t>
      </w:r>
      <w:r w:rsidR="009B4700" w:rsidRPr="00FE6AC6">
        <w:rPr>
          <w:rFonts w:eastAsia="MS Mincho"/>
          <w:szCs w:val="22"/>
          <w:lang w:val="bg-BG" w:eastAsia="ja-JP"/>
        </w:rPr>
        <w:t>е</w:t>
      </w:r>
      <w:r w:rsidRPr="00FE6AC6">
        <w:rPr>
          <w:rFonts w:eastAsia="MS Mincho"/>
          <w:szCs w:val="22"/>
          <w:lang w:val="bg-BG" w:eastAsia="ja-JP"/>
        </w:rPr>
        <w:t>н диамет</w:t>
      </w:r>
      <w:r w:rsidR="009B4700" w:rsidRPr="00FE6AC6">
        <w:rPr>
          <w:rFonts w:eastAsia="MS Mincho"/>
          <w:szCs w:val="22"/>
          <w:lang w:val="bg-BG" w:eastAsia="ja-JP"/>
        </w:rPr>
        <w:t>ъ</w:t>
      </w:r>
      <w:r w:rsidRPr="00FE6AC6">
        <w:rPr>
          <w:rFonts w:eastAsia="MS Mincho"/>
          <w:szCs w:val="22"/>
          <w:lang w:val="bg-BG" w:eastAsia="ja-JP"/>
        </w:rPr>
        <w:t>р</w:t>
      </w:r>
      <w:r w:rsidRPr="00FE6AC6">
        <w:rPr>
          <w:rFonts w:eastAsia="MS Mincho"/>
          <w:iCs/>
          <w:szCs w:val="22"/>
          <w:lang w:val="ru-RU" w:eastAsia="ja-JP"/>
        </w:rPr>
        <w:t xml:space="preserve"> &gt;</w:t>
      </w:r>
      <w:smartTag w:uri="urn:schemas-microsoft-com:office:smarttags" w:element="metricconverter">
        <w:smartTagPr>
          <w:attr w:name="ProductID" w:val="5ﾠcm"/>
        </w:smartTagPr>
        <w:r w:rsidRPr="00FE6AC6">
          <w:rPr>
            <w:rFonts w:eastAsia="MS Mincho"/>
            <w:iCs/>
            <w:szCs w:val="22"/>
            <w:lang w:val="ru-RU" w:eastAsia="ja-JP"/>
          </w:rPr>
          <w:t>5</w:t>
        </w:r>
        <w:r w:rsidRPr="00FE6AC6">
          <w:rPr>
            <w:rFonts w:eastAsia="MS Mincho"/>
            <w:szCs w:val="22"/>
            <w:lang w:val="en-US" w:eastAsia="ja-JP"/>
          </w:rPr>
          <w:t> </w:t>
        </w:r>
        <w:r w:rsidRPr="00FE6AC6">
          <w:rPr>
            <w:rFonts w:eastAsia="MS Mincho"/>
            <w:iCs/>
            <w:szCs w:val="22"/>
            <w:lang w:val="en-US" w:eastAsia="ja-JP"/>
          </w:rPr>
          <w:t>cm</w:t>
        </w:r>
      </w:smartTag>
      <w:r w:rsidRPr="00FE6AC6">
        <w:rPr>
          <w:rFonts w:eastAsia="MS Mincho"/>
          <w:iCs/>
          <w:szCs w:val="22"/>
          <w:lang w:val="ru-RU" w:eastAsia="ja-JP"/>
        </w:rPr>
        <w:t xml:space="preserve"> </w:t>
      </w:r>
      <w:r w:rsidRPr="00FE6AC6">
        <w:rPr>
          <w:rFonts w:eastAsia="MS Mincho"/>
          <w:iCs/>
          <w:szCs w:val="22"/>
          <w:lang w:val="bg-BG" w:eastAsia="ja-JP"/>
        </w:rPr>
        <w:t xml:space="preserve">и </w:t>
      </w:r>
      <w:r w:rsidRPr="00FE6AC6">
        <w:rPr>
          <w:rFonts w:eastAsia="MS Mincho"/>
          <w:iCs/>
          <w:szCs w:val="22"/>
          <w:lang w:val="ru-RU" w:eastAsia="ja-JP"/>
        </w:rPr>
        <w:t xml:space="preserve">&gt;5/50 </w:t>
      </w:r>
      <w:r w:rsidR="00852FE3" w:rsidRPr="00FE6AC6">
        <w:rPr>
          <w:rFonts w:eastAsia="MS Mincho"/>
          <w:iCs/>
          <w:szCs w:val="22"/>
          <w:lang w:val="bg-BG" w:eastAsia="ja-JP"/>
        </w:rPr>
        <w:t>броя митози на полета с голямо увеличение (</w:t>
      </w:r>
      <w:r w:rsidR="00852FE3" w:rsidRPr="00FE6AC6">
        <w:rPr>
          <w:rFonts w:eastAsia="MS Mincho"/>
          <w:iCs/>
          <w:szCs w:val="22"/>
          <w:lang w:val="en-US" w:eastAsia="ja-JP"/>
        </w:rPr>
        <w:t>high</w:t>
      </w:r>
      <w:r w:rsidR="00852FE3" w:rsidRPr="00FE6AC6">
        <w:rPr>
          <w:rFonts w:eastAsia="MS Mincho"/>
          <w:iCs/>
          <w:szCs w:val="22"/>
          <w:lang w:val="ru-RU" w:eastAsia="ja-JP"/>
        </w:rPr>
        <w:t xml:space="preserve"> </w:t>
      </w:r>
      <w:r w:rsidR="00852FE3" w:rsidRPr="00FE6AC6">
        <w:rPr>
          <w:rFonts w:eastAsia="MS Mincho"/>
          <w:iCs/>
          <w:szCs w:val="22"/>
          <w:lang w:val="en-US" w:eastAsia="ja-JP"/>
        </w:rPr>
        <w:t>power</w:t>
      </w:r>
      <w:r w:rsidR="00852FE3" w:rsidRPr="00FE6AC6">
        <w:rPr>
          <w:rFonts w:eastAsia="MS Mincho"/>
          <w:iCs/>
          <w:szCs w:val="22"/>
          <w:lang w:val="ru-RU" w:eastAsia="ja-JP"/>
        </w:rPr>
        <w:t xml:space="preserve"> </w:t>
      </w:r>
      <w:r w:rsidR="00852FE3" w:rsidRPr="00FE6AC6">
        <w:rPr>
          <w:rFonts w:eastAsia="MS Mincho"/>
          <w:iCs/>
          <w:szCs w:val="22"/>
          <w:lang w:val="en-US" w:eastAsia="ja-JP"/>
        </w:rPr>
        <w:t>fields</w:t>
      </w:r>
      <w:r w:rsidR="00852FE3" w:rsidRPr="00FE6AC6">
        <w:rPr>
          <w:rFonts w:eastAsia="MS Mincho"/>
          <w:iCs/>
          <w:szCs w:val="22"/>
          <w:lang w:val="ru-RU" w:eastAsia="ja-JP"/>
        </w:rPr>
        <w:t xml:space="preserve"> [</w:t>
      </w:r>
      <w:r w:rsidRPr="00FE6AC6">
        <w:rPr>
          <w:rFonts w:eastAsia="MS Mincho"/>
          <w:iCs/>
          <w:szCs w:val="22"/>
          <w:lang w:val="en-US" w:eastAsia="ja-JP"/>
        </w:rPr>
        <w:t>HPF</w:t>
      </w:r>
      <w:r w:rsidR="00852FE3" w:rsidRPr="00FE6AC6">
        <w:rPr>
          <w:rFonts w:eastAsia="MS Mincho"/>
          <w:iCs/>
          <w:szCs w:val="22"/>
          <w:lang w:val="ru-RU" w:eastAsia="ja-JP"/>
        </w:rPr>
        <w:t>]</w:t>
      </w:r>
      <w:r w:rsidRPr="00FE6AC6">
        <w:rPr>
          <w:rFonts w:eastAsia="MS Mincho"/>
          <w:iCs/>
          <w:szCs w:val="22"/>
          <w:lang w:val="ru-RU" w:eastAsia="ja-JP"/>
        </w:rPr>
        <w:t xml:space="preserve">); </w:t>
      </w:r>
      <w:r w:rsidRPr="00FE6AC6">
        <w:rPr>
          <w:rFonts w:eastAsia="MS Mincho"/>
          <w:iCs/>
          <w:szCs w:val="22"/>
          <w:lang w:val="bg-BG" w:eastAsia="ja-JP"/>
        </w:rPr>
        <w:t>или туморен диаметър</w:t>
      </w:r>
      <w:r w:rsidRPr="00FE6AC6">
        <w:rPr>
          <w:rFonts w:eastAsia="MS Mincho"/>
          <w:iCs/>
          <w:szCs w:val="22"/>
          <w:lang w:val="ru-RU" w:eastAsia="ja-JP"/>
        </w:rPr>
        <w:t xml:space="preserve"> &gt;</w:t>
      </w:r>
      <w:smartTag w:uri="urn:schemas-microsoft-com:office:smarttags" w:element="metricconverter">
        <w:smartTagPr>
          <w:attr w:name="ProductID" w:val="10 см"/>
        </w:smartTagPr>
        <w:r w:rsidRPr="00FE6AC6">
          <w:rPr>
            <w:rFonts w:eastAsia="MS Mincho"/>
            <w:iCs/>
            <w:szCs w:val="22"/>
            <w:lang w:val="ru-RU" w:eastAsia="ja-JP"/>
          </w:rPr>
          <w:t>10</w:t>
        </w:r>
        <w:r w:rsidRPr="00FE6AC6">
          <w:rPr>
            <w:rFonts w:eastAsia="MS Mincho"/>
            <w:szCs w:val="22"/>
            <w:lang w:val="en-US" w:eastAsia="ja-JP"/>
          </w:rPr>
          <w:t> </w:t>
        </w:r>
        <w:r w:rsidRPr="00FE6AC6">
          <w:rPr>
            <w:rFonts w:eastAsia="MS Mincho"/>
            <w:szCs w:val="22"/>
            <w:lang w:val="bg-BG" w:eastAsia="ja-JP"/>
          </w:rPr>
          <w:t>см</w:t>
        </w:r>
      </w:smartTag>
      <w:r w:rsidRPr="00FE6AC6">
        <w:rPr>
          <w:rFonts w:eastAsia="MS Mincho"/>
          <w:szCs w:val="22"/>
          <w:lang w:val="bg-BG" w:eastAsia="ja-JP"/>
        </w:rPr>
        <w:t xml:space="preserve"> и какъвто и да е брой митози</w:t>
      </w:r>
      <w:r w:rsidR="00E04BD9" w:rsidRPr="00FE6AC6">
        <w:rPr>
          <w:rFonts w:eastAsia="MS Mincho"/>
          <w:szCs w:val="22"/>
          <w:lang w:val="bg-BG" w:eastAsia="ja-JP"/>
        </w:rPr>
        <w:t>,</w:t>
      </w:r>
      <w:r w:rsidRPr="00FE6AC6">
        <w:rPr>
          <w:rFonts w:eastAsia="MS Mincho"/>
          <w:szCs w:val="22"/>
          <w:lang w:val="bg-BG" w:eastAsia="ja-JP"/>
        </w:rPr>
        <w:t xml:space="preserve"> или какъвто и да е размер на тумора с брой митози </w:t>
      </w:r>
      <w:r w:rsidRPr="00FE6AC6">
        <w:rPr>
          <w:rFonts w:eastAsia="MS Mincho"/>
          <w:iCs/>
          <w:szCs w:val="22"/>
          <w:lang w:val="ru-RU" w:eastAsia="ja-JP"/>
        </w:rPr>
        <w:t xml:space="preserve">&gt;10/50 </w:t>
      </w:r>
      <w:r w:rsidR="00852FE3" w:rsidRPr="00FE6AC6">
        <w:rPr>
          <w:rFonts w:eastAsia="MS Mincho"/>
          <w:iCs/>
          <w:szCs w:val="22"/>
          <w:lang w:val="ru-RU" w:eastAsia="ja-JP"/>
        </w:rPr>
        <w:t xml:space="preserve">на </w:t>
      </w:r>
      <w:r w:rsidRPr="00FE6AC6">
        <w:rPr>
          <w:rFonts w:eastAsia="MS Mincho"/>
          <w:iCs/>
          <w:szCs w:val="22"/>
          <w:lang w:val="en-US" w:eastAsia="ja-JP"/>
        </w:rPr>
        <w:t>HPF</w:t>
      </w:r>
      <w:r w:rsidR="00E04BD9" w:rsidRPr="00FE6AC6">
        <w:rPr>
          <w:rFonts w:eastAsia="MS Mincho"/>
          <w:iCs/>
          <w:szCs w:val="22"/>
          <w:lang w:val="bg-BG" w:eastAsia="ja-JP"/>
        </w:rPr>
        <w:t>,</w:t>
      </w:r>
      <w:r w:rsidRPr="00FE6AC6">
        <w:rPr>
          <w:rFonts w:eastAsia="MS Mincho"/>
          <w:iCs/>
          <w:szCs w:val="22"/>
          <w:lang w:val="ru-RU" w:eastAsia="ja-JP"/>
        </w:rPr>
        <w:t xml:space="preserve"> </w:t>
      </w:r>
      <w:r w:rsidRPr="00FE6AC6">
        <w:rPr>
          <w:rFonts w:eastAsia="MS Mincho"/>
          <w:iCs/>
          <w:szCs w:val="22"/>
          <w:lang w:val="bg-BG" w:eastAsia="ja-JP"/>
        </w:rPr>
        <w:t xml:space="preserve">или руптура на тумора в перитонеалната кухина. </w:t>
      </w:r>
      <w:r w:rsidR="003F5D69" w:rsidRPr="00FE6AC6">
        <w:rPr>
          <w:rFonts w:eastAsia="MS Mincho"/>
          <w:iCs/>
          <w:szCs w:val="22"/>
          <w:lang w:val="bg-BG" w:eastAsia="ja-JP"/>
        </w:rPr>
        <w:t>О</w:t>
      </w:r>
      <w:r w:rsidRPr="00FE6AC6">
        <w:rPr>
          <w:rFonts w:eastAsia="MS Mincho"/>
          <w:iCs/>
          <w:szCs w:val="22"/>
          <w:lang w:val="bg-BG" w:eastAsia="ja-JP"/>
        </w:rPr>
        <w:t>бщо 397</w:t>
      </w:r>
      <w:r w:rsidRPr="00FE6AC6">
        <w:rPr>
          <w:rFonts w:eastAsia="MS Mincho"/>
          <w:szCs w:val="22"/>
          <w:lang w:val="en-US" w:eastAsia="ja-JP"/>
        </w:rPr>
        <w:t> </w:t>
      </w:r>
      <w:r w:rsidRPr="00FE6AC6">
        <w:rPr>
          <w:rFonts w:eastAsia="MS Mincho"/>
          <w:szCs w:val="22"/>
          <w:lang w:val="bg-BG" w:eastAsia="ja-JP"/>
        </w:rPr>
        <w:t xml:space="preserve">пациенти </w:t>
      </w:r>
      <w:r w:rsidR="003F5D69" w:rsidRPr="00FE6AC6">
        <w:rPr>
          <w:rFonts w:eastAsia="MS Mincho"/>
          <w:szCs w:val="22"/>
          <w:lang w:val="bg-BG" w:eastAsia="ja-JP"/>
        </w:rPr>
        <w:t xml:space="preserve">са </w:t>
      </w:r>
      <w:r w:rsidRPr="00FE6AC6">
        <w:rPr>
          <w:rFonts w:eastAsia="MS Mincho"/>
          <w:szCs w:val="22"/>
          <w:lang w:val="bg-BG" w:eastAsia="ja-JP"/>
        </w:rPr>
        <w:t xml:space="preserve">включени и рандомизирани в проучването </w:t>
      </w:r>
      <w:r w:rsidRPr="00FE6AC6">
        <w:rPr>
          <w:rFonts w:eastAsia="MS Mincho"/>
          <w:iCs/>
          <w:szCs w:val="22"/>
          <w:lang w:val="bg-BG" w:eastAsia="ja-JP"/>
        </w:rPr>
        <w:t>(199</w:t>
      </w:r>
      <w:r w:rsidRPr="00FE6AC6">
        <w:rPr>
          <w:rFonts w:eastAsia="MS Mincho"/>
          <w:szCs w:val="22"/>
          <w:lang w:val="en-US" w:eastAsia="ja-JP"/>
        </w:rPr>
        <w:t> </w:t>
      </w:r>
      <w:r w:rsidRPr="00FE6AC6">
        <w:rPr>
          <w:rFonts w:eastAsia="MS Mincho"/>
          <w:szCs w:val="22"/>
          <w:lang w:val="bg-BG" w:eastAsia="ja-JP"/>
        </w:rPr>
        <w:t xml:space="preserve">пациенти в 12-месечното рамо и </w:t>
      </w:r>
      <w:r w:rsidRPr="00FE6AC6">
        <w:rPr>
          <w:rFonts w:eastAsia="MS Mincho"/>
          <w:iCs/>
          <w:szCs w:val="22"/>
          <w:lang w:val="bg-BG" w:eastAsia="ja-JP"/>
        </w:rPr>
        <w:t>198</w:t>
      </w:r>
      <w:r w:rsidRPr="00FE6AC6">
        <w:rPr>
          <w:rFonts w:eastAsia="MS Mincho"/>
          <w:szCs w:val="22"/>
          <w:lang w:val="en-US" w:eastAsia="ja-JP"/>
        </w:rPr>
        <w:t> </w:t>
      </w:r>
      <w:r w:rsidRPr="00FE6AC6">
        <w:rPr>
          <w:rFonts w:eastAsia="MS Mincho"/>
          <w:szCs w:val="22"/>
          <w:lang w:val="bg-BG" w:eastAsia="ja-JP"/>
        </w:rPr>
        <w:t>пациенти в 36-месечното рамо</w:t>
      </w:r>
      <w:r w:rsidRPr="00FE6AC6">
        <w:rPr>
          <w:rFonts w:eastAsia="MS Mincho"/>
          <w:iCs/>
          <w:szCs w:val="22"/>
          <w:lang w:val="bg-BG" w:eastAsia="ja-JP"/>
        </w:rPr>
        <w:t xml:space="preserve">), </w:t>
      </w:r>
      <w:r w:rsidR="00021B32" w:rsidRPr="00FE6AC6">
        <w:rPr>
          <w:rFonts w:eastAsia="MS Mincho"/>
          <w:iCs/>
          <w:szCs w:val="22"/>
          <w:lang w:val="bg-BG" w:eastAsia="ja-JP"/>
        </w:rPr>
        <w:t>медиан</w:t>
      </w:r>
      <w:r w:rsidR="0086760E" w:rsidRPr="00FE6AC6">
        <w:rPr>
          <w:rFonts w:eastAsia="MS Mincho"/>
          <w:iCs/>
          <w:szCs w:val="22"/>
          <w:lang w:val="bg-BG" w:eastAsia="ja-JP"/>
        </w:rPr>
        <w:t>а</w:t>
      </w:r>
      <w:r w:rsidR="00021B32" w:rsidRPr="00FE6AC6">
        <w:rPr>
          <w:rFonts w:eastAsia="MS Mincho"/>
          <w:iCs/>
          <w:szCs w:val="22"/>
          <w:lang w:val="bg-BG" w:eastAsia="ja-JP"/>
        </w:rPr>
        <w:t>та на</w:t>
      </w:r>
      <w:r w:rsidRPr="00FE6AC6">
        <w:rPr>
          <w:rFonts w:eastAsia="MS Mincho"/>
          <w:iCs/>
          <w:szCs w:val="22"/>
          <w:lang w:val="bg-BG" w:eastAsia="ja-JP"/>
        </w:rPr>
        <w:t xml:space="preserve"> възраст</w:t>
      </w:r>
      <w:r w:rsidR="00021B32" w:rsidRPr="00FE6AC6">
        <w:rPr>
          <w:rFonts w:eastAsia="MS Mincho"/>
          <w:iCs/>
          <w:szCs w:val="22"/>
          <w:lang w:val="bg-BG" w:eastAsia="ja-JP"/>
        </w:rPr>
        <w:t>та</w:t>
      </w:r>
      <w:r w:rsidRPr="00FE6AC6">
        <w:rPr>
          <w:rFonts w:eastAsia="MS Mincho"/>
          <w:iCs/>
          <w:szCs w:val="22"/>
          <w:lang w:val="bg-BG" w:eastAsia="ja-JP"/>
        </w:rPr>
        <w:t xml:space="preserve"> е </w:t>
      </w:r>
      <w:r w:rsidRPr="00FE6AC6">
        <w:rPr>
          <w:rFonts w:eastAsia="MS Mincho"/>
          <w:bCs/>
          <w:iCs/>
          <w:szCs w:val="22"/>
          <w:lang w:val="bg-BG" w:eastAsia="ja-JP"/>
        </w:rPr>
        <w:t>61</w:t>
      </w:r>
      <w:r w:rsidRPr="00FE6AC6">
        <w:rPr>
          <w:rFonts w:eastAsia="MS Mincho"/>
          <w:szCs w:val="22"/>
          <w:lang w:val="en-US" w:eastAsia="ja-JP"/>
        </w:rPr>
        <w:t> </w:t>
      </w:r>
      <w:r w:rsidRPr="00FE6AC6">
        <w:rPr>
          <w:rFonts w:eastAsia="MS Mincho"/>
          <w:szCs w:val="22"/>
          <w:lang w:val="bg-BG" w:eastAsia="ja-JP"/>
        </w:rPr>
        <w:t>години</w:t>
      </w:r>
      <w:r w:rsidRPr="00FE6AC6">
        <w:rPr>
          <w:rFonts w:eastAsia="MS Mincho"/>
          <w:iCs/>
          <w:szCs w:val="22"/>
          <w:lang w:val="bg-BG" w:eastAsia="ja-JP"/>
        </w:rPr>
        <w:t xml:space="preserve"> (интервал 22 до 84</w:t>
      </w:r>
      <w:r w:rsidRPr="00FE6AC6">
        <w:rPr>
          <w:rFonts w:eastAsia="MS Mincho"/>
          <w:szCs w:val="22"/>
          <w:lang w:val="en-US" w:eastAsia="ja-JP"/>
        </w:rPr>
        <w:t> </w:t>
      </w:r>
      <w:r w:rsidRPr="00FE6AC6">
        <w:rPr>
          <w:rFonts w:eastAsia="MS Mincho"/>
          <w:szCs w:val="22"/>
          <w:lang w:val="bg-BG" w:eastAsia="ja-JP"/>
        </w:rPr>
        <w:t>години</w:t>
      </w:r>
      <w:r w:rsidRPr="00FE6AC6">
        <w:rPr>
          <w:rFonts w:eastAsia="MS Mincho"/>
          <w:iCs/>
          <w:szCs w:val="22"/>
          <w:lang w:val="bg-BG" w:eastAsia="ja-JP"/>
        </w:rPr>
        <w:t xml:space="preserve">). </w:t>
      </w:r>
      <w:r w:rsidR="0081219D" w:rsidRPr="00FE6AC6">
        <w:rPr>
          <w:rFonts w:eastAsia="MS Mincho"/>
          <w:iCs/>
          <w:szCs w:val="22"/>
          <w:lang w:val="bg-BG" w:eastAsia="ja-JP"/>
        </w:rPr>
        <w:t>М</w:t>
      </w:r>
      <w:r w:rsidR="00021B32" w:rsidRPr="00FE6AC6">
        <w:rPr>
          <w:rFonts w:eastAsia="MS Mincho"/>
          <w:iCs/>
          <w:szCs w:val="22"/>
          <w:lang w:val="bg-BG" w:eastAsia="ja-JP"/>
        </w:rPr>
        <w:t>едианата на</w:t>
      </w:r>
      <w:r w:rsidRPr="00FE6AC6">
        <w:rPr>
          <w:rFonts w:eastAsia="MS Mincho"/>
          <w:iCs/>
          <w:szCs w:val="22"/>
          <w:lang w:val="bg-BG" w:eastAsia="ja-JP"/>
        </w:rPr>
        <w:t xml:space="preserve"> време</w:t>
      </w:r>
      <w:r w:rsidR="00021B32" w:rsidRPr="00FE6AC6">
        <w:rPr>
          <w:rFonts w:eastAsia="MS Mincho"/>
          <w:iCs/>
          <w:szCs w:val="22"/>
          <w:lang w:val="bg-BG" w:eastAsia="ja-JP"/>
        </w:rPr>
        <w:t>то</w:t>
      </w:r>
      <w:r w:rsidRPr="00FE6AC6">
        <w:rPr>
          <w:rFonts w:eastAsia="MS Mincho"/>
          <w:iCs/>
          <w:szCs w:val="22"/>
          <w:lang w:val="bg-BG" w:eastAsia="ja-JP"/>
        </w:rPr>
        <w:t xml:space="preserve"> </w:t>
      </w:r>
      <w:r w:rsidR="003F5D69" w:rsidRPr="00FE6AC6">
        <w:rPr>
          <w:rFonts w:eastAsia="MS Mincho"/>
          <w:iCs/>
          <w:szCs w:val="22"/>
          <w:lang w:val="bg-BG" w:eastAsia="ja-JP"/>
        </w:rPr>
        <w:t>н</w:t>
      </w:r>
      <w:r w:rsidRPr="00FE6AC6">
        <w:rPr>
          <w:rFonts w:eastAsia="MS Mincho"/>
          <w:iCs/>
          <w:szCs w:val="22"/>
          <w:lang w:val="bg-BG" w:eastAsia="ja-JP"/>
        </w:rPr>
        <w:t>а проследяване е 54</w:t>
      </w:r>
      <w:r w:rsidRPr="00FE6AC6">
        <w:rPr>
          <w:rFonts w:eastAsia="MS Mincho"/>
          <w:szCs w:val="22"/>
          <w:lang w:val="en-US" w:eastAsia="ja-JP"/>
        </w:rPr>
        <w:t> </w:t>
      </w:r>
      <w:r w:rsidRPr="00FE6AC6">
        <w:rPr>
          <w:rFonts w:eastAsia="MS Mincho"/>
          <w:szCs w:val="22"/>
          <w:lang w:val="bg-BG" w:eastAsia="ja-JP"/>
        </w:rPr>
        <w:t>месеца</w:t>
      </w:r>
      <w:r w:rsidRPr="00FE6AC6">
        <w:rPr>
          <w:rFonts w:eastAsia="MS Mincho"/>
          <w:iCs/>
          <w:szCs w:val="22"/>
          <w:lang w:val="bg-BG" w:eastAsia="ja-JP"/>
        </w:rPr>
        <w:t xml:space="preserve"> (от датата на рандомизация до </w:t>
      </w:r>
      <w:r w:rsidR="003F5D69" w:rsidRPr="00FE6AC6">
        <w:rPr>
          <w:rFonts w:eastAsia="MS Mincho"/>
          <w:iCs/>
          <w:szCs w:val="22"/>
          <w:lang w:val="bg-BG" w:eastAsia="ja-JP"/>
        </w:rPr>
        <w:t>крайната</w:t>
      </w:r>
      <w:r w:rsidRPr="00FE6AC6">
        <w:rPr>
          <w:rFonts w:eastAsia="MS Mincho"/>
          <w:iCs/>
          <w:szCs w:val="22"/>
          <w:lang w:val="bg-BG" w:eastAsia="ja-JP"/>
        </w:rPr>
        <w:t xml:space="preserve"> дата), общо 83</w:t>
      </w:r>
      <w:r w:rsidRPr="00FE6AC6">
        <w:rPr>
          <w:rFonts w:eastAsia="MS Mincho"/>
          <w:szCs w:val="22"/>
          <w:lang w:val="en-US" w:eastAsia="ja-JP"/>
        </w:rPr>
        <w:t> </w:t>
      </w:r>
      <w:r w:rsidRPr="00FE6AC6">
        <w:rPr>
          <w:rFonts w:eastAsia="MS Mincho"/>
          <w:szCs w:val="22"/>
          <w:lang w:val="bg-BG" w:eastAsia="ja-JP"/>
        </w:rPr>
        <w:t xml:space="preserve">месеца между първия рандомизиран пациент и </w:t>
      </w:r>
      <w:r w:rsidR="003F5D69" w:rsidRPr="00FE6AC6">
        <w:rPr>
          <w:rFonts w:eastAsia="MS Mincho"/>
          <w:iCs/>
          <w:szCs w:val="22"/>
          <w:lang w:val="bg-BG" w:eastAsia="ja-JP"/>
        </w:rPr>
        <w:t>крайната</w:t>
      </w:r>
      <w:r w:rsidRPr="00FE6AC6">
        <w:rPr>
          <w:rFonts w:eastAsia="MS Mincho"/>
          <w:iCs/>
          <w:szCs w:val="22"/>
          <w:lang w:val="bg-BG" w:eastAsia="ja-JP"/>
        </w:rPr>
        <w:t xml:space="preserve"> дата.</w:t>
      </w:r>
    </w:p>
    <w:p w14:paraId="3E54FFBA" w14:textId="77777777" w:rsidR="00A83B63" w:rsidRPr="00FE6AC6" w:rsidRDefault="00A83B63" w:rsidP="0063575E">
      <w:pPr>
        <w:widowControl w:val="0"/>
        <w:tabs>
          <w:tab w:val="clear" w:pos="567"/>
        </w:tabs>
        <w:spacing w:line="240" w:lineRule="auto"/>
        <w:rPr>
          <w:rFonts w:eastAsia="MS Mincho"/>
          <w:iCs/>
          <w:szCs w:val="22"/>
          <w:lang w:val="bg-BG" w:eastAsia="ja-JP"/>
        </w:rPr>
      </w:pPr>
    </w:p>
    <w:p w14:paraId="3E54FFBB" w14:textId="77777777" w:rsidR="00A83B63" w:rsidRPr="00FE6AC6" w:rsidRDefault="00A83B63" w:rsidP="0063575E">
      <w:pPr>
        <w:widowControl w:val="0"/>
        <w:tabs>
          <w:tab w:val="clear" w:pos="567"/>
        </w:tabs>
        <w:spacing w:line="240" w:lineRule="auto"/>
        <w:rPr>
          <w:rFonts w:eastAsia="MS Mincho"/>
          <w:szCs w:val="22"/>
          <w:lang w:val="bg-BG" w:eastAsia="ja-JP"/>
        </w:rPr>
      </w:pPr>
      <w:r w:rsidRPr="00FE6AC6">
        <w:rPr>
          <w:rFonts w:eastAsia="MS Mincho"/>
          <w:szCs w:val="22"/>
          <w:lang w:val="bg-BG" w:eastAsia="ja-JP"/>
        </w:rPr>
        <w:t xml:space="preserve">Първична крайна </w:t>
      </w:r>
      <w:r w:rsidR="0086760E" w:rsidRPr="00FE6AC6">
        <w:rPr>
          <w:rFonts w:eastAsia="MS Mincho"/>
          <w:szCs w:val="22"/>
          <w:lang w:val="bg-BG" w:eastAsia="ja-JP"/>
        </w:rPr>
        <w:t>цел</w:t>
      </w:r>
      <w:r w:rsidRPr="00FE6AC6">
        <w:rPr>
          <w:rFonts w:eastAsia="MS Mincho"/>
          <w:szCs w:val="22"/>
          <w:lang w:val="bg-BG" w:eastAsia="ja-JP"/>
        </w:rPr>
        <w:t xml:space="preserve"> на проучването е преживяемостта без рецидив (ПБР), дефинирана от времето на рандомизация до датата на поява на рецидив на заболяването или смърт поради някаква причина.</w:t>
      </w:r>
    </w:p>
    <w:p w14:paraId="3E54FFBC" w14:textId="77777777" w:rsidR="00A83B63" w:rsidRPr="00FE6AC6" w:rsidRDefault="00A83B63" w:rsidP="0063575E">
      <w:pPr>
        <w:widowControl w:val="0"/>
        <w:tabs>
          <w:tab w:val="clear" w:pos="567"/>
        </w:tabs>
        <w:spacing w:line="240" w:lineRule="auto"/>
        <w:rPr>
          <w:rFonts w:eastAsia="MS Mincho"/>
          <w:szCs w:val="22"/>
          <w:lang w:val="bg-BG" w:eastAsia="ja-JP"/>
        </w:rPr>
      </w:pPr>
    </w:p>
    <w:p w14:paraId="3E54FFBD" w14:textId="77777777" w:rsidR="00A83B63" w:rsidRPr="00FE6AC6" w:rsidRDefault="00A83B63" w:rsidP="0063575E">
      <w:pPr>
        <w:widowControl w:val="0"/>
        <w:tabs>
          <w:tab w:val="clear" w:pos="567"/>
        </w:tabs>
        <w:spacing w:line="240" w:lineRule="auto"/>
        <w:rPr>
          <w:rFonts w:eastAsia="MS Mincho"/>
          <w:iCs/>
          <w:color w:val="000000"/>
          <w:szCs w:val="22"/>
          <w:lang w:val="bg-BG" w:eastAsia="ja-JP"/>
        </w:rPr>
      </w:pPr>
      <w:r w:rsidRPr="00FE6AC6">
        <w:rPr>
          <w:rFonts w:eastAsia="MS Mincho"/>
          <w:iCs/>
          <w:szCs w:val="22"/>
          <w:lang w:val="bg-BG" w:eastAsia="ja-JP"/>
        </w:rPr>
        <w:t xml:space="preserve">Тридесет и шест (36) месечното лечение с </w:t>
      </w:r>
      <w:r w:rsidRPr="00FE6AC6">
        <w:rPr>
          <w:rFonts w:eastAsia="MS Mincho"/>
          <w:iCs/>
          <w:szCs w:val="22"/>
          <w:lang w:val="en-US" w:eastAsia="ja-JP"/>
        </w:rPr>
        <w:t>Glivec</w:t>
      </w:r>
      <w:r w:rsidRPr="00FE6AC6">
        <w:rPr>
          <w:rFonts w:eastAsia="MS Mincho"/>
          <w:iCs/>
          <w:szCs w:val="22"/>
          <w:lang w:val="bg-BG" w:eastAsia="ja-JP"/>
        </w:rPr>
        <w:t xml:space="preserve"> значимо удължава преживяемостта без рецидив спрямо 12 месечното лечение с </w:t>
      </w:r>
      <w:r w:rsidRPr="00FE6AC6">
        <w:rPr>
          <w:rFonts w:eastAsia="MS Mincho"/>
          <w:iCs/>
          <w:szCs w:val="22"/>
          <w:lang w:val="en-US" w:eastAsia="ja-JP"/>
        </w:rPr>
        <w:t>Glivec</w:t>
      </w:r>
      <w:r w:rsidRPr="00FE6AC6">
        <w:rPr>
          <w:rFonts w:eastAsia="MS Mincho"/>
          <w:iCs/>
          <w:szCs w:val="22"/>
          <w:lang w:val="bg-BG" w:eastAsia="ja-JP"/>
        </w:rPr>
        <w:t xml:space="preserve"> (с общ коефициент на риска </w:t>
      </w:r>
      <w:r w:rsidRPr="00FE6AC6">
        <w:rPr>
          <w:rFonts w:eastAsia="MS Mincho"/>
          <w:iCs/>
          <w:color w:val="000000"/>
          <w:szCs w:val="22"/>
          <w:lang w:val="bg-BG" w:eastAsia="ja-JP"/>
        </w:rPr>
        <w:t>(</w:t>
      </w:r>
      <w:r w:rsidRPr="00FE6AC6">
        <w:rPr>
          <w:rFonts w:eastAsia="MS Mincho"/>
          <w:iCs/>
          <w:color w:val="000000"/>
          <w:szCs w:val="22"/>
          <w:lang w:val="en-US" w:eastAsia="ja-JP"/>
        </w:rPr>
        <w:t>HR</w:t>
      </w:r>
      <w:r w:rsidRPr="00FE6AC6">
        <w:rPr>
          <w:rFonts w:eastAsia="MS Mincho"/>
          <w:iCs/>
          <w:color w:val="000000"/>
          <w:szCs w:val="22"/>
          <w:lang w:val="bg-BG" w:eastAsia="ja-JP"/>
        </w:rPr>
        <w:t xml:space="preserve">) = 0,46 [0,32, 0,65], </w:t>
      </w:r>
      <w:r w:rsidRPr="00FE6AC6">
        <w:rPr>
          <w:rFonts w:eastAsia="MS Mincho"/>
          <w:iCs/>
          <w:color w:val="000000"/>
          <w:szCs w:val="22"/>
          <w:lang w:val="en-US" w:eastAsia="ja-JP"/>
        </w:rPr>
        <w:t>p</w:t>
      </w:r>
      <w:r w:rsidRPr="00FE6AC6">
        <w:rPr>
          <w:rFonts w:eastAsia="MS Mincho"/>
          <w:iCs/>
          <w:color w:val="000000"/>
          <w:szCs w:val="22"/>
          <w:lang w:val="bg-BG" w:eastAsia="ja-JP"/>
        </w:rPr>
        <w:t>&lt;0,0001</w:t>
      </w:r>
      <w:r w:rsidR="0079732F" w:rsidRPr="00FE6AC6">
        <w:rPr>
          <w:rFonts w:eastAsia="MS Mincho"/>
          <w:iCs/>
          <w:color w:val="000000"/>
          <w:szCs w:val="22"/>
          <w:lang w:val="bg-BG" w:eastAsia="ja-JP"/>
        </w:rPr>
        <w:t>)</w:t>
      </w:r>
      <w:r w:rsidRPr="00FE6AC6">
        <w:rPr>
          <w:rFonts w:eastAsia="MS Mincho"/>
          <w:iCs/>
          <w:color w:val="000000"/>
          <w:szCs w:val="22"/>
          <w:lang w:val="bg-BG" w:eastAsia="ja-JP"/>
        </w:rPr>
        <w:t xml:space="preserve"> (Таблица</w:t>
      </w:r>
      <w:r w:rsidRPr="00FE6AC6">
        <w:rPr>
          <w:rFonts w:eastAsia="MS Mincho"/>
          <w:color w:val="000000"/>
          <w:szCs w:val="22"/>
          <w:lang w:val="en-US" w:eastAsia="ja-JP"/>
        </w:rPr>
        <w:t> </w:t>
      </w:r>
      <w:r w:rsidR="008C64DA" w:rsidRPr="00FE6AC6">
        <w:rPr>
          <w:rFonts w:eastAsia="MS Mincho"/>
          <w:color w:val="000000"/>
          <w:szCs w:val="22"/>
          <w:lang w:val="bg-BG" w:eastAsia="ja-JP"/>
        </w:rPr>
        <w:t>8</w:t>
      </w:r>
      <w:r w:rsidRPr="00FE6AC6">
        <w:rPr>
          <w:rFonts w:eastAsia="MS Mincho"/>
          <w:iCs/>
          <w:color w:val="000000"/>
          <w:szCs w:val="22"/>
          <w:lang w:val="bg-BG" w:eastAsia="ja-JP"/>
        </w:rPr>
        <w:t>, Фигура</w:t>
      </w:r>
      <w:r w:rsidRPr="00FE6AC6">
        <w:rPr>
          <w:rFonts w:eastAsia="MS Mincho"/>
        </w:rPr>
        <w:t> </w:t>
      </w:r>
      <w:r w:rsidRPr="00FE6AC6">
        <w:rPr>
          <w:rFonts w:eastAsia="MS Mincho"/>
          <w:lang w:val="bg-BG"/>
        </w:rPr>
        <w:t>1</w:t>
      </w:r>
      <w:r w:rsidRPr="00FE6AC6">
        <w:rPr>
          <w:rFonts w:eastAsia="MS Mincho"/>
          <w:iCs/>
          <w:color w:val="000000"/>
          <w:szCs w:val="22"/>
          <w:lang w:val="bg-BG" w:eastAsia="ja-JP"/>
        </w:rPr>
        <w:t>).</w:t>
      </w:r>
    </w:p>
    <w:p w14:paraId="3E54FFBE" w14:textId="77777777" w:rsidR="009A7EFF" w:rsidRPr="00FE6AC6" w:rsidRDefault="009A7EFF" w:rsidP="0063575E">
      <w:pPr>
        <w:widowControl w:val="0"/>
        <w:tabs>
          <w:tab w:val="clear" w:pos="567"/>
        </w:tabs>
        <w:spacing w:line="240" w:lineRule="auto"/>
        <w:rPr>
          <w:rFonts w:eastAsia="MS Mincho"/>
          <w:iCs/>
          <w:color w:val="000000"/>
          <w:szCs w:val="22"/>
          <w:lang w:val="bg-BG" w:eastAsia="ja-JP"/>
        </w:rPr>
      </w:pPr>
    </w:p>
    <w:p w14:paraId="3E54FFBF" w14:textId="77777777" w:rsidR="009A7EFF" w:rsidRPr="00FE6AC6" w:rsidRDefault="00A83B63" w:rsidP="0063575E">
      <w:pPr>
        <w:widowControl w:val="0"/>
        <w:tabs>
          <w:tab w:val="clear" w:pos="567"/>
        </w:tabs>
        <w:spacing w:line="240" w:lineRule="auto"/>
        <w:rPr>
          <w:rFonts w:eastAsia="MS Mincho"/>
          <w:iCs/>
          <w:color w:val="000000"/>
          <w:szCs w:val="22"/>
          <w:lang w:val="bg-BG" w:eastAsia="ja-JP"/>
        </w:rPr>
      </w:pPr>
      <w:r w:rsidRPr="00FE6AC6">
        <w:rPr>
          <w:rFonts w:eastAsia="MS Mincho"/>
          <w:iCs/>
          <w:color w:val="000000"/>
          <w:szCs w:val="22"/>
          <w:lang w:val="bg-BG" w:eastAsia="ja-JP"/>
        </w:rPr>
        <w:t xml:space="preserve">В допълнение, тридесет и шест (36) месечното лечение с </w:t>
      </w:r>
      <w:r w:rsidRPr="00FE6AC6">
        <w:rPr>
          <w:rFonts w:eastAsia="MS Mincho"/>
          <w:iCs/>
          <w:color w:val="000000"/>
          <w:szCs w:val="22"/>
          <w:lang w:val="en-US" w:eastAsia="ja-JP"/>
        </w:rPr>
        <w:t>Glivec</w:t>
      </w:r>
      <w:r w:rsidRPr="00FE6AC6">
        <w:rPr>
          <w:rFonts w:eastAsia="MS Mincho"/>
          <w:iCs/>
          <w:color w:val="000000"/>
          <w:szCs w:val="22"/>
          <w:lang w:val="bg-BG" w:eastAsia="ja-JP"/>
        </w:rPr>
        <w:t xml:space="preserve"> значимо удължава общата преживяемост (ОП) спрямо 12 месечното лечение с (</w:t>
      </w:r>
      <w:r w:rsidRPr="00FE6AC6">
        <w:rPr>
          <w:rFonts w:eastAsia="MS Mincho"/>
          <w:iCs/>
          <w:color w:val="000000"/>
          <w:szCs w:val="22"/>
          <w:lang w:val="en-US" w:eastAsia="ja-JP"/>
        </w:rPr>
        <w:t>HR</w:t>
      </w:r>
      <w:r w:rsidRPr="00FE6AC6">
        <w:rPr>
          <w:rFonts w:eastAsia="MS Mincho"/>
          <w:iCs/>
          <w:color w:val="000000"/>
          <w:szCs w:val="22"/>
          <w:lang w:val="bg-BG" w:eastAsia="ja-JP"/>
        </w:rPr>
        <w:t xml:space="preserve"> = 0,45 [0,22, 0,89], </w:t>
      </w:r>
      <w:r w:rsidRPr="00FE6AC6">
        <w:rPr>
          <w:rFonts w:eastAsia="MS Mincho"/>
          <w:iCs/>
          <w:color w:val="000000"/>
          <w:szCs w:val="22"/>
          <w:lang w:val="en-US" w:eastAsia="ja-JP"/>
        </w:rPr>
        <w:t>p</w:t>
      </w:r>
      <w:r w:rsidRPr="00FE6AC6">
        <w:rPr>
          <w:rFonts w:eastAsia="MS Mincho"/>
          <w:iCs/>
          <w:color w:val="000000"/>
          <w:szCs w:val="22"/>
          <w:lang w:val="bg-BG" w:eastAsia="ja-JP"/>
        </w:rPr>
        <w:t>=0,0187) (Таблица</w:t>
      </w:r>
      <w:r w:rsidRPr="00FE6AC6">
        <w:rPr>
          <w:rFonts w:eastAsia="MS Mincho"/>
          <w:color w:val="000000"/>
          <w:szCs w:val="22"/>
          <w:lang w:val="en-US" w:eastAsia="ja-JP"/>
        </w:rPr>
        <w:t> </w:t>
      </w:r>
      <w:r w:rsidR="008C64DA" w:rsidRPr="00FE6AC6">
        <w:rPr>
          <w:rFonts w:eastAsia="MS Mincho"/>
          <w:color w:val="000000"/>
          <w:szCs w:val="22"/>
          <w:lang w:val="bg-BG" w:eastAsia="ja-JP"/>
        </w:rPr>
        <w:t>8</w:t>
      </w:r>
      <w:r w:rsidRPr="00FE6AC6">
        <w:rPr>
          <w:rFonts w:eastAsia="MS Mincho"/>
          <w:iCs/>
          <w:color w:val="000000"/>
          <w:szCs w:val="22"/>
          <w:lang w:val="bg-BG" w:eastAsia="ja-JP"/>
        </w:rPr>
        <w:t>, Фигура</w:t>
      </w:r>
      <w:r w:rsidRPr="00FE6AC6">
        <w:rPr>
          <w:rFonts w:eastAsia="MS Mincho"/>
          <w:iCs/>
          <w:color w:val="000000"/>
          <w:szCs w:val="22"/>
          <w:lang w:val="en-US" w:eastAsia="ja-JP"/>
        </w:rPr>
        <w:t> </w:t>
      </w:r>
      <w:r w:rsidRPr="00FE6AC6">
        <w:rPr>
          <w:rFonts w:eastAsia="MS Mincho"/>
          <w:iCs/>
          <w:color w:val="000000"/>
          <w:szCs w:val="22"/>
          <w:lang w:val="bg-BG" w:eastAsia="ja-JP"/>
        </w:rPr>
        <w:t>2).</w:t>
      </w:r>
    </w:p>
    <w:p w14:paraId="3E54FFC0" w14:textId="77777777" w:rsidR="009A7EFF" w:rsidRPr="00FE6AC6" w:rsidRDefault="009A7EFF" w:rsidP="0063575E">
      <w:pPr>
        <w:widowControl w:val="0"/>
        <w:tabs>
          <w:tab w:val="clear" w:pos="567"/>
        </w:tabs>
        <w:spacing w:line="240" w:lineRule="auto"/>
        <w:rPr>
          <w:rFonts w:eastAsia="MS Mincho"/>
          <w:iCs/>
          <w:color w:val="000000"/>
          <w:szCs w:val="22"/>
          <w:lang w:val="bg-BG" w:eastAsia="ja-JP"/>
        </w:rPr>
      </w:pPr>
    </w:p>
    <w:p w14:paraId="3E54FFC1" w14:textId="77777777" w:rsidR="00A715FF" w:rsidRPr="00FE6AC6" w:rsidRDefault="00D84CC3" w:rsidP="0063575E">
      <w:pPr>
        <w:widowControl w:val="0"/>
        <w:spacing w:line="240" w:lineRule="auto"/>
        <w:rPr>
          <w:rFonts w:eastAsia="MS Mincho"/>
          <w:szCs w:val="22"/>
          <w:lang w:val="bg-BG" w:eastAsia="ja-JP"/>
        </w:rPr>
      </w:pPr>
      <w:r w:rsidRPr="00FE6AC6">
        <w:rPr>
          <w:rFonts w:eastAsia="MS Mincho"/>
          <w:szCs w:val="22"/>
          <w:lang w:val="bg-BG" w:eastAsia="ja-JP"/>
        </w:rPr>
        <w:t xml:space="preserve">По-продължителното лечение </w:t>
      </w:r>
      <w:r w:rsidR="00A715FF" w:rsidRPr="00FE6AC6">
        <w:rPr>
          <w:rFonts w:eastAsia="MS Mincho"/>
          <w:szCs w:val="22"/>
          <w:lang w:val="bg-BG" w:eastAsia="ja-JP"/>
        </w:rPr>
        <w:t>(&gt;36</w:t>
      </w:r>
      <w:r w:rsidR="00A715FF" w:rsidRPr="00FE6AC6">
        <w:rPr>
          <w:rFonts w:eastAsia="MS Mincho"/>
          <w:szCs w:val="22"/>
          <w:lang w:eastAsia="ja-JP"/>
        </w:rPr>
        <w:t> </w:t>
      </w:r>
      <w:r w:rsidRPr="00FE6AC6">
        <w:rPr>
          <w:rFonts w:eastAsia="MS Mincho"/>
          <w:szCs w:val="22"/>
          <w:lang w:val="bg-BG" w:eastAsia="ja-JP"/>
        </w:rPr>
        <w:t>месеца</w:t>
      </w:r>
      <w:r w:rsidR="00A715FF" w:rsidRPr="00FE6AC6">
        <w:rPr>
          <w:rFonts w:eastAsia="MS Mincho"/>
          <w:szCs w:val="22"/>
          <w:lang w:val="bg-BG" w:eastAsia="ja-JP"/>
        </w:rPr>
        <w:t>)</w:t>
      </w:r>
      <w:r w:rsidRPr="00FE6AC6">
        <w:rPr>
          <w:rFonts w:eastAsia="MS Mincho"/>
          <w:szCs w:val="22"/>
          <w:lang w:val="bg-BG" w:eastAsia="ja-JP"/>
        </w:rPr>
        <w:t xml:space="preserve"> може да забави появата на по-нататъшен рецидив</w:t>
      </w:r>
      <w:r w:rsidR="00A715FF" w:rsidRPr="00FE6AC6">
        <w:rPr>
          <w:rFonts w:eastAsia="MS Mincho"/>
          <w:szCs w:val="22"/>
          <w:lang w:val="bg-BG" w:eastAsia="ja-JP"/>
        </w:rPr>
        <w:t xml:space="preserve">; </w:t>
      </w:r>
      <w:r w:rsidRPr="00FE6AC6">
        <w:rPr>
          <w:rFonts w:eastAsia="MS Mincho"/>
          <w:szCs w:val="22"/>
          <w:lang w:val="bg-BG" w:eastAsia="ja-JP"/>
        </w:rPr>
        <w:t>въпреки че влиянието на този факт върху общата преживяемост остава неясно</w:t>
      </w:r>
      <w:r w:rsidR="0028326A" w:rsidRPr="00FE6AC6">
        <w:rPr>
          <w:rFonts w:eastAsia="MS Mincho"/>
          <w:szCs w:val="22"/>
          <w:lang w:val="bg-BG" w:eastAsia="ja-JP"/>
        </w:rPr>
        <w:t>.</w:t>
      </w:r>
    </w:p>
    <w:p w14:paraId="3E54FFC2" w14:textId="77777777" w:rsidR="00A715FF" w:rsidRPr="00FE6AC6" w:rsidRDefault="00A715FF" w:rsidP="0063575E">
      <w:pPr>
        <w:widowControl w:val="0"/>
        <w:tabs>
          <w:tab w:val="clear" w:pos="567"/>
        </w:tabs>
        <w:spacing w:line="240" w:lineRule="auto"/>
        <w:rPr>
          <w:rFonts w:eastAsia="MS Mincho"/>
          <w:iCs/>
          <w:color w:val="000000"/>
          <w:szCs w:val="22"/>
          <w:lang w:val="bg-BG" w:eastAsia="ja-JP"/>
        </w:rPr>
      </w:pPr>
    </w:p>
    <w:p w14:paraId="3E54FFC3" w14:textId="77777777" w:rsidR="00A83B63" w:rsidRPr="00FE6AC6" w:rsidRDefault="00A83B63" w:rsidP="0063575E">
      <w:pPr>
        <w:widowControl w:val="0"/>
        <w:tabs>
          <w:tab w:val="clear" w:pos="567"/>
        </w:tabs>
        <w:spacing w:line="240" w:lineRule="auto"/>
        <w:rPr>
          <w:rFonts w:eastAsia="MS Mincho"/>
          <w:iCs/>
          <w:color w:val="000000"/>
          <w:szCs w:val="22"/>
          <w:lang w:val="bg-BG" w:eastAsia="ja-JP"/>
        </w:rPr>
      </w:pPr>
      <w:r w:rsidRPr="00FE6AC6">
        <w:rPr>
          <w:rFonts w:eastAsia="MS Mincho"/>
          <w:iCs/>
          <w:color w:val="000000"/>
          <w:szCs w:val="22"/>
          <w:lang w:val="bg-BG" w:eastAsia="ja-JP"/>
        </w:rPr>
        <w:t>Общият брой смъртни случаи е бил 25 в 12-месечното и 12 в 36-месечното терапевтично рамо.</w:t>
      </w:r>
    </w:p>
    <w:p w14:paraId="3E54FFC4" w14:textId="77777777" w:rsidR="00A715FF" w:rsidRPr="00FE6AC6" w:rsidRDefault="00A715FF" w:rsidP="0063575E">
      <w:pPr>
        <w:widowControl w:val="0"/>
        <w:tabs>
          <w:tab w:val="clear" w:pos="567"/>
        </w:tabs>
        <w:spacing w:line="240" w:lineRule="auto"/>
        <w:rPr>
          <w:rFonts w:eastAsia="MS Mincho"/>
          <w:iCs/>
          <w:szCs w:val="22"/>
          <w:lang w:val="bg-BG" w:eastAsia="ja-JP"/>
        </w:rPr>
      </w:pPr>
    </w:p>
    <w:p w14:paraId="3E54FFC5" w14:textId="77777777" w:rsidR="00A715FF" w:rsidRPr="00FE6AC6" w:rsidRDefault="00DA7A2F" w:rsidP="0063575E">
      <w:pPr>
        <w:widowControl w:val="0"/>
        <w:tabs>
          <w:tab w:val="clear" w:pos="567"/>
        </w:tabs>
        <w:spacing w:line="240" w:lineRule="auto"/>
        <w:rPr>
          <w:rFonts w:eastAsia="MS Mincho"/>
          <w:iCs/>
          <w:szCs w:val="22"/>
          <w:lang w:val="bg-BG" w:eastAsia="ja-JP"/>
        </w:rPr>
      </w:pPr>
      <w:r w:rsidRPr="00FE6AC6">
        <w:rPr>
          <w:rFonts w:eastAsia="MS Mincho"/>
          <w:iCs/>
          <w:szCs w:val="22"/>
          <w:lang w:val="bg-BG" w:eastAsia="ja-JP"/>
        </w:rPr>
        <w:t xml:space="preserve">Лечението с иматиниб в продължение на 36 месеца превъзхожда 12-месечното лечение при анализ на на </w:t>
      </w:r>
      <w:r w:rsidRPr="00FE6AC6">
        <w:rPr>
          <w:rFonts w:eastAsia="MS Mincho"/>
          <w:iCs/>
          <w:szCs w:val="22"/>
          <w:lang w:val="en-US" w:eastAsia="ja-JP"/>
        </w:rPr>
        <w:t>ITT</w:t>
      </w:r>
      <w:r w:rsidRPr="00FE6AC6">
        <w:rPr>
          <w:rFonts w:eastAsia="MS Mincho"/>
          <w:iCs/>
          <w:szCs w:val="22"/>
          <w:lang w:val="bg-BG" w:eastAsia="ja-JP"/>
        </w:rPr>
        <w:t xml:space="preserve"> популацията, т.е. включващ цялата популация от проучването</w:t>
      </w:r>
      <w:r w:rsidR="00A715FF" w:rsidRPr="00FE6AC6">
        <w:rPr>
          <w:rFonts w:eastAsia="MS Mincho"/>
          <w:iCs/>
          <w:szCs w:val="22"/>
          <w:lang w:val="bg-BG" w:eastAsia="ja-JP"/>
        </w:rPr>
        <w:t xml:space="preserve">. </w:t>
      </w:r>
      <w:r w:rsidR="00B96977" w:rsidRPr="00FE6AC6">
        <w:rPr>
          <w:rFonts w:eastAsia="MS Mincho"/>
          <w:iCs/>
          <w:szCs w:val="22"/>
          <w:lang w:val="bg-BG" w:eastAsia="ja-JP"/>
        </w:rPr>
        <w:t>В планиран подгрупов анализ въз основа на вида на мутацията</w:t>
      </w:r>
      <w:r w:rsidR="00F46C8E" w:rsidRPr="00FE6AC6">
        <w:rPr>
          <w:rFonts w:eastAsia="MS Mincho"/>
          <w:iCs/>
          <w:szCs w:val="22"/>
          <w:lang w:val="bg-BG" w:eastAsia="ja-JP"/>
        </w:rPr>
        <w:t>,</w:t>
      </w:r>
      <w:r w:rsidR="00B96977" w:rsidRPr="00FE6AC6">
        <w:rPr>
          <w:rFonts w:eastAsia="MS Mincho"/>
          <w:iCs/>
          <w:szCs w:val="22"/>
          <w:lang w:val="bg-BG" w:eastAsia="ja-JP"/>
        </w:rPr>
        <w:t xml:space="preserve"> коефициент</w:t>
      </w:r>
      <w:r w:rsidR="004816DD" w:rsidRPr="00FE6AC6">
        <w:rPr>
          <w:rFonts w:eastAsia="MS Mincho"/>
          <w:iCs/>
          <w:szCs w:val="22"/>
          <w:lang w:val="bg-BG" w:eastAsia="ja-JP"/>
        </w:rPr>
        <w:t>ът на</w:t>
      </w:r>
      <w:r w:rsidR="00B96977" w:rsidRPr="00FE6AC6">
        <w:rPr>
          <w:rFonts w:eastAsia="MS Mincho"/>
          <w:iCs/>
          <w:szCs w:val="22"/>
          <w:lang w:val="bg-BG" w:eastAsia="ja-JP"/>
        </w:rPr>
        <w:t xml:space="preserve"> </w:t>
      </w:r>
      <w:r w:rsidR="004816DD" w:rsidRPr="00FE6AC6">
        <w:rPr>
          <w:rFonts w:eastAsia="MS Mincho"/>
          <w:iCs/>
          <w:szCs w:val="22"/>
          <w:lang w:val="bg-BG" w:eastAsia="ja-JP"/>
        </w:rPr>
        <w:t xml:space="preserve">риск </w:t>
      </w:r>
      <w:r w:rsidR="00B96977" w:rsidRPr="00FE6AC6">
        <w:rPr>
          <w:rFonts w:eastAsia="MS Mincho"/>
          <w:iCs/>
          <w:szCs w:val="22"/>
          <w:lang w:val="bg-BG" w:eastAsia="ja-JP"/>
        </w:rPr>
        <w:t>(</w:t>
      </w:r>
      <w:r w:rsidR="00A715FF" w:rsidRPr="00FE6AC6">
        <w:rPr>
          <w:rFonts w:eastAsia="MS Mincho"/>
          <w:iCs/>
          <w:szCs w:val="22"/>
          <w:lang w:val="en-US" w:eastAsia="ja-JP"/>
        </w:rPr>
        <w:t>HR</w:t>
      </w:r>
      <w:r w:rsidR="00B96977" w:rsidRPr="00FE6AC6">
        <w:rPr>
          <w:rFonts w:eastAsia="MS Mincho"/>
          <w:iCs/>
          <w:szCs w:val="22"/>
          <w:lang w:val="bg-BG" w:eastAsia="ja-JP"/>
        </w:rPr>
        <w:t xml:space="preserve">) за преживяемост без рецидив (ПБР) по време на 36-месечното лечение при пациенти с мутация в екзон </w:t>
      </w:r>
      <w:r w:rsidR="00A715FF" w:rsidRPr="00FE6AC6">
        <w:rPr>
          <w:rFonts w:eastAsia="MS Mincho"/>
          <w:iCs/>
          <w:szCs w:val="22"/>
          <w:lang w:val="bg-BG" w:eastAsia="ja-JP"/>
        </w:rPr>
        <w:t xml:space="preserve">11 </w:t>
      </w:r>
      <w:r w:rsidR="00B96977" w:rsidRPr="00FE6AC6">
        <w:rPr>
          <w:rFonts w:eastAsia="MS Mincho"/>
          <w:iCs/>
          <w:szCs w:val="22"/>
          <w:lang w:val="bg-BG" w:eastAsia="ja-JP"/>
        </w:rPr>
        <w:t xml:space="preserve">е бил </w:t>
      </w:r>
      <w:r w:rsidR="00A715FF" w:rsidRPr="00FE6AC6">
        <w:rPr>
          <w:rFonts w:eastAsia="MS Mincho"/>
          <w:iCs/>
          <w:szCs w:val="22"/>
          <w:lang w:val="bg-BG" w:eastAsia="ja-JP"/>
        </w:rPr>
        <w:t>0</w:t>
      </w:r>
      <w:r w:rsidR="00B96977" w:rsidRPr="00FE6AC6">
        <w:rPr>
          <w:rFonts w:eastAsia="MS Mincho"/>
          <w:iCs/>
          <w:szCs w:val="22"/>
          <w:lang w:val="bg-BG" w:eastAsia="ja-JP"/>
        </w:rPr>
        <w:t>,</w:t>
      </w:r>
      <w:r w:rsidR="00A715FF" w:rsidRPr="00FE6AC6">
        <w:rPr>
          <w:rFonts w:eastAsia="MS Mincho"/>
          <w:iCs/>
          <w:szCs w:val="22"/>
          <w:lang w:val="bg-BG" w:eastAsia="ja-JP"/>
        </w:rPr>
        <w:t xml:space="preserve">35 [95% </w:t>
      </w:r>
      <w:r w:rsidR="00B33277" w:rsidRPr="00FE6AC6">
        <w:rPr>
          <w:rFonts w:eastAsia="MS Mincho"/>
          <w:iCs/>
          <w:szCs w:val="22"/>
          <w:lang w:val="en-US" w:eastAsia="ja-JP"/>
        </w:rPr>
        <w:t>CI</w:t>
      </w:r>
      <w:r w:rsidR="00A715FF" w:rsidRPr="00FE6AC6">
        <w:rPr>
          <w:rFonts w:eastAsia="MS Mincho"/>
          <w:iCs/>
          <w:szCs w:val="22"/>
          <w:lang w:val="bg-BG" w:eastAsia="ja-JP"/>
        </w:rPr>
        <w:t>: 0</w:t>
      </w:r>
      <w:r w:rsidR="00B96977" w:rsidRPr="00FE6AC6">
        <w:rPr>
          <w:rFonts w:eastAsia="MS Mincho"/>
          <w:iCs/>
          <w:szCs w:val="22"/>
          <w:lang w:val="bg-BG" w:eastAsia="ja-JP"/>
        </w:rPr>
        <w:t>,</w:t>
      </w:r>
      <w:r w:rsidR="00A715FF" w:rsidRPr="00FE6AC6">
        <w:rPr>
          <w:rFonts w:eastAsia="MS Mincho"/>
          <w:iCs/>
          <w:szCs w:val="22"/>
          <w:lang w:val="bg-BG" w:eastAsia="ja-JP"/>
        </w:rPr>
        <w:t>22, 0</w:t>
      </w:r>
      <w:r w:rsidR="00B96977" w:rsidRPr="00FE6AC6">
        <w:rPr>
          <w:rFonts w:eastAsia="MS Mincho"/>
          <w:iCs/>
          <w:szCs w:val="22"/>
          <w:lang w:val="bg-BG" w:eastAsia="ja-JP"/>
        </w:rPr>
        <w:t>,</w:t>
      </w:r>
      <w:r w:rsidR="00A715FF" w:rsidRPr="00FE6AC6">
        <w:rPr>
          <w:rFonts w:eastAsia="MS Mincho"/>
          <w:iCs/>
          <w:szCs w:val="22"/>
          <w:lang w:val="bg-BG" w:eastAsia="ja-JP"/>
        </w:rPr>
        <w:t xml:space="preserve">56]. </w:t>
      </w:r>
      <w:r w:rsidR="00887494" w:rsidRPr="00FE6AC6">
        <w:rPr>
          <w:rFonts w:eastAsia="MS Mincho"/>
          <w:iCs/>
          <w:szCs w:val="22"/>
          <w:lang w:val="bg-BG" w:eastAsia="ja-JP"/>
        </w:rPr>
        <w:t xml:space="preserve">Не могат да бъдат направени изводи </w:t>
      </w:r>
      <w:r w:rsidR="00BE1FF6" w:rsidRPr="00FE6AC6">
        <w:rPr>
          <w:rFonts w:eastAsia="MS Mincho"/>
          <w:iCs/>
          <w:szCs w:val="22"/>
          <w:lang w:val="bg-BG" w:eastAsia="ja-JP"/>
        </w:rPr>
        <w:t xml:space="preserve">по отношение на </w:t>
      </w:r>
      <w:r w:rsidR="00887494" w:rsidRPr="00FE6AC6">
        <w:rPr>
          <w:rFonts w:eastAsia="MS Mincho"/>
          <w:iCs/>
          <w:szCs w:val="22"/>
          <w:lang w:val="bg-BG" w:eastAsia="ja-JP"/>
        </w:rPr>
        <w:t>другите по-рядко срещани групи мутации поради малкия брой наблюдавани събития</w:t>
      </w:r>
      <w:r w:rsidR="00A715FF" w:rsidRPr="00FE6AC6">
        <w:rPr>
          <w:rFonts w:eastAsia="MS Mincho"/>
          <w:iCs/>
          <w:szCs w:val="22"/>
          <w:lang w:val="bg-BG" w:eastAsia="ja-JP"/>
        </w:rPr>
        <w:t>.</w:t>
      </w:r>
    </w:p>
    <w:p w14:paraId="3E54FFC6" w14:textId="77777777" w:rsidR="00A83B63" w:rsidRPr="00FE6AC6" w:rsidRDefault="00A83B63" w:rsidP="0063575E">
      <w:pPr>
        <w:widowControl w:val="0"/>
        <w:tabs>
          <w:tab w:val="clear" w:pos="567"/>
        </w:tabs>
        <w:spacing w:line="240" w:lineRule="auto"/>
        <w:rPr>
          <w:rFonts w:eastAsia="MS Mincho"/>
          <w:iCs/>
          <w:szCs w:val="22"/>
          <w:lang w:val="bg-BG" w:eastAsia="ja-JP"/>
        </w:rPr>
      </w:pPr>
    </w:p>
    <w:p w14:paraId="3E54FFC7" w14:textId="77777777" w:rsidR="00A83B63" w:rsidRPr="00FE6AC6" w:rsidRDefault="00A83B63" w:rsidP="008143B1">
      <w:pPr>
        <w:keepNext/>
        <w:widowControl w:val="0"/>
        <w:tabs>
          <w:tab w:val="clear" w:pos="567"/>
        </w:tabs>
        <w:spacing w:line="240" w:lineRule="auto"/>
        <w:ind w:left="1134" w:hanging="1134"/>
        <w:rPr>
          <w:rFonts w:eastAsia="MS Mincho"/>
          <w:b/>
          <w:szCs w:val="22"/>
          <w:lang w:val="bg-BG" w:eastAsia="ja-JP"/>
        </w:rPr>
      </w:pPr>
      <w:r w:rsidRPr="00FE6AC6">
        <w:rPr>
          <w:rFonts w:eastAsia="MS Mincho"/>
          <w:b/>
          <w:szCs w:val="22"/>
          <w:lang w:val="bg-BG"/>
        </w:rPr>
        <w:t>Таблица</w:t>
      </w:r>
      <w:r w:rsidRPr="00FE6AC6">
        <w:rPr>
          <w:rFonts w:eastAsia="MS Mincho"/>
          <w:b/>
          <w:szCs w:val="22"/>
          <w:lang w:val="en-US"/>
        </w:rPr>
        <w:t> </w:t>
      </w:r>
      <w:r w:rsidR="008C64DA" w:rsidRPr="00FE6AC6">
        <w:rPr>
          <w:rFonts w:eastAsia="MS Mincho"/>
          <w:b/>
          <w:szCs w:val="22"/>
          <w:lang w:val="bg-BG"/>
        </w:rPr>
        <w:t>8</w:t>
      </w:r>
      <w:r w:rsidRPr="00FE6AC6">
        <w:rPr>
          <w:rFonts w:eastAsia="MS Mincho"/>
          <w:szCs w:val="22"/>
          <w:lang w:val="bg-BG"/>
        </w:rPr>
        <w:tab/>
      </w:r>
      <w:r w:rsidRPr="00FE6AC6">
        <w:rPr>
          <w:rFonts w:eastAsia="MS Mincho"/>
          <w:b/>
          <w:szCs w:val="22"/>
          <w:lang w:val="bg-BG" w:eastAsia="ja-JP"/>
        </w:rPr>
        <w:t xml:space="preserve">12-месечно и 36-месечно лечение с </w:t>
      </w:r>
      <w:r w:rsidRPr="00FE6AC6">
        <w:rPr>
          <w:rFonts w:eastAsia="MS Mincho"/>
          <w:b/>
          <w:szCs w:val="22"/>
          <w:lang w:eastAsia="ja-JP"/>
        </w:rPr>
        <w:t>Glivec</w:t>
      </w:r>
      <w:r w:rsidRPr="00FE6AC6">
        <w:rPr>
          <w:rFonts w:eastAsia="MS Mincho"/>
          <w:b/>
          <w:szCs w:val="22"/>
          <w:lang w:val="bg-BG" w:eastAsia="ja-JP"/>
        </w:rPr>
        <w:t xml:space="preserve"> (Изпитване </w:t>
      </w:r>
      <w:r w:rsidRPr="00FE6AC6">
        <w:rPr>
          <w:rFonts w:eastAsia="MS Mincho"/>
          <w:b/>
          <w:szCs w:val="22"/>
          <w:lang w:eastAsia="ja-JP"/>
        </w:rPr>
        <w:t>SSGXVIII</w:t>
      </w:r>
      <w:r w:rsidRPr="00FE6AC6">
        <w:rPr>
          <w:rFonts w:eastAsia="MS Mincho"/>
          <w:b/>
          <w:szCs w:val="22"/>
          <w:lang w:val="bg-BG" w:eastAsia="ja-JP"/>
        </w:rPr>
        <w:t>/</w:t>
      </w:r>
      <w:r w:rsidRPr="00FE6AC6">
        <w:rPr>
          <w:rFonts w:eastAsia="MS Mincho"/>
          <w:b/>
          <w:szCs w:val="22"/>
          <w:lang w:eastAsia="ja-JP"/>
        </w:rPr>
        <w:t>AIO</w:t>
      </w:r>
      <w:r w:rsidRPr="00FE6AC6">
        <w:rPr>
          <w:rFonts w:eastAsia="MS Mincho"/>
          <w:b/>
          <w:szCs w:val="22"/>
          <w:lang w:val="bg-BG" w:eastAsia="ja-JP"/>
        </w:rPr>
        <w:t>)</w:t>
      </w:r>
    </w:p>
    <w:p w14:paraId="3E54FFC8" w14:textId="77777777" w:rsidR="00A83B63" w:rsidRPr="00FE6AC6" w:rsidRDefault="00A83B63" w:rsidP="008143B1">
      <w:pPr>
        <w:keepNext/>
        <w:widowControl w:val="0"/>
        <w:tabs>
          <w:tab w:val="clear" w:pos="567"/>
        </w:tabs>
        <w:spacing w:line="240" w:lineRule="auto"/>
        <w:rPr>
          <w:rFonts w:eastAsia="MS Mincho"/>
          <w:szCs w:val="22"/>
          <w:lang w:val="bg-BG"/>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A83B63" w:rsidRPr="00FE6AC6" w14:paraId="3E54FFCC" w14:textId="77777777" w:rsidTr="008143B1">
        <w:trPr>
          <w:cantSplit/>
        </w:trPr>
        <w:tc>
          <w:tcPr>
            <w:tcW w:w="3099" w:type="dxa"/>
            <w:tcBorders>
              <w:top w:val="single" w:sz="4" w:space="0" w:color="auto"/>
              <w:bottom w:val="nil"/>
            </w:tcBorders>
            <w:shd w:val="clear" w:color="auto" w:fill="auto"/>
          </w:tcPr>
          <w:p w14:paraId="3E54FFC9" w14:textId="77777777" w:rsidR="00A83B63" w:rsidRPr="00FE6AC6" w:rsidRDefault="00A83B63" w:rsidP="008143B1">
            <w:pPr>
              <w:keepNext/>
              <w:widowControl w:val="0"/>
              <w:tabs>
                <w:tab w:val="clear" w:pos="567"/>
                <w:tab w:val="left" w:pos="284"/>
              </w:tabs>
              <w:spacing w:line="240" w:lineRule="auto"/>
              <w:rPr>
                <w:rFonts w:eastAsia="MS Mincho"/>
                <w:szCs w:val="22"/>
                <w:lang w:val="bg-BG"/>
              </w:rPr>
            </w:pPr>
          </w:p>
        </w:tc>
        <w:tc>
          <w:tcPr>
            <w:tcW w:w="3100" w:type="dxa"/>
            <w:tcBorders>
              <w:top w:val="single" w:sz="4" w:space="0" w:color="auto"/>
              <w:bottom w:val="nil"/>
            </w:tcBorders>
            <w:shd w:val="clear" w:color="auto" w:fill="auto"/>
          </w:tcPr>
          <w:p w14:paraId="3E54FFCA" w14:textId="77777777" w:rsidR="00A83B63" w:rsidRPr="00FE6AC6" w:rsidRDefault="00A83B63" w:rsidP="008143B1">
            <w:pPr>
              <w:keepNext/>
              <w:widowControl w:val="0"/>
              <w:tabs>
                <w:tab w:val="clear" w:pos="567"/>
                <w:tab w:val="left" w:pos="284"/>
              </w:tabs>
              <w:spacing w:line="240" w:lineRule="auto"/>
              <w:rPr>
                <w:rFonts w:eastAsia="MS Mincho"/>
                <w:b/>
                <w:szCs w:val="22"/>
                <w:lang w:val="en-US"/>
              </w:rPr>
            </w:pPr>
            <w:r w:rsidRPr="00FE6AC6">
              <w:rPr>
                <w:rFonts w:eastAsia="MS Mincho"/>
                <w:b/>
                <w:szCs w:val="22"/>
                <w:lang w:val="en-US"/>
              </w:rPr>
              <w:t>12-</w:t>
            </w:r>
            <w:r w:rsidRPr="00FE6AC6">
              <w:rPr>
                <w:rFonts w:eastAsia="MS Mincho"/>
                <w:b/>
                <w:szCs w:val="22"/>
                <w:lang w:val="bg-BG"/>
              </w:rPr>
              <w:t>месечно терапевтично рамо</w:t>
            </w:r>
          </w:p>
        </w:tc>
        <w:tc>
          <w:tcPr>
            <w:tcW w:w="3100" w:type="dxa"/>
            <w:tcBorders>
              <w:top w:val="single" w:sz="4" w:space="0" w:color="auto"/>
              <w:bottom w:val="nil"/>
            </w:tcBorders>
            <w:shd w:val="clear" w:color="auto" w:fill="auto"/>
          </w:tcPr>
          <w:p w14:paraId="3E54FFCB" w14:textId="77777777" w:rsidR="00A83B63" w:rsidRPr="00FE6AC6" w:rsidRDefault="00A83B63" w:rsidP="008143B1">
            <w:pPr>
              <w:keepNext/>
              <w:widowControl w:val="0"/>
              <w:tabs>
                <w:tab w:val="clear" w:pos="567"/>
                <w:tab w:val="left" w:pos="284"/>
              </w:tabs>
              <w:spacing w:line="240" w:lineRule="auto"/>
              <w:rPr>
                <w:rFonts w:eastAsia="MS Mincho"/>
                <w:b/>
                <w:szCs w:val="22"/>
                <w:lang w:val="en-US"/>
              </w:rPr>
            </w:pPr>
            <w:r w:rsidRPr="00FE6AC6">
              <w:rPr>
                <w:rFonts w:eastAsia="MS Mincho"/>
                <w:b/>
                <w:szCs w:val="22"/>
                <w:lang w:val="en-US"/>
              </w:rPr>
              <w:t>36-</w:t>
            </w:r>
            <w:r w:rsidRPr="00FE6AC6">
              <w:rPr>
                <w:rFonts w:eastAsia="MS Mincho"/>
                <w:b/>
                <w:szCs w:val="22"/>
                <w:lang w:val="bg-BG"/>
              </w:rPr>
              <w:t>месечно терапевтично рамо</w:t>
            </w:r>
          </w:p>
        </w:tc>
      </w:tr>
      <w:tr w:rsidR="00A83B63" w:rsidRPr="00FE6AC6" w14:paraId="3E54FFD0" w14:textId="77777777" w:rsidTr="008143B1">
        <w:trPr>
          <w:cantSplit/>
        </w:trPr>
        <w:tc>
          <w:tcPr>
            <w:tcW w:w="3099" w:type="dxa"/>
            <w:tcBorders>
              <w:top w:val="nil"/>
            </w:tcBorders>
            <w:shd w:val="clear" w:color="auto" w:fill="auto"/>
          </w:tcPr>
          <w:p w14:paraId="3E54FFCD" w14:textId="77777777" w:rsidR="00A83B63" w:rsidRPr="00FE6AC6" w:rsidRDefault="00A83B63" w:rsidP="008143B1">
            <w:pPr>
              <w:keepNext/>
              <w:widowControl w:val="0"/>
              <w:tabs>
                <w:tab w:val="clear" w:pos="567"/>
                <w:tab w:val="left" w:pos="284"/>
              </w:tabs>
              <w:spacing w:line="240" w:lineRule="auto"/>
              <w:rPr>
                <w:rFonts w:eastAsia="MS Mincho"/>
                <w:b/>
                <w:szCs w:val="22"/>
                <w:lang w:val="en-US"/>
              </w:rPr>
            </w:pPr>
            <w:r w:rsidRPr="00FE6AC6">
              <w:rPr>
                <w:rFonts w:eastAsia="MS Mincho"/>
                <w:b/>
                <w:szCs w:val="22"/>
                <w:lang w:val="bg-BG"/>
              </w:rPr>
              <w:t>ПБР</w:t>
            </w:r>
          </w:p>
        </w:tc>
        <w:tc>
          <w:tcPr>
            <w:tcW w:w="3100" w:type="dxa"/>
            <w:tcBorders>
              <w:top w:val="nil"/>
            </w:tcBorders>
            <w:shd w:val="clear" w:color="auto" w:fill="auto"/>
          </w:tcPr>
          <w:p w14:paraId="3E54FFCE" w14:textId="77777777" w:rsidR="00A83B63" w:rsidRPr="00FE6AC6" w:rsidRDefault="00A83B63" w:rsidP="008143B1">
            <w:pPr>
              <w:keepNext/>
              <w:widowControl w:val="0"/>
              <w:tabs>
                <w:tab w:val="clear" w:pos="567"/>
                <w:tab w:val="left" w:pos="284"/>
              </w:tabs>
              <w:spacing w:line="240" w:lineRule="auto"/>
              <w:rPr>
                <w:rFonts w:eastAsia="MS Mincho"/>
                <w:b/>
                <w:szCs w:val="22"/>
                <w:lang w:val="en-US"/>
              </w:rPr>
            </w:pPr>
            <w:r w:rsidRPr="00FE6AC6">
              <w:rPr>
                <w:rFonts w:eastAsia="MS Mincho"/>
                <w:b/>
                <w:szCs w:val="22"/>
                <w:lang w:val="en-US"/>
              </w:rPr>
              <w:t>%</w:t>
            </w:r>
            <w:r w:rsidR="00B33277" w:rsidRPr="00FE6AC6">
              <w:rPr>
                <w:rFonts w:eastAsia="MS Mincho"/>
                <w:b/>
                <w:szCs w:val="22"/>
                <w:lang w:val="en-US"/>
              </w:rPr>
              <w:t xml:space="preserve"> </w:t>
            </w:r>
            <w:r w:rsidRPr="00FE6AC6">
              <w:rPr>
                <w:rFonts w:eastAsia="MS Mincho"/>
                <w:b/>
                <w:szCs w:val="22"/>
                <w:lang w:val="en-US"/>
              </w:rPr>
              <w:t>(</w:t>
            </w:r>
            <w:r w:rsidR="00B33277" w:rsidRPr="00FE6AC6">
              <w:rPr>
                <w:rFonts w:eastAsia="MS Mincho"/>
                <w:b/>
                <w:szCs w:val="22"/>
                <w:lang w:val="en-US"/>
              </w:rPr>
              <w:t>CI</w:t>
            </w:r>
            <w:r w:rsidRPr="00FE6AC6">
              <w:rPr>
                <w:rFonts w:eastAsia="MS Mincho"/>
                <w:b/>
                <w:szCs w:val="22"/>
                <w:lang w:val="en-US"/>
              </w:rPr>
              <w:t>)</w:t>
            </w:r>
          </w:p>
        </w:tc>
        <w:tc>
          <w:tcPr>
            <w:tcW w:w="3100" w:type="dxa"/>
            <w:tcBorders>
              <w:top w:val="nil"/>
            </w:tcBorders>
            <w:shd w:val="clear" w:color="auto" w:fill="auto"/>
          </w:tcPr>
          <w:p w14:paraId="3E54FFCF" w14:textId="77777777" w:rsidR="00A83B63" w:rsidRPr="00FE6AC6" w:rsidRDefault="00A83B63" w:rsidP="008143B1">
            <w:pPr>
              <w:keepNext/>
              <w:widowControl w:val="0"/>
              <w:tabs>
                <w:tab w:val="clear" w:pos="567"/>
                <w:tab w:val="left" w:pos="284"/>
              </w:tabs>
              <w:spacing w:line="240" w:lineRule="auto"/>
              <w:rPr>
                <w:rFonts w:eastAsia="MS Mincho"/>
                <w:b/>
                <w:szCs w:val="22"/>
                <w:lang w:val="en-US"/>
              </w:rPr>
            </w:pPr>
            <w:r w:rsidRPr="00FE6AC6">
              <w:rPr>
                <w:rFonts w:eastAsia="MS Mincho"/>
                <w:b/>
                <w:szCs w:val="22"/>
                <w:lang w:val="en-US"/>
              </w:rPr>
              <w:t>%</w:t>
            </w:r>
            <w:r w:rsidR="00B33277" w:rsidRPr="00FE6AC6">
              <w:rPr>
                <w:rFonts w:eastAsia="MS Mincho"/>
                <w:b/>
                <w:szCs w:val="22"/>
                <w:lang w:val="en-US"/>
              </w:rPr>
              <w:t xml:space="preserve"> </w:t>
            </w:r>
            <w:r w:rsidRPr="00FE6AC6">
              <w:rPr>
                <w:rFonts w:eastAsia="MS Mincho"/>
                <w:b/>
                <w:szCs w:val="22"/>
                <w:lang w:val="en-US"/>
              </w:rPr>
              <w:t>(</w:t>
            </w:r>
            <w:r w:rsidR="00B33277" w:rsidRPr="00FE6AC6">
              <w:rPr>
                <w:rFonts w:eastAsia="MS Mincho"/>
                <w:b/>
                <w:szCs w:val="22"/>
                <w:lang w:val="en-US"/>
              </w:rPr>
              <w:t>CI</w:t>
            </w:r>
            <w:r w:rsidRPr="00FE6AC6">
              <w:rPr>
                <w:rFonts w:eastAsia="MS Mincho"/>
                <w:b/>
                <w:szCs w:val="22"/>
                <w:lang w:val="en-US"/>
              </w:rPr>
              <w:t>)</w:t>
            </w:r>
          </w:p>
        </w:tc>
      </w:tr>
      <w:tr w:rsidR="00A83B63" w:rsidRPr="00FE6AC6" w14:paraId="3E54FFD4" w14:textId="77777777" w:rsidTr="008143B1">
        <w:trPr>
          <w:cantSplit/>
        </w:trPr>
        <w:tc>
          <w:tcPr>
            <w:tcW w:w="3099" w:type="dxa"/>
            <w:shd w:val="clear" w:color="auto" w:fill="auto"/>
          </w:tcPr>
          <w:p w14:paraId="3E54FFD1" w14:textId="77777777" w:rsidR="00A83B63" w:rsidRPr="00FE6AC6" w:rsidRDefault="00A83B63" w:rsidP="008143B1">
            <w:pPr>
              <w:keepNext/>
              <w:widowControl w:val="0"/>
              <w:tabs>
                <w:tab w:val="clear" w:pos="567"/>
              </w:tabs>
              <w:spacing w:line="240" w:lineRule="auto"/>
              <w:ind w:left="284"/>
              <w:rPr>
                <w:rFonts w:eastAsia="MS Mincho"/>
                <w:szCs w:val="22"/>
                <w:lang w:val="en-US"/>
              </w:rPr>
            </w:pPr>
            <w:r w:rsidRPr="00FE6AC6">
              <w:rPr>
                <w:rFonts w:eastAsia="MS Mincho"/>
                <w:szCs w:val="22"/>
                <w:lang w:val="en-US"/>
              </w:rPr>
              <w:t>12</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4FFD2"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93</w:t>
            </w:r>
            <w:r w:rsidRPr="00FE6AC6">
              <w:rPr>
                <w:rFonts w:eastAsia="MS Mincho"/>
                <w:szCs w:val="22"/>
                <w:lang w:val="bg-BG"/>
              </w:rPr>
              <w:t>,</w:t>
            </w:r>
            <w:r w:rsidRPr="00FE6AC6">
              <w:rPr>
                <w:rFonts w:eastAsia="MS Mincho"/>
                <w:szCs w:val="22"/>
                <w:lang w:val="en-US"/>
              </w:rPr>
              <w:t>7 (89</w:t>
            </w:r>
            <w:r w:rsidRPr="00FE6AC6">
              <w:rPr>
                <w:rFonts w:eastAsia="MS Mincho"/>
                <w:szCs w:val="22"/>
                <w:lang w:val="bg-BG"/>
              </w:rPr>
              <w:t>,</w:t>
            </w:r>
            <w:r w:rsidRPr="00FE6AC6">
              <w:rPr>
                <w:rFonts w:eastAsia="MS Mincho"/>
                <w:szCs w:val="22"/>
                <w:lang w:val="en-US"/>
              </w:rPr>
              <w:t>2</w:t>
            </w:r>
            <w:r w:rsidRPr="00FE6AC6">
              <w:rPr>
                <w:rFonts w:eastAsia="MS Mincho"/>
                <w:szCs w:val="22"/>
                <w:lang w:val="en-US"/>
              </w:rPr>
              <w:noBreakHyphen/>
              <w:t>96</w:t>
            </w:r>
            <w:r w:rsidRPr="00FE6AC6">
              <w:rPr>
                <w:rFonts w:eastAsia="MS Mincho"/>
                <w:szCs w:val="22"/>
                <w:lang w:val="bg-BG"/>
              </w:rPr>
              <w:t>,</w:t>
            </w:r>
            <w:r w:rsidRPr="00FE6AC6">
              <w:rPr>
                <w:rFonts w:eastAsia="MS Mincho"/>
                <w:szCs w:val="22"/>
                <w:lang w:val="en-US"/>
              </w:rPr>
              <w:t>4)</w:t>
            </w:r>
          </w:p>
        </w:tc>
        <w:tc>
          <w:tcPr>
            <w:tcW w:w="3100" w:type="dxa"/>
            <w:shd w:val="clear" w:color="auto" w:fill="auto"/>
          </w:tcPr>
          <w:p w14:paraId="3E54FFD3"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95</w:t>
            </w:r>
            <w:r w:rsidRPr="00FE6AC6">
              <w:rPr>
                <w:rFonts w:eastAsia="MS Mincho"/>
                <w:szCs w:val="22"/>
                <w:lang w:val="bg-BG"/>
              </w:rPr>
              <w:t>,</w:t>
            </w:r>
            <w:r w:rsidRPr="00FE6AC6">
              <w:rPr>
                <w:rFonts w:eastAsia="MS Mincho"/>
                <w:szCs w:val="22"/>
                <w:lang w:val="en-US"/>
              </w:rPr>
              <w:t>9 (91</w:t>
            </w:r>
            <w:r w:rsidRPr="00FE6AC6">
              <w:rPr>
                <w:rFonts w:eastAsia="MS Mincho"/>
                <w:szCs w:val="22"/>
                <w:lang w:val="bg-BG"/>
              </w:rPr>
              <w:t>,</w:t>
            </w:r>
            <w:r w:rsidRPr="00FE6AC6">
              <w:rPr>
                <w:rFonts w:eastAsia="MS Mincho"/>
                <w:szCs w:val="22"/>
                <w:lang w:val="en-US"/>
              </w:rPr>
              <w:t>9</w:t>
            </w:r>
            <w:r w:rsidRPr="00FE6AC6">
              <w:rPr>
                <w:rFonts w:eastAsia="MS Mincho"/>
                <w:szCs w:val="22"/>
                <w:lang w:val="en-US"/>
              </w:rPr>
              <w:noBreakHyphen/>
              <w:t>97</w:t>
            </w:r>
            <w:r w:rsidRPr="00FE6AC6">
              <w:rPr>
                <w:rFonts w:eastAsia="MS Mincho"/>
                <w:szCs w:val="22"/>
                <w:lang w:val="bg-BG"/>
              </w:rPr>
              <w:t>,</w:t>
            </w:r>
            <w:r w:rsidRPr="00FE6AC6">
              <w:rPr>
                <w:rFonts w:eastAsia="MS Mincho"/>
                <w:szCs w:val="22"/>
                <w:lang w:val="en-US"/>
              </w:rPr>
              <w:t>9)</w:t>
            </w:r>
          </w:p>
        </w:tc>
      </w:tr>
      <w:tr w:rsidR="00A83B63" w:rsidRPr="00FE6AC6" w14:paraId="3E54FFD8" w14:textId="77777777" w:rsidTr="008143B1">
        <w:trPr>
          <w:cantSplit/>
        </w:trPr>
        <w:tc>
          <w:tcPr>
            <w:tcW w:w="3099" w:type="dxa"/>
            <w:shd w:val="clear" w:color="auto" w:fill="auto"/>
          </w:tcPr>
          <w:p w14:paraId="3E54FFD5" w14:textId="77777777" w:rsidR="00A83B63" w:rsidRPr="00FE6AC6" w:rsidRDefault="00A83B63" w:rsidP="008143B1">
            <w:pPr>
              <w:keepNext/>
              <w:widowControl w:val="0"/>
              <w:tabs>
                <w:tab w:val="clear" w:pos="567"/>
              </w:tabs>
              <w:spacing w:line="240" w:lineRule="auto"/>
              <w:ind w:left="284"/>
              <w:rPr>
                <w:rFonts w:eastAsia="MS Mincho"/>
                <w:szCs w:val="22"/>
                <w:lang w:val="en-US"/>
              </w:rPr>
            </w:pPr>
            <w:r w:rsidRPr="00FE6AC6">
              <w:rPr>
                <w:rFonts w:eastAsia="MS Mincho"/>
                <w:szCs w:val="22"/>
                <w:lang w:val="en-US"/>
              </w:rPr>
              <w:t>24</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4FFD6"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75</w:t>
            </w:r>
            <w:r w:rsidRPr="00FE6AC6">
              <w:rPr>
                <w:rFonts w:eastAsia="MS Mincho"/>
                <w:szCs w:val="22"/>
                <w:lang w:val="bg-BG"/>
              </w:rPr>
              <w:t>,</w:t>
            </w:r>
            <w:r w:rsidRPr="00FE6AC6">
              <w:rPr>
                <w:rFonts w:eastAsia="MS Mincho"/>
                <w:szCs w:val="22"/>
                <w:lang w:val="en-US"/>
              </w:rPr>
              <w:t>4 (68</w:t>
            </w:r>
            <w:r w:rsidRPr="00FE6AC6">
              <w:rPr>
                <w:rFonts w:eastAsia="MS Mincho"/>
                <w:szCs w:val="22"/>
                <w:lang w:val="bg-BG"/>
              </w:rPr>
              <w:t>,</w:t>
            </w:r>
            <w:r w:rsidRPr="00FE6AC6">
              <w:rPr>
                <w:rFonts w:eastAsia="MS Mincho"/>
                <w:szCs w:val="22"/>
                <w:lang w:val="en-US"/>
              </w:rPr>
              <w:t>6</w:t>
            </w:r>
            <w:r w:rsidRPr="00FE6AC6">
              <w:rPr>
                <w:rFonts w:eastAsia="MS Mincho"/>
                <w:szCs w:val="22"/>
                <w:lang w:val="en-US"/>
              </w:rPr>
              <w:noBreakHyphen/>
              <w:t>81</w:t>
            </w:r>
            <w:r w:rsidRPr="00FE6AC6">
              <w:rPr>
                <w:rFonts w:eastAsia="MS Mincho"/>
                <w:szCs w:val="22"/>
                <w:lang w:val="bg-BG"/>
              </w:rPr>
              <w:t>,</w:t>
            </w:r>
            <w:r w:rsidRPr="00FE6AC6">
              <w:rPr>
                <w:rFonts w:eastAsia="MS Mincho"/>
                <w:szCs w:val="22"/>
                <w:lang w:val="en-US"/>
              </w:rPr>
              <w:t>0)</w:t>
            </w:r>
          </w:p>
        </w:tc>
        <w:tc>
          <w:tcPr>
            <w:tcW w:w="3100" w:type="dxa"/>
            <w:shd w:val="clear" w:color="auto" w:fill="auto"/>
          </w:tcPr>
          <w:p w14:paraId="3E54FFD7"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90</w:t>
            </w:r>
            <w:r w:rsidRPr="00FE6AC6">
              <w:rPr>
                <w:rFonts w:eastAsia="MS Mincho"/>
                <w:szCs w:val="22"/>
                <w:lang w:val="bg-BG"/>
              </w:rPr>
              <w:t>,</w:t>
            </w:r>
            <w:r w:rsidRPr="00FE6AC6">
              <w:rPr>
                <w:rFonts w:eastAsia="MS Mincho"/>
                <w:szCs w:val="22"/>
                <w:lang w:val="en-US"/>
              </w:rPr>
              <w:t>7 (85</w:t>
            </w:r>
            <w:r w:rsidRPr="00FE6AC6">
              <w:rPr>
                <w:rFonts w:eastAsia="MS Mincho"/>
                <w:szCs w:val="22"/>
                <w:lang w:val="bg-BG"/>
              </w:rPr>
              <w:t>,</w:t>
            </w:r>
            <w:r w:rsidRPr="00FE6AC6">
              <w:rPr>
                <w:rFonts w:eastAsia="MS Mincho"/>
                <w:szCs w:val="22"/>
                <w:lang w:val="en-US"/>
              </w:rPr>
              <w:t>6</w:t>
            </w:r>
            <w:r w:rsidRPr="00FE6AC6">
              <w:rPr>
                <w:rFonts w:eastAsia="MS Mincho"/>
                <w:szCs w:val="22"/>
                <w:lang w:val="en-US"/>
              </w:rPr>
              <w:noBreakHyphen/>
              <w:t>94</w:t>
            </w:r>
            <w:r w:rsidR="0083271F" w:rsidRPr="00FE6AC6">
              <w:rPr>
                <w:rFonts w:eastAsia="MS Mincho"/>
                <w:szCs w:val="22"/>
                <w:lang w:val="en-US"/>
              </w:rPr>
              <w:t>,0</w:t>
            </w:r>
            <w:r w:rsidRPr="00FE6AC6">
              <w:rPr>
                <w:rFonts w:eastAsia="MS Mincho"/>
                <w:szCs w:val="22"/>
                <w:lang w:val="en-US"/>
              </w:rPr>
              <w:t>)</w:t>
            </w:r>
          </w:p>
        </w:tc>
      </w:tr>
      <w:tr w:rsidR="00A83B63" w:rsidRPr="00FE6AC6" w14:paraId="3E54FFDC" w14:textId="77777777" w:rsidTr="008143B1">
        <w:trPr>
          <w:cantSplit/>
        </w:trPr>
        <w:tc>
          <w:tcPr>
            <w:tcW w:w="3099" w:type="dxa"/>
            <w:shd w:val="clear" w:color="auto" w:fill="auto"/>
          </w:tcPr>
          <w:p w14:paraId="3E54FFD9" w14:textId="77777777" w:rsidR="00A83B63" w:rsidRPr="00FE6AC6" w:rsidRDefault="00A83B63" w:rsidP="008143B1">
            <w:pPr>
              <w:keepNext/>
              <w:widowControl w:val="0"/>
              <w:tabs>
                <w:tab w:val="clear" w:pos="567"/>
              </w:tabs>
              <w:spacing w:line="240" w:lineRule="auto"/>
              <w:ind w:left="284"/>
              <w:rPr>
                <w:rFonts w:eastAsia="MS Mincho"/>
                <w:szCs w:val="22"/>
                <w:lang w:val="en-US"/>
              </w:rPr>
            </w:pPr>
            <w:r w:rsidRPr="00FE6AC6">
              <w:rPr>
                <w:rFonts w:eastAsia="MS Mincho"/>
                <w:szCs w:val="22"/>
                <w:lang w:val="en-US"/>
              </w:rPr>
              <w:t>36</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4FFDA"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60</w:t>
            </w:r>
            <w:r w:rsidRPr="00FE6AC6">
              <w:rPr>
                <w:rFonts w:eastAsia="MS Mincho"/>
                <w:szCs w:val="22"/>
                <w:lang w:val="bg-BG"/>
              </w:rPr>
              <w:t>,</w:t>
            </w:r>
            <w:r w:rsidRPr="00FE6AC6">
              <w:rPr>
                <w:rFonts w:eastAsia="MS Mincho"/>
                <w:szCs w:val="22"/>
                <w:lang w:val="en-US"/>
              </w:rPr>
              <w:t>1 (52</w:t>
            </w:r>
            <w:r w:rsidRPr="00FE6AC6">
              <w:rPr>
                <w:rFonts w:eastAsia="MS Mincho"/>
                <w:szCs w:val="22"/>
                <w:lang w:val="bg-BG"/>
              </w:rPr>
              <w:t>,</w:t>
            </w:r>
            <w:r w:rsidRPr="00FE6AC6">
              <w:rPr>
                <w:rFonts w:eastAsia="MS Mincho"/>
                <w:szCs w:val="22"/>
                <w:lang w:val="en-US"/>
              </w:rPr>
              <w:t>5</w:t>
            </w:r>
            <w:r w:rsidRPr="00FE6AC6">
              <w:rPr>
                <w:rFonts w:eastAsia="MS Mincho"/>
                <w:szCs w:val="22"/>
                <w:lang w:val="en-US"/>
              </w:rPr>
              <w:noBreakHyphen/>
              <w:t>66</w:t>
            </w:r>
            <w:r w:rsidRPr="00FE6AC6">
              <w:rPr>
                <w:rFonts w:eastAsia="MS Mincho"/>
                <w:szCs w:val="22"/>
                <w:lang w:val="bg-BG"/>
              </w:rPr>
              <w:t>,</w:t>
            </w:r>
            <w:r w:rsidRPr="00FE6AC6">
              <w:rPr>
                <w:rFonts w:eastAsia="MS Mincho"/>
                <w:szCs w:val="22"/>
                <w:lang w:val="en-US"/>
              </w:rPr>
              <w:t>9)</w:t>
            </w:r>
          </w:p>
        </w:tc>
        <w:tc>
          <w:tcPr>
            <w:tcW w:w="3100" w:type="dxa"/>
            <w:shd w:val="clear" w:color="auto" w:fill="auto"/>
          </w:tcPr>
          <w:p w14:paraId="3E54FFDB"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86</w:t>
            </w:r>
            <w:r w:rsidRPr="00FE6AC6">
              <w:rPr>
                <w:rFonts w:eastAsia="MS Mincho"/>
                <w:szCs w:val="22"/>
                <w:lang w:val="bg-BG"/>
              </w:rPr>
              <w:t>,</w:t>
            </w:r>
            <w:r w:rsidRPr="00FE6AC6">
              <w:rPr>
                <w:rFonts w:eastAsia="MS Mincho"/>
                <w:szCs w:val="22"/>
                <w:lang w:val="en-US"/>
              </w:rPr>
              <w:t>6 (80</w:t>
            </w:r>
            <w:r w:rsidRPr="00FE6AC6">
              <w:rPr>
                <w:rFonts w:eastAsia="MS Mincho"/>
                <w:szCs w:val="22"/>
                <w:lang w:val="bg-BG"/>
              </w:rPr>
              <w:t>,</w:t>
            </w:r>
            <w:r w:rsidRPr="00FE6AC6">
              <w:rPr>
                <w:rFonts w:eastAsia="MS Mincho"/>
                <w:szCs w:val="22"/>
                <w:lang w:val="en-US"/>
              </w:rPr>
              <w:t>8</w:t>
            </w:r>
            <w:r w:rsidRPr="00FE6AC6">
              <w:rPr>
                <w:rFonts w:eastAsia="MS Mincho"/>
                <w:szCs w:val="22"/>
                <w:lang w:val="en-US"/>
              </w:rPr>
              <w:noBreakHyphen/>
              <w:t>90</w:t>
            </w:r>
            <w:r w:rsidRPr="00FE6AC6">
              <w:rPr>
                <w:rFonts w:eastAsia="MS Mincho"/>
                <w:szCs w:val="22"/>
                <w:lang w:val="bg-BG"/>
              </w:rPr>
              <w:t>,</w:t>
            </w:r>
            <w:r w:rsidRPr="00FE6AC6">
              <w:rPr>
                <w:rFonts w:eastAsia="MS Mincho"/>
                <w:szCs w:val="22"/>
                <w:lang w:val="en-US"/>
              </w:rPr>
              <w:t>8)</w:t>
            </w:r>
          </w:p>
        </w:tc>
      </w:tr>
      <w:tr w:rsidR="00A83B63" w:rsidRPr="00FE6AC6" w14:paraId="3E54FFE0" w14:textId="77777777" w:rsidTr="008143B1">
        <w:trPr>
          <w:cantSplit/>
        </w:trPr>
        <w:tc>
          <w:tcPr>
            <w:tcW w:w="3099" w:type="dxa"/>
            <w:shd w:val="clear" w:color="auto" w:fill="auto"/>
          </w:tcPr>
          <w:p w14:paraId="3E54FFDD" w14:textId="77777777" w:rsidR="00A83B63" w:rsidRPr="00FE6AC6" w:rsidRDefault="00A83B63" w:rsidP="008143B1">
            <w:pPr>
              <w:keepNext/>
              <w:widowControl w:val="0"/>
              <w:tabs>
                <w:tab w:val="clear" w:pos="567"/>
              </w:tabs>
              <w:spacing w:line="240" w:lineRule="auto"/>
              <w:ind w:left="284"/>
              <w:rPr>
                <w:rFonts w:eastAsia="MS Mincho"/>
                <w:szCs w:val="22"/>
                <w:lang w:val="en-US"/>
              </w:rPr>
            </w:pPr>
            <w:r w:rsidRPr="00FE6AC6">
              <w:rPr>
                <w:rFonts w:eastAsia="MS Mincho"/>
                <w:szCs w:val="22"/>
                <w:lang w:val="en-US"/>
              </w:rPr>
              <w:t>48</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4FFDE"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52</w:t>
            </w:r>
            <w:r w:rsidRPr="00FE6AC6">
              <w:rPr>
                <w:rFonts w:eastAsia="MS Mincho"/>
                <w:szCs w:val="22"/>
                <w:lang w:val="bg-BG"/>
              </w:rPr>
              <w:t>,</w:t>
            </w:r>
            <w:r w:rsidRPr="00FE6AC6">
              <w:rPr>
                <w:rFonts w:eastAsia="MS Mincho"/>
                <w:szCs w:val="22"/>
                <w:lang w:val="en-US"/>
              </w:rPr>
              <w:t>3 (44</w:t>
            </w:r>
            <w:r w:rsidRPr="00FE6AC6">
              <w:rPr>
                <w:rFonts w:eastAsia="MS Mincho"/>
                <w:szCs w:val="22"/>
                <w:lang w:val="bg-BG"/>
              </w:rPr>
              <w:t>,</w:t>
            </w:r>
            <w:r w:rsidRPr="00FE6AC6">
              <w:rPr>
                <w:rFonts w:eastAsia="MS Mincho"/>
                <w:szCs w:val="22"/>
                <w:lang w:val="en-US"/>
              </w:rPr>
              <w:t>0</w:t>
            </w:r>
            <w:r w:rsidRPr="00FE6AC6">
              <w:rPr>
                <w:rFonts w:eastAsia="MS Mincho"/>
                <w:szCs w:val="22"/>
                <w:lang w:val="en-US"/>
              </w:rPr>
              <w:noBreakHyphen/>
              <w:t>59</w:t>
            </w:r>
            <w:r w:rsidRPr="00FE6AC6">
              <w:rPr>
                <w:rFonts w:eastAsia="MS Mincho"/>
                <w:szCs w:val="22"/>
                <w:lang w:val="bg-BG"/>
              </w:rPr>
              <w:t>,</w:t>
            </w:r>
            <w:r w:rsidRPr="00FE6AC6">
              <w:rPr>
                <w:rFonts w:eastAsia="MS Mincho"/>
                <w:szCs w:val="22"/>
                <w:lang w:val="en-US"/>
              </w:rPr>
              <w:t>8)</w:t>
            </w:r>
          </w:p>
        </w:tc>
        <w:tc>
          <w:tcPr>
            <w:tcW w:w="3100" w:type="dxa"/>
            <w:shd w:val="clear" w:color="auto" w:fill="auto"/>
          </w:tcPr>
          <w:p w14:paraId="3E54FFDF"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78</w:t>
            </w:r>
            <w:r w:rsidRPr="00FE6AC6">
              <w:rPr>
                <w:rFonts w:eastAsia="MS Mincho"/>
                <w:szCs w:val="22"/>
                <w:lang w:val="bg-BG"/>
              </w:rPr>
              <w:t>,</w:t>
            </w:r>
            <w:r w:rsidRPr="00FE6AC6">
              <w:rPr>
                <w:rFonts w:eastAsia="MS Mincho"/>
                <w:szCs w:val="22"/>
                <w:lang w:val="en-US"/>
              </w:rPr>
              <w:t>3 (70</w:t>
            </w:r>
            <w:r w:rsidRPr="00FE6AC6">
              <w:rPr>
                <w:rFonts w:eastAsia="MS Mincho"/>
                <w:szCs w:val="22"/>
                <w:lang w:val="bg-BG"/>
              </w:rPr>
              <w:t>,</w:t>
            </w:r>
            <w:r w:rsidRPr="00FE6AC6">
              <w:rPr>
                <w:rFonts w:eastAsia="MS Mincho"/>
                <w:szCs w:val="22"/>
                <w:lang w:val="en-US"/>
              </w:rPr>
              <w:t>8</w:t>
            </w:r>
            <w:r w:rsidRPr="00FE6AC6">
              <w:rPr>
                <w:rFonts w:eastAsia="MS Mincho"/>
                <w:szCs w:val="22"/>
                <w:lang w:val="en-US"/>
              </w:rPr>
              <w:noBreakHyphen/>
              <w:t>84</w:t>
            </w:r>
            <w:r w:rsidRPr="00FE6AC6">
              <w:rPr>
                <w:rFonts w:eastAsia="MS Mincho"/>
                <w:szCs w:val="22"/>
                <w:lang w:val="bg-BG"/>
              </w:rPr>
              <w:t>,</w:t>
            </w:r>
            <w:r w:rsidRPr="00FE6AC6">
              <w:rPr>
                <w:rFonts w:eastAsia="MS Mincho"/>
                <w:szCs w:val="22"/>
                <w:lang w:val="en-US"/>
              </w:rPr>
              <w:t>1)</w:t>
            </w:r>
          </w:p>
        </w:tc>
      </w:tr>
      <w:tr w:rsidR="00A83B63" w:rsidRPr="00FE6AC6" w14:paraId="3E54FFE4" w14:textId="77777777" w:rsidTr="008143B1">
        <w:trPr>
          <w:cantSplit/>
        </w:trPr>
        <w:tc>
          <w:tcPr>
            <w:tcW w:w="3099" w:type="dxa"/>
            <w:shd w:val="clear" w:color="auto" w:fill="auto"/>
          </w:tcPr>
          <w:p w14:paraId="3E54FFE1" w14:textId="77777777" w:rsidR="00A83B63" w:rsidRPr="00FE6AC6" w:rsidRDefault="00A83B63" w:rsidP="008143B1">
            <w:pPr>
              <w:keepNext/>
              <w:widowControl w:val="0"/>
              <w:tabs>
                <w:tab w:val="clear" w:pos="567"/>
              </w:tabs>
              <w:spacing w:line="240" w:lineRule="auto"/>
              <w:ind w:left="284"/>
              <w:rPr>
                <w:rFonts w:eastAsia="MS Mincho"/>
                <w:szCs w:val="22"/>
                <w:lang w:val="en-US"/>
              </w:rPr>
            </w:pPr>
            <w:r w:rsidRPr="00FE6AC6">
              <w:rPr>
                <w:rFonts w:eastAsia="MS Mincho"/>
                <w:szCs w:val="22"/>
                <w:lang w:val="en-US"/>
              </w:rPr>
              <w:t>60</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4FFE2"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47</w:t>
            </w:r>
            <w:r w:rsidRPr="00FE6AC6">
              <w:rPr>
                <w:rFonts w:eastAsia="MS Mincho"/>
                <w:szCs w:val="22"/>
                <w:lang w:val="bg-BG"/>
              </w:rPr>
              <w:t>,</w:t>
            </w:r>
            <w:r w:rsidRPr="00FE6AC6">
              <w:rPr>
                <w:rFonts w:eastAsia="MS Mincho"/>
                <w:szCs w:val="22"/>
                <w:lang w:val="en-US"/>
              </w:rPr>
              <w:t>9 (39</w:t>
            </w:r>
            <w:r w:rsidRPr="00FE6AC6">
              <w:rPr>
                <w:rFonts w:eastAsia="MS Mincho"/>
                <w:szCs w:val="22"/>
                <w:lang w:val="bg-BG"/>
              </w:rPr>
              <w:t>,</w:t>
            </w:r>
            <w:r w:rsidRPr="00FE6AC6">
              <w:rPr>
                <w:rFonts w:eastAsia="MS Mincho"/>
                <w:szCs w:val="22"/>
                <w:lang w:val="en-US"/>
              </w:rPr>
              <w:t>0</w:t>
            </w:r>
            <w:r w:rsidRPr="00FE6AC6">
              <w:rPr>
                <w:rFonts w:eastAsia="MS Mincho"/>
                <w:szCs w:val="22"/>
                <w:lang w:val="en-US"/>
              </w:rPr>
              <w:noBreakHyphen/>
              <w:t>56</w:t>
            </w:r>
            <w:r w:rsidRPr="00FE6AC6">
              <w:rPr>
                <w:rFonts w:eastAsia="MS Mincho"/>
                <w:szCs w:val="22"/>
                <w:lang w:val="bg-BG"/>
              </w:rPr>
              <w:t>,</w:t>
            </w:r>
            <w:r w:rsidRPr="00FE6AC6">
              <w:rPr>
                <w:rFonts w:eastAsia="MS Mincho"/>
                <w:szCs w:val="22"/>
                <w:lang w:val="en-US"/>
              </w:rPr>
              <w:t>3)</w:t>
            </w:r>
          </w:p>
        </w:tc>
        <w:tc>
          <w:tcPr>
            <w:tcW w:w="3100" w:type="dxa"/>
            <w:shd w:val="clear" w:color="auto" w:fill="auto"/>
          </w:tcPr>
          <w:p w14:paraId="3E54FFE3"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65</w:t>
            </w:r>
            <w:r w:rsidRPr="00FE6AC6">
              <w:rPr>
                <w:rFonts w:eastAsia="MS Mincho"/>
                <w:szCs w:val="22"/>
                <w:lang w:val="bg-BG"/>
              </w:rPr>
              <w:t>,</w:t>
            </w:r>
            <w:r w:rsidRPr="00FE6AC6">
              <w:rPr>
                <w:rFonts w:eastAsia="MS Mincho"/>
                <w:szCs w:val="22"/>
                <w:lang w:val="en-US"/>
              </w:rPr>
              <w:t>6 (56</w:t>
            </w:r>
            <w:r w:rsidRPr="00FE6AC6">
              <w:rPr>
                <w:rFonts w:eastAsia="MS Mincho"/>
                <w:szCs w:val="22"/>
                <w:lang w:val="bg-BG"/>
              </w:rPr>
              <w:t>,</w:t>
            </w:r>
            <w:r w:rsidRPr="00FE6AC6">
              <w:rPr>
                <w:rFonts w:eastAsia="MS Mincho"/>
                <w:szCs w:val="22"/>
                <w:lang w:val="en-US"/>
              </w:rPr>
              <w:t>1</w:t>
            </w:r>
            <w:r w:rsidRPr="00FE6AC6">
              <w:rPr>
                <w:rFonts w:eastAsia="MS Mincho"/>
                <w:szCs w:val="22"/>
                <w:lang w:val="en-US"/>
              </w:rPr>
              <w:noBreakHyphen/>
              <w:t>73</w:t>
            </w:r>
            <w:r w:rsidRPr="00FE6AC6">
              <w:rPr>
                <w:rFonts w:eastAsia="MS Mincho"/>
                <w:szCs w:val="22"/>
                <w:lang w:val="bg-BG"/>
              </w:rPr>
              <w:t>,</w:t>
            </w:r>
            <w:r w:rsidRPr="00FE6AC6">
              <w:rPr>
                <w:rFonts w:eastAsia="MS Mincho"/>
                <w:szCs w:val="22"/>
                <w:lang w:val="en-US"/>
              </w:rPr>
              <w:t>4)</w:t>
            </w:r>
          </w:p>
        </w:tc>
      </w:tr>
      <w:tr w:rsidR="00A83B63" w:rsidRPr="00FE6AC6" w14:paraId="3E54FFE8" w14:textId="77777777" w:rsidTr="008143B1">
        <w:trPr>
          <w:cantSplit/>
        </w:trPr>
        <w:tc>
          <w:tcPr>
            <w:tcW w:w="3099" w:type="dxa"/>
            <w:shd w:val="clear" w:color="auto" w:fill="auto"/>
          </w:tcPr>
          <w:p w14:paraId="3E54FFE5" w14:textId="77777777" w:rsidR="00A83B63" w:rsidRPr="00FE6AC6" w:rsidRDefault="00A83B63" w:rsidP="008143B1">
            <w:pPr>
              <w:keepNext/>
              <w:widowControl w:val="0"/>
              <w:tabs>
                <w:tab w:val="clear" w:pos="567"/>
                <w:tab w:val="left" w:pos="284"/>
              </w:tabs>
              <w:spacing w:line="240" w:lineRule="auto"/>
              <w:rPr>
                <w:rFonts w:eastAsia="MS Mincho"/>
                <w:b/>
                <w:szCs w:val="22"/>
                <w:lang w:val="en-US"/>
              </w:rPr>
            </w:pPr>
            <w:r w:rsidRPr="00FE6AC6">
              <w:rPr>
                <w:rFonts w:eastAsia="MS Mincho"/>
                <w:b/>
                <w:szCs w:val="22"/>
                <w:lang w:val="bg-BG"/>
              </w:rPr>
              <w:t>Преживяемост</w:t>
            </w:r>
          </w:p>
        </w:tc>
        <w:tc>
          <w:tcPr>
            <w:tcW w:w="3100" w:type="dxa"/>
            <w:shd w:val="clear" w:color="auto" w:fill="auto"/>
          </w:tcPr>
          <w:p w14:paraId="3E54FFE6"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p>
        </w:tc>
        <w:tc>
          <w:tcPr>
            <w:tcW w:w="3100" w:type="dxa"/>
            <w:shd w:val="clear" w:color="auto" w:fill="auto"/>
          </w:tcPr>
          <w:p w14:paraId="3E54FFE7"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p>
        </w:tc>
      </w:tr>
      <w:tr w:rsidR="00A83B63" w:rsidRPr="00FE6AC6" w14:paraId="3E54FFEC" w14:textId="77777777" w:rsidTr="008143B1">
        <w:trPr>
          <w:cantSplit/>
        </w:trPr>
        <w:tc>
          <w:tcPr>
            <w:tcW w:w="3099" w:type="dxa"/>
            <w:shd w:val="clear" w:color="auto" w:fill="auto"/>
          </w:tcPr>
          <w:p w14:paraId="3E54FFE9" w14:textId="77777777" w:rsidR="00A83B63" w:rsidRPr="00FE6AC6" w:rsidRDefault="00A83B63" w:rsidP="008143B1">
            <w:pPr>
              <w:keepNext/>
              <w:widowControl w:val="0"/>
              <w:tabs>
                <w:tab w:val="clear" w:pos="567"/>
              </w:tabs>
              <w:spacing w:line="240" w:lineRule="auto"/>
              <w:ind w:left="284"/>
              <w:rPr>
                <w:rFonts w:eastAsia="MS Mincho"/>
                <w:szCs w:val="22"/>
                <w:lang w:val="en-US"/>
              </w:rPr>
            </w:pPr>
            <w:r w:rsidRPr="00FE6AC6">
              <w:rPr>
                <w:rFonts w:eastAsia="MS Mincho"/>
                <w:szCs w:val="22"/>
                <w:lang w:val="en-US"/>
              </w:rPr>
              <w:t>36</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4FFEA"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94</w:t>
            </w:r>
            <w:r w:rsidRPr="00FE6AC6">
              <w:rPr>
                <w:rFonts w:eastAsia="MS Mincho"/>
                <w:szCs w:val="22"/>
                <w:lang w:val="bg-BG"/>
              </w:rPr>
              <w:t>,</w:t>
            </w:r>
            <w:r w:rsidRPr="00FE6AC6">
              <w:rPr>
                <w:rFonts w:eastAsia="MS Mincho"/>
                <w:szCs w:val="22"/>
                <w:lang w:val="en-US"/>
              </w:rPr>
              <w:t>0 (89</w:t>
            </w:r>
            <w:r w:rsidRPr="00FE6AC6">
              <w:rPr>
                <w:rFonts w:eastAsia="MS Mincho"/>
                <w:szCs w:val="22"/>
                <w:lang w:val="bg-BG"/>
              </w:rPr>
              <w:t>,</w:t>
            </w:r>
            <w:r w:rsidRPr="00FE6AC6">
              <w:rPr>
                <w:rFonts w:eastAsia="MS Mincho"/>
                <w:szCs w:val="22"/>
                <w:lang w:val="en-US"/>
              </w:rPr>
              <w:t>5</w:t>
            </w:r>
            <w:r w:rsidRPr="00FE6AC6">
              <w:rPr>
                <w:rFonts w:eastAsia="MS Mincho"/>
                <w:szCs w:val="22"/>
                <w:lang w:val="en-US"/>
              </w:rPr>
              <w:noBreakHyphen/>
              <w:t>96</w:t>
            </w:r>
            <w:r w:rsidRPr="00FE6AC6">
              <w:rPr>
                <w:rFonts w:eastAsia="MS Mincho"/>
                <w:szCs w:val="22"/>
                <w:lang w:val="bg-BG"/>
              </w:rPr>
              <w:t>,</w:t>
            </w:r>
            <w:r w:rsidRPr="00FE6AC6">
              <w:rPr>
                <w:rFonts w:eastAsia="MS Mincho"/>
                <w:szCs w:val="22"/>
                <w:lang w:val="en-US"/>
              </w:rPr>
              <w:t>7)</w:t>
            </w:r>
          </w:p>
        </w:tc>
        <w:tc>
          <w:tcPr>
            <w:tcW w:w="3100" w:type="dxa"/>
            <w:shd w:val="clear" w:color="auto" w:fill="auto"/>
          </w:tcPr>
          <w:p w14:paraId="3E54FFEB"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96</w:t>
            </w:r>
            <w:r w:rsidRPr="00FE6AC6">
              <w:rPr>
                <w:rFonts w:eastAsia="MS Mincho"/>
                <w:szCs w:val="22"/>
                <w:lang w:val="bg-BG"/>
              </w:rPr>
              <w:t>,</w:t>
            </w:r>
            <w:r w:rsidRPr="00FE6AC6">
              <w:rPr>
                <w:rFonts w:eastAsia="MS Mincho"/>
                <w:szCs w:val="22"/>
                <w:lang w:val="en-US"/>
              </w:rPr>
              <w:t>3 (92</w:t>
            </w:r>
            <w:r w:rsidRPr="00FE6AC6">
              <w:rPr>
                <w:rFonts w:eastAsia="MS Mincho"/>
                <w:szCs w:val="22"/>
                <w:lang w:val="bg-BG"/>
              </w:rPr>
              <w:t>,</w:t>
            </w:r>
            <w:r w:rsidRPr="00FE6AC6">
              <w:rPr>
                <w:rFonts w:eastAsia="MS Mincho"/>
                <w:szCs w:val="22"/>
                <w:lang w:val="en-US"/>
              </w:rPr>
              <w:t>4</w:t>
            </w:r>
            <w:r w:rsidRPr="00FE6AC6">
              <w:rPr>
                <w:rFonts w:eastAsia="MS Mincho"/>
                <w:szCs w:val="22"/>
                <w:lang w:val="en-US"/>
              </w:rPr>
              <w:noBreakHyphen/>
              <w:t>98</w:t>
            </w:r>
            <w:r w:rsidRPr="00FE6AC6">
              <w:rPr>
                <w:rFonts w:eastAsia="MS Mincho"/>
                <w:szCs w:val="22"/>
                <w:lang w:val="bg-BG"/>
              </w:rPr>
              <w:t>,</w:t>
            </w:r>
            <w:r w:rsidRPr="00FE6AC6">
              <w:rPr>
                <w:rFonts w:eastAsia="MS Mincho"/>
                <w:szCs w:val="22"/>
                <w:lang w:val="en-US"/>
              </w:rPr>
              <w:t>2)</w:t>
            </w:r>
          </w:p>
        </w:tc>
      </w:tr>
      <w:tr w:rsidR="00A83B63" w:rsidRPr="00FE6AC6" w14:paraId="3E54FFF0" w14:textId="77777777" w:rsidTr="008143B1">
        <w:trPr>
          <w:cantSplit/>
        </w:trPr>
        <w:tc>
          <w:tcPr>
            <w:tcW w:w="3099" w:type="dxa"/>
            <w:shd w:val="clear" w:color="auto" w:fill="auto"/>
          </w:tcPr>
          <w:p w14:paraId="3E54FFED" w14:textId="77777777" w:rsidR="00A83B63" w:rsidRPr="00FE6AC6" w:rsidRDefault="00A83B63" w:rsidP="008143B1">
            <w:pPr>
              <w:keepNext/>
              <w:widowControl w:val="0"/>
              <w:tabs>
                <w:tab w:val="clear" w:pos="567"/>
              </w:tabs>
              <w:spacing w:line="240" w:lineRule="auto"/>
              <w:ind w:left="284"/>
              <w:rPr>
                <w:rFonts w:eastAsia="MS Mincho"/>
                <w:szCs w:val="22"/>
                <w:lang w:val="en-US"/>
              </w:rPr>
            </w:pPr>
            <w:r w:rsidRPr="00FE6AC6">
              <w:rPr>
                <w:rFonts w:eastAsia="MS Mincho"/>
                <w:szCs w:val="22"/>
                <w:lang w:val="en-US"/>
              </w:rPr>
              <w:t>48</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4FFEE"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87</w:t>
            </w:r>
            <w:r w:rsidRPr="00FE6AC6">
              <w:rPr>
                <w:rFonts w:eastAsia="MS Mincho"/>
                <w:szCs w:val="22"/>
                <w:lang w:val="bg-BG"/>
              </w:rPr>
              <w:t>,</w:t>
            </w:r>
            <w:r w:rsidRPr="00FE6AC6">
              <w:rPr>
                <w:rFonts w:eastAsia="MS Mincho"/>
                <w:szCs w:val="22"/>
                <w:lang w:val="en-US"/>
              </w:rPr>
              <w:t>9 (81</w:t>
            </w:r>
            <w:r w:rsidRPr="00FE6AC6">
              <w:rPr>
                <w:rFonts w:eastAsia="MS Mincho"/>
                <w:szCs w:val="22"/>
                <w:lang w:val="bg-BG"/>
              </w:rPr>
              <w:t>,</w:t>
            </w:r>
            <w:r w:rsidRPr="00FE6AC6">
              <w:rPr>
                <w:rFonts w:eastAsia="MS Mincho"/>
                <w:szCs w:val="22"/>
                <w:lang w:val="en-US"/>
              </w:rPr>
              <w:t>1</w:t>
            </w:r>
            <w:r w:rsidRPr="00FE6AC6">
              <w:rPr>
                <w:rFonts w:eastAsia="MS Mincho"/>
                <w:szCs w:val="22"/>
                <w:lang w:val="en-US"/>
              </w:rPr>
              <w:noBreakHyphen/>
              <w:t>92</w:t>
            </w:r>
            <w:r w:rsidRPr="00FE6AC6">
              <w:rPr>
                <w:rFonts w:eastAsia="MS Mincho"/>
                <w:szCs w:val="22"/>
                <w:lang w:val="bg-BG"/>
              </w:rPr>
              <w:t>,</w:t>
            </w:r>
            <w:r w:rsidRPr="00FE6AC6">
              <w:rPr>
                <w:rFonts w:eastAsia="MS Mincho"/>
                <w:szCs w:val="22"/>
                <w:lang w:val="en-US"/>
              </w:rPr>
              <w:t>3)</w:t>
            </w:r>
          </w:p>
        </w:tc>
        <w:tc>
          <w:tcPr>
            <w:tcW w:w="3100" w:type="dxa"/>
            <w:shd w:val="clear" w:color="auto" w:fill="auto"/>
          </w:tcPr>
          <w:p w14:paraId="3E54FFEF" w14:textId="77777777" w:rsidR="00A83B63" w:rsidRPr="00FE6AC6" w:rsidRDefault="00A83B63" w:rsidP="008143B1">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95</w:t>
            </w:r>
            <w:r w:rsidRPr="00FE6AC6">
              <w:rPr>
                <w:rFonts w:eastAsia="MS Mincho"/>
                <w:szCs w:val="22"/>
                <w:lang w:val="bg-BG"/>
              </w:rPr>
              <w:t>,</w:t>
            </w:r>
            <w:r w:rsidRPr="00FE6AC6">
              <w:rPr>
                <w:rFonts w:eastAsia="MS Mincho"/>
                <w:szCs w:val="22"/>
                <w:lang w:val="en-US"/>
              </w:rPr>
              <w:t>6 (91</w:t>
            </w:r>
            <w:r w:rsidRPr="00FE6AC6">
              <w:rPr>
                <w:rFonts w:eastAsia="MS Mincho"/>
                <w:szCs w:val="22"/>
                <w:lang w:val="bg-BG"/>
              </w:rPr>
              <w:t>,</w:t>
            </w:r>
            <w:r w:rsidRPr="00FE6AC6">
              <w:rPr>
                <w:rFonts w:eastAsia="MS Mincho"/>
                <w:szCs w:val="22"/>
                <w:lang w:val="en-US"/>
              </w:rPr>
              <w:t>2</w:t>
            </w:r>
            <w:r w:rsidRPr="00FE6AC6">
              <w:rPr>
                <w:rFonts w:eastAsia="MS Mincho"/>
                <w:szCs w:val="22"/>
                <w:lang w:val="en-US"/>
              </w:rPr>
              <w:noBreakHyphen/>
              <w:t>97</w:t>
            </w:r>
            <w:r w:rsidRPr="00FE6AC6">
              <w:rPr>
                <w:rFonts w:eastAsia="MS Mincho"/>
                <w:szCs w:val="22"/>
                <w:lang w:val="bg-BG"/>
              </w:rPr>
              <w:t>,</w:t>
            </w:r>
            <w:r w:rsidRPr="00FE6AC6">
              <w:rPr>
                <w:rFonts w:eastAsia="MS Mincho"/>
                <w:szCs w:val="22"/>
                <w:lang w:val="en-US"/>
              </w:rPr>
              <w:t>8)</w:t>
            </w:r>
          </w:p>
        </w:tc>
      </w:tr>
      <w:tr w:rsidR="00A83B63" w:rsidRPr="00FE6AC6" w14:paraId="3E54FFF4" w14:textId="77777777" w:rsidTr="008143B1">
        <w:trPr>
          <w:cantSplit/>
        </w:trPr>
        <w:tc>
          <w:tcPr>
            <w:tcW w:w="3099" w:type="dxa"/>
            <w:shd w:val="clear" w:color="auto" w:fill="auto"/>
          </w:tcPr>
          <w:p w14:paraId="3E54FFF1" w14:textId="77777777" w:rsidR="00A83B63" w:rsidRPr="00FE6AC6" w:rsidRDefault="00A83B63" w:rsidP="008143B1">
            <w:pPr>
              <w:widowControl w:val="0"/>
              <w:tabs>
                <w:tab w:val="clear" w:pos="567"/>
              </w:tabs>
              <w:spacing w:line="240" w:lineRule="auto"/>
              <w:ind w:left="284"/>
              <w:rPr>
                <w:rFonts w:eastAsia="MS Mincho"/>
                <w:szCs w:val="22"/>
                <w:lang w:val="en-US"/>
              </w:rPr>
            </w:pPr>
            <w:r w:rsidRPr="00FE6AC6">
              <w:rPr>
                <w:rFonts w:eastAsia="MS Mincho"/>
                <w:szCs w:val="22"/>
                <w:lang w:val="en-US"/>
              </w:rPr>
              <w:t>60</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4FFF2" w14:textId="77777777" w:rsidR="00A83B63" w:rsidRPr="00FE6AC6" w:rsidRDefault="00A83B63" w:rsidP="008143B1">
            <w:pPr>
              <w:widowControl w:val="0"/>
              <w:tabs>
                <w:tab w:val="clear" w:pos="567"/>
                <w:tab w:val="left" w:pos="284"/>
              </w:tabs>
              <w:spacing w:line="240" w:lineRule="auto"/>
              <w:rPr>
                <w:rFonts w:eastAsia="MS Mincho"/>
                <w:szCs w:val="22"/>
                <w:lang w:val="en-US"/>
              </w:rPr>
            </w:pPr>
            <w:r w:rsidRPr="00FE6AC6">
              <w:rPr>
                <w:rFonts w:eastAsia="MS Mincho"/>
                <w:szCs w:val="22"/>
                <w:lang w:val="en-US"/>
              </w:rPr>
              <w:t>81</w:t>
            </w:r>
            <w:r w:rsidRPr="00FE6AC6">
              <w:rPr>
                <w:rFonts w:eastAsia="MS Mincho"/>
                <w:szCs w:val="22"/>
                <w:lang w:val="bg-BG"/>
              </w:rPr>
              <w:t>,</w:t>
            </w:r>
            <w:r w:rsidRPr="00FE6AC6">
              <w:rPr>
                <w:rFonts w:eastAsia="MS Mincho"/>
                <w:szCs w:val="22"/>
                <w:lang w:val="en-US"/>
              </w:rPr>
              <w:t>7 (73</w:t>
            </w:r>
            <w:r w:rsidRPr="00FE6AC6">
              <w:rPr>
                <w:rFonts w:eastAsia="MS Mincho"/>
                <w:szCs w:val="22"/>
                <w:lang w:val="bg-BG"/>
              </w:rPr>
              <w:t>,</w:t>
            </w:r>
            <w:r w:rsidRPr="00FE6AC6">
              <w:rPr>
                <w:rFonts w:eastAsia="MS Mincho"/>
                <w:szCs w:val="22"/>
                <w:lang w:val="en-US"/>
              </w:rPr>
              <w:t>0</w:t>
            </w:r>
            <w:r w:rsidRPr="00FE6AC6">
              <w:rPr>
                <w:rFonts w:eastAsia="MS Mincho"/>
                <w:szCs w:val="22"/>
                <w:lang w:val="en-US"/>
              </w:rPr>
              <w:noBreakHyphen/>
              <w:t>87</w:t>
            </w:r>
            <w:r w:rsidRPr="00FE6AC6">
              <w:rPr>
                <w:rFonts w:eastAsia="MS Mincho"/>
                <w:szCs w:val="22"/>
                <w:lang w:val="bg-BG"/>
              </w:rPr>
              <w:t>,</w:t>
            </w:r>
            <w:r w:rsidRPr="00FE6AC6">
              <w:rPr>
                <w:rFonts w:eastAsia="MS Mincho"/>
                <w:szCs w:val="22"/>
                <w:lang w:val="en-US"/>
              </w:rPr>
              <w:t>8)</w:t>
            </w:r>
          </w:p>
        </w:tc>
        <w:tc>
          <w:tcPr>
            <w:tcW w:w="3100" w:type="dxa"/>
            <w:shd w:val="clear" w:color="auto" w:fill="auto"/>
          </w:tcPr>
          <w:p w14:paraId="3E54FFF3" w14:textId="77777777" w:rsidR="00A83B63" w:rsidRPr="00FE6AC6" w:rsidRDefault="00A83B63" w:rsidP="008143B1">
            <w:pPr>
              <w:widowControl w:val="0"/>
              <w:tabs>
                <w:tab w:val="clear" w:pos="567"/>
                <w:tab w:val="left" w:pos="284"/>
              </w:tabs>
              <w:spacing w:line="240" w:lineRule="auto"/>
              <w:rPr>
                <w:rFonts w:eastAsia="MS Mincho"/>
                <w:szCs w:val="22"/>
                <w:lang w:val="en-US"/>
              </w:rPr>
            </w:pPr>
            <w:r w:rsidRPr="00FE6AC6">
              <w:rPr>
                <w:rFonts w:eastAsia="MS Mincho"/>
                <w:szCs w:val="22"/>
                <w:lang w:val="en-US"/>
              </w:rPr>
              <w:t>92</w:t>
            </w:r>
            <w:r w:rsidRPr="00FE6AC6">
              <w:rPr>
                <w:rFonts w:eastAsia="MS Mincho"/>
                <w:szCs w:val="22"/>
                <w:lang w:val="bg-BG"/>
              </w:rPr>
              <w:t>,</w:t>
            </w:r>
            <w:r w:rsidRPr="00FE6AC6">
              <w:rPr>
                <w:rFonts w:eastAsia="MS Mincho"/>
                <w:szCs w:val="22"/>
                <w:lang w:val="en-US"/>
              </w:rPr>
              <w:t>0 (85</w:t>
            </w:r>
            <w:r w:rsidRPr="00FE6AC6">
              <w:rPr>
                <w:rFonts w:eastAsia="MS Mincho"/>
                <w:szCs w:val="22"/>
                <w:lang w:val="bg-BG"/>
              </w:rPr>
              <w:t>,</w:t>
            </w:r>
            <w:r w:rsidRPr="00FE6AC6">
              <w:rPr>
                <w:rFonts w:eastAsia="MS Mincho"/>
                <w:szCs w:val="22"/>
                <w:lang w:val="en-US"/>
              </w:rPr>
              <w:t>3</w:t>
            </w:r>
            <w:r w:rsidRPr="00FE6AC6">
              <w:rPr>
                <w:rFonts w:eastAsia="MS Mincho"/>
                <w:szCs w:val="22"/>
                <w:lang w:val="en-US"/>
              </w:rPr>
              <w:noBreakHyphen/>
              <w:t>95</w:t>
            </w:r>
            <w:r w:rsidRPr="00FE6AC6">
              <w:rPr>
                <w:rFonts w:eastAsia="MS Mincho"/>
                <w:szCs w:val="22"/>
                <w:lang w:val="bg-BG"/>
              </w:rPr>
              <w:t>,</w:t>
            </w:r>
            <w:r w:rsidRPr="00FE6AC6">
              <w:rPr>
                <w:rFonts w:eastAsia="MS Mincho"/>
                <w:szCs w:val="22"/>
                <w:lang w:val="en-US"/>
              </w:rPr>
              <w:t>7)</w:t>
            </w:r>
          </w:p>
        </w:tc>
      </w:tr>
    </w:tbl>
    <w:p w14:paraId="3E54FFF5" w14:textId="77777777" w:rsidR="00A83B63" w:rsidRPr="00FE6AC6" w:rsidRDefault="00A83B63" w:rsidP="0063575E">
      <w:pPr>
        <w:widowControl w:val="0"/>
        <w:tabs>
          <w:tab w:val="clear" w:pos="567"/>
        </w:tabs>
        <w:spacing w:line="240" w:lineRule="auto"/>
        <w:rPr>
          <w:rFonts w:eastAsia="MS Mincho"/>
          <w:szCs w:val="22"/>
          <w:lang w:val="en-US"/>
        </w:rPr>
      </w:pPr>
    </w:p>
    <w:p w14:paraId="3E54FFF6" w14:textId="77777777" w:rsidR="00A83B63" w:rsidRPr="00FE6AC6" w:rsidRDefault="00A83B63" w:rsidP="0063575E">
      <w:pPr>
        <w:keepNext/>
        <w:keepLines/>
        <w:widowControl w:val="0"/>
        <w:tabs>
          <w:tab w:val="clear" w:pos="567"/>
          <w:tab w:val="left" w:pos="1134"/>
        </w:tabs>
        <w:spacing w:line="240" w:lineRule="auto"/>
        <w:ind w:left="1134" w:hanging="1134"/>
        <w:outlineLvl w:val="6"/>
        <w:rPr>
          <w:rFonts w:eastAsia="MS Mincho"/>
          <w:b/>
          <w:szCs w:val="22"/>
          <w:lang w:val="bg-BG"/>
        </w:rPr>
      </w:pPr>
      <w:r w:rsidRPr="00FE6AC6">
        <w:rPr>
          <w:rFonts w:eastAsia="MS Mincho"/>
          <w:b/>
          <w:szCs w:val="22"/>
          <w:lang w:val="bg-BG"/>
        </w:rPr>
        <w:t>Фигура</w:t>
      </w:r>
      <w:r w:rsidRPr="00FE6AC6">
        <w:rPr>
          <w:rFonts w:eastAsia="MS Mincho"/>
          <w:b/>
          <w:szCs w:val="22"/>
          <w:lang w:val="en-US"/>
        </w:rPr>
        <w:t> 1</w:t>
      </w:r>
      <w:r w:rsidRPr="00FE6AC6">
        <w:rPr>
          <w:rFonts w:eastAsia="MS Mincho"/>
          <w:b/>
          <w:szCs w:val="22"/>
          <w:lang w:val="en-US"/>
        </w:rPr>
        <w:tab/>
      </w:r>
      <w:r w:rsidRPr="00FE6AC6">
        <w:rPr>
          <w:rFonts w:eastAsia="MS Mincho"/>
          <w:b/>
          <w:szCs w:val="22"/>
          <w:lang w:val="bg-BG"/>
        </w:rPr>
        <w:t xml:space="preserve">Оценка по </w:t>
      </w:r>
      <w:r w:rsidRPr="00FE6AC6">
        <w:rPr>
          <w:rFonts w:eastAsia="MS Mincho"/>
          <w:b/>
          <w:szCs w:val="22"/>
          <w:lang w:val="en-US"/>
        </w:rPr>
        <w:t xml:space="preserve">Kaplan-Meier </w:t>
      </w:r>
      <w:r w:rsidRPr="00FE6AC6">
        <w:rPr>
          <w:rFonts w:eastAsia="MS Mincho"/>
          <w:b/>
          <w:szCs w:val="22"/>
          <w:lang w:val="bg-BG"/>
        </w:rPr>
        <w:t>на преживяемостта без рецидив</w:t>
      </w:r>
      <w:r w:rsidRPr="00FE6AC6">
        <w:rPr>
          <w:rFonts w:eastAsia="MS Mincho"/>
          <w:b/>
          <w:szCs w:val="22"/>
          <w:lang w:val="en-US"/>
        </w:rPr>
        <w:t xml:space="preserve"> (ITT </w:t>
      </w:r>
      <w:r w:rsidRPr="00FE6AC6">
        <w:rPr>
          <w:rFonts w:eastAsia="MS Mincho"/>
          <w:b/>
          <w:szCs w:val="22"/>
          <w:lang w:val="bg-BG"/>
        </w:rPr>
        <w:t>популация</w:t>
      </w:r>
      <w:r w:rsidRPr="00FE6AC6">
        <w:rPr>
          <w:rFonts w:eastAsia="MS Mincho"/>
          <w:b/>
          <w:szCs w:val="22"/>
          <w:lang w:val="en-US"/>
        </w:rPr>
        <w:t>)</w:t>
      </w:r>
    </w:p>
    <w:p w14:paraId="3E54FFF7" w14:textId="77777777" w:rsidR="00A83B63" w:rsidRPr="00FE6AC6" w:rsidRDefault="00613193" w:rsidP="0063575E">
      <w:pPr>
        <w:keepNext/>
        <w:keepLines/>
        <w:widowControl w:val="0"/>
        <w:tabs>
          <w:tab w:val="clear" w:pos="567"/>
        </w:tabs>
        <w:spacing w:line="240" w:lineRule="auto"/>
        <w:rPr>
          <w:rFonts w:eastAsia="MS Mincho"/>
          <w:szCs w:val="22"/>
          <w:lang w:val="en-US"/>
        </w:rPr>
      </w:pPr>
      <w:r w:rsidRPr="00FE6AC6">
        <w:rPr>
          <w:rFonts w:eastAsia="MS Mincho"/>
          <w:noProof/>
          <w:szCs w:val="22"/>
          <w:lang w:val="en-US"/>
        </w:rPr>
        <mc:AlternateContent>
          <mc:Choice Requires="wps">
            <w:drawing>
              <wp:anchor distT="0" distB="0" distL="114300" distR="114300" simplePos="0" relativeHeight="251654144" behindDoc="0" locked="0" layoutInCell="1" allowOverlap="1" wp14:anchorId="3E550FC6" wp14:editId="3E550FC7">
                <wp:simplePos x="0" y="0"/>
                <wp:positionH relativeFrom="column">
                  <wp:posOffset>-293370</wp:posOffset>
                </wp:positionH>
                <wp:positionV relativeFrom="paragraph">
                  <wp:posOffset>10160</wp:posOffset>
                </wp:positionV>
                <wp:extent cx="459740" cy="27787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2778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50FFB" w14:textId="77777777" w:rsidR="006033B4" w:rsidRPr="0086760E" w:rsidRDefault="006033B4" w:rsidP="00A932FA">
                            <w:r w:rsidRPr="0086760E">
                              <w:rPr>
                                <w:lang w:val="bg-BG"/>
                              </w:rPr>
                              <w:t>Вероятност за преживяемост без рецидив</w:t>
                            </w:r>
                          </w:p>
                          <w:p w14:paraId="3E550FFC" w14:textId="77777777" w:rsidR="006033B4" w:rsidRPr="00A33DBA" w:rsidRDefault="006033B4" w:rsidP="00A83B63">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550FC6" id="_x0000_t202" coordsize="21600,21600" o:spt="202" path="m,l,21600r21600,l21600,xe">
                <v:stroke joinstyle="miter"/>
                <v:path gradientshapeok="t" o:connecttype="rect"/>
              </v:shapetype>
              <v:shape id="Text Box 2" o:spid="_x0000_s1026" type="#_x0000_t202" style="position:absolute;margin-left:-23.1pt;margin-top:.8pt;width:36.2pt;height:21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" stroked="f">
                <v:fill opacity="0"/>
                <v:textbox style="layout-flow:vertical;mso-layout-flow-alt:bottom-to-top">
                  <w:txbxContent>
                    <w:p w14:paraId="3E550FFB" w14:textId="77777777" w:rsidR="006033B4" w:rsidRPr="0086760E" w:rsidRDefault="006033B4" w:rsidP="00A932FA">
                      <w:r w:rsidRPr="0086760E">
                        <w:rPr>
                          <w:lang w:val="bg-BG"/>
                        </w:rPr>
                        <w:t>Вероятност за преживяемост без рецидив</w:t>
                      </w:r>
                    </w:p>
                    <w:p w14:paraId="3E550FFC" w14:textId="77777777" w:rsidR="006033B4" w:rsidRPr="00A33DBA" w:rsidRDefault="006033B4" w:rsidP="00A83B63">
                      <w:pPr>
                        <w:rPr>
                          <w:rFonts w:ascii="Arial" w:hAnsi="Arial" w:cs="Arial"/>
                          <w:sz w:val="20"/>
                        </w:rPr>
                      </w:pPr>
                    </w:p>
                  </w:txbxContent>
                </v:textbox>
              </v:shape>
            </w:pict>
          </mc:Fallback>
        </mc:AlternateContent>
      </w:r>
    </w:p>
    <w:p w14:paraId="3E54FFF8" w14:textId="77777777" w:rsidR="00A83B63" w:rsidRPr="00FE6AC6" w:rsidRDefault="00613193" w:rsidP="0063575E">
      <w:pPr>
        <w:keepNext/>
        <w:keepLines/>
        <w:widowControl w:val="0"/>
        <w:tabs>
          <w:tab w:val="clear" w:pos="567"/>
        </w:tabs>
        <w:spacing w:line="240" w:lineRule="auto"/>
        <w:rPr>
          <w:rFonts w:eastAsia="MS Mincho"/>
          <w:szCs w:val="22"/>
          <w:lang w:val="en-US"/>
        </w:rPr>
      </w:pPr>
      <w:r w:rsidRPr="00FE6AC6">
        <w:rPr>
          <w:rFonts w:eastAsia="MS Mincho"/>
          <w:noProof/>
          <w:szCs w:val="22"/>
          <w:lang w:val="en-US"/>
        </w:rPr>
        <mc:AlternateContent>
          <mc:Choice Requires="wps">
            <w:drawing>
              <wp:anchor distT="0" distB="0" distL="114300" distR="114300" simplePos="0" relativeHeight="251652096" behindDoc="0" locked="0" layoutInCell="1" allowOverlap="1" wp14:anchorId="3E550FC8" wp14:editId="3E550FC9">
                <wp:simplePos x="0" y="0"/>
                <wp:positionH relativeFrom="column">
                  <wp:posOffset>350520</wp:posOffset>
                </wp:positionH>
                <wp:positionV relativeFrom="paragraph">
                  <wp:posOffset>1158240</wp:posOffset>
                </wp:positionV>
                <wp:extent cx="4585335" cy="123698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09"/>
                              <w:gridCol w:w="850"/>
                            </w:tblGrid>
                            <w:tr w:rsidR="006033B4" w:rsidRPr="0086760E" w14:paraId="3E551000" w14:textId="77777777">
                              <w:trPr>
                                <w:gridAfter w:val="4"/>
                                <w:wAfter w:w="2781" w:type="dxa"/>
                              </w:trPr>
                              <w:tc>
                                <w:tcPr>
                                  <w:tcW w:w="3281" w:type="dxa"/>
                                  <w:gridSpan w:val="2"/>
                                  <w:shd w:val="clear" w:color="auto" w:fill="auto"/>
                                </w:tcPr>
                                <w:p w14:paraId="3E550FFD" w14:textId="77777777" w:rsidR="006033B4" w:rsidRPr="0086760E" w:rsidRDefault="006033B4" w:rsidP="00D8384E">
                                  <w:r w:rsidRPr="0086760E">
                                    <w:t>P &lt; 0</w:t>
                                  </w:r>
                                  <w:r w:rsidRPr="0086760E">
                                    <w:rPr>
                                      <w:lang w:val="bg-BG"/>
                                    </w:rPr>
                                    <w:t>,</w:t>
                                  </w:r>
                                  <w:r w:rsidRPr="0086760E">
                                    <w:t>0001</w:t>
                                  </w:r>
                                </w:p>
                                <w:p w14:paraId="3E550FFE" w14:textId="77777777" w:rsidR="006033B4" w:rsidRPr="0086760E" w:rsidRDefault="006033B4" w:rsidP="00D8384E">
                                  <w:r w:rsidRPr="0086760E">
                                    <w:rPr>
                                      <w:lang w:val="bg-BG"/>
                                    </w:rPr>
                                    <w:t>Коефициент на риск</w:t>
                                  </w:r>
                                  <w:r w:rsidRPr="0086760E">
                                    <w:t xml:space="preserve"> 0,46</w:t>
                                  </w:r>
                                </w:p>
                                <w:p w14:paraId="3E550FFF" w14:textId="77777777" w:rsidR="006033B4" w:rsidRPr="0086760E" w:rsidRDefault="006033B4" w:rsidP="00B33277">
                                  <w:pPr>
                                    <w:rPr>
                                      <w:lang w:val="de-DE"/>
                                    </w:rPr>
                                  </w:pPr>
                                  <w:r w:rsidRPr="0086760E">
                                    <w:t xml:space="preserve">(95% </w:t>
                                  </w:r>
                                  <w:r>
                                    <w:t>CI</w:t>
                                  </w:r>
                                  <w:r w:rsidRPr="0086760E">
                                    <w:t>, 0,32</w:t>
                                  </w:r>
                                  <w:r w:rsidRPr="0086760E">
                                    <w:noBreakHyphen/>
                                    <w:t>0,65)</w:t>
                                  </w:r>
                                </w:p>
                              </w:tc>
                            </w:tr>
                            <w:tr w:rsidR="006033B4" w:rsidRPr="0055776F" w14:paraId="3E551006" w14:textId="77777777">
                              <w:tc>
                                <w:tcPr>
                                  <w:tcW w:w="817" w:type="dxa"/>
                                  <w:shd w:val="clear" w:color="auto" w:fill="auto"/>
                                </w:tcPr>
                                <w:p w14:paraId="3E551001" w14:textId="77777777" w:rsidR="006033B4" w:rsidRPr="0086760E" w:rsidRDefault="006033B4" w:rsidP="00F80ECB"/>
                              </w:tc>
                              <w:tc>
                                <w:tcPr>
                                  <w:tcW w:w="2835" w:type="dxa"/>
                                  <w:gridSpan w:val="2"/>
                                  <w:shd w:val="clear" w:color="auto" w:fill="auto"/>
                                </w:tcPr>
                                <w:p w14:paraId="3E551002" w14:textId="77777777" w:rsidR="006033B4" w:rsidRPr="0086760E" w:rsidRDefault="006033B4" w:rsidP="00F80ECB"/>
                              </w:tc>
                              <w:tc>
                                <w:tcPr>
                                  <w:tcW w:w="851" w:type="dxa"/>
                                  <w:tcBorders>
                                    <w:bottom w:val="single" w:sz="4" w:space="0" w:color="auto"/>
                                  </w:tcBorders>
                                  <w:shd w:val="clear" w:color="auto" w:fill="auto"/>
                                </w:tcPr>
                                <w:p w14:paraId="3E551003" w14:textId="77777777" w:rsidR="006033B4" w:rsidRPr="0086760E" w:rsidRDefault="006033B4" w:rsidP="00F80ECB">
                                  <w:r w:rsidRPr="0086760E">
                                    <w:rPr>
                                      <w:lang w:val="de-DE"/>
                                    </w:rPr>
                                    <w:t>N</w:t>
                                  </w:r>
                                </w:p>
                              </w:tc>
                              <w:tc>
                                <w:tcPr>
                                  <w:tcW w:w="709" w:type="dxa"/>
                                  <w:tcBorders>
                                    <w:bottom w:val="single" w:sz="4" w:space="0" w:color="auto"/>
                                  </w:tcBorders>
                                  <w:shd w:val="clear" w:color="auto" w:fill="auto"/>
                                </w:tcPr>
                                <w:p w14:paraId="3E551004" w14:textId="77777777" w:rsidR="006033B4" w:rsidRPr="0086760E" w:rsidRDefault="006033B4" w:rsidP="00F80ECB">
                                  <w:r w:rsidRPr="0086760E">
                                    <w:rPr>
                                      <w:lang w:val="bg-BG"/>
                                    </w:rPr>
                                    <w:t>Съб</w:t>
                                  </w:r>
                                </w:p>
                              </w:tc>
                              <w:tc>
                                <w:tcPr>
                                  <w:tcW w:w="850" w:type="dxa"/>
                                  <w:tcBorders>
                                    <w:bottom w:val="single" w:sz="4" w:space="0" w:color="auto"/>
                                  </w:tcBorders>
                                  <w:shd w:val="clear" w:color="auto" w:fill="auto"/>
                                </w:tcPr>
                                <w:p w14:paraId="3E551005" w14:textId="77777777" w:rsidR="006033B4" w:rsidRPr="0086760E" w:rsidRDefault="006033B4" w:rsidP="00F80ECB">
                                  <w:r w:rsidRPr="0086760E">
                                    <w:rPr>
                                      <w:lang w:val="bg-BG"/>
                                    </w:rPr>
                                    <w:t>Цен</w:t>
                                  </w:r>
                                </w:p>
                              </w:tc>
                            </w:tr>
                            <w:tr w:rsidR="006033B4" w:rsidRPr="0055776F" w14:paraId="3E55100C" w14:textId="77777777">
                              <w:tc>
                                <w:tcPr>
                                  <w:tcW w:w="817" w:type="dxa"/>
                                  <w:shd w:val="clear" w:color="auto" w:fill="auto"/>
                                </w:tcPr>
                                <w:p w14:paraId="3E551007" w14:textId="77777777" w:rsidR="006033B4" w:rsidRPr="0086760E" w:rsidRDefault="006033B4" w:rsidP="00F80ECB">
                                  <w:r w:rsidRPr="0086760E">
                                    <w:rPr>
                                      <w:b/>
                                    </w:rPr>
                                    <w:t>——</w:t>
                                  </w:r>
                                </w:p>
                              </w:tc>
                              <w:tc>
                                <w:tcPr>
                                  <w:tcW w:w="2835" w:type="dxa"/>
                                  <w:gridSpan w:val="2"/>
                                  <w:shd w:val="clear" w:color="auto" w:fill="auto"/>
                                </w:tcPr>
                                <w:p w14:paraId="3E551008" w14:textId="77777777" w:rsidR="006033B4" w:rsidRPr="0086760E" w:rsidRDefault="006033B4" w:rsidP="00F80ECB">
                                  <w:r w:rsidRPr="0086760E">
                                    <w:t xml:space="preserve">1) </w:t>
                                  </w:r>
                                  <w:r w:rsidRPr="0086760E">
                                    <w:rPr>
                                      <w:lang w:val="bg-BG"/>
                                    </w:rPr>
                                    <w:t>Иматиниб</w:t>
                                  </w:r>
                                  <w:r w:rsidRPr="0086760E">
                                    <w:t xml:space="preserve"> 12 </w:t>
                                  </w:r>
                                  <w:r w:rsidRPr="0086760E">
                                    <w:rPr>
                                      <w:lang w:val="bg-BG"/>
                                    </w:rPr>
                                    <w:t>Месеца</w:t>
                                  </w:r>
                                  <w:r w:rsidRPr="0086760E">
                                    <w:t>:</w:t>
                                  </w:r>
                                </w:p>
                              </w:tc>
                              <w:tc>
                                <w:tcPr>
                                  <w:tcW w:w="851" w:type="dxa"/>
                                  <w:tcBorders>
                                    <w:top w:val="single" w:sz="4" w:space="0" w:color="auto"/>
                                  </w:tcBorders>
                                  <w:shd w:val="clear" w:color="auto" w:fill="auto"/>
                                </w:tcPr>
                                <w:p w14:paraId="3E551009" w14:textId="77777777" w:rsidR="006033B4" w:rsidRPr="0086760E" w:rsidRDefault="006033B4" w:rsidP="00F80ECB">
                                  <w:r w:rsidRPr="0086760E">
                                    <w:t>199</w:t>
                                  </w:r>
                                </w:p>
                              </w:tc>
                              <w:tc>
                                <w:tcPr>
                                  <w:tcW w:w="709" w:type="dxa"/>
                                  <w:tcBorders>
                                    <w:top w:val="single" w:sz="4" w:space="0" w:color="auto"/>
                                  </w:tcBorders>
                                  <w:shd w:val="clear" w:color="auto" w:fill="auto"/>
                                </w:tcPr>
                                <w:p w14:paraId="3E55100A" w14:textId="77777777" w:rsidR="006033B4" w:rsidRPr="0086760E" w:rsidRDefault="006033B4" w:rsidP="00F80ECB">
                                  <w:r w:rsidRPr="0086760E">
                                    <w:t>84</w:t>
                                  </w:r>
                                </w:p>
                              </w:tc>
                              <w:tc>
                                <w:tcPr>
                                  <w:tcW w:w="850" w:type="dxa"/>
                                  <w:tcBorders>
                                    <w:top w:val="single" w:sz="4" w:space="0" w:color="auto"/>
                                  </w:tcBorders>
                                  <w:shd w:val="clear" w:color="auto" w:fill="auto"/>
                                </w:tcPr>
                                <w:p w14:paraId="3E55100B" w14:textId="77777777" w:rsidR="006033B4" w:rsidRPr="0086760E" w:rsidRDefault="006033B4" w:rsidP="00F80ECB">
                                  <w:r w:rsidRPr="0086760E">
                                    <w:t>115</w:t>
                                  </w:r>
                                </w:p>
                              </w:tc>
                            </w:tr>
                            <w:tr w:rsidR="006033B4" w:rsidRPr="0055776F" w14:paraId="3E551012" w14:textId="77777777">
                              <w:tc>
                                <w:tcPr>
                                  <w:tcW w:w="817" w:type="dxa"/>
                                  <w:shd w:val="clear" w:color="auto" w:fill="auto"/>
                                </w:tcPr>
                                <w:p w14:paraId="3E55100D" w14:textId="77777777" w:rsidR="006033B4" w:rsidRPr="0086760E" w:rsidRDefault="006033B4" w:rsidP="00F80ECB">
                                  <w:r w:rsidRPr="0086760E">
                                    <w:t>-----</w:t>
                                  </w:r>
                                </w:p>
                              </w:tc>
                              <w:tc>
                                <w:tcPr>
                                  <w:tcW w:w="2835" w:type="dxa"/>
                                  <w:gridSpan w:val="2"/>
                                  <w:shd w:val="clear" w:color="auto" w:fill="auto"/>
                                </w:tcPr>
                                <w:p w14:paraId="3E55100E" w14:textId="77777777" w:rsidR="006033B4" w:rsidRPr="0086760E" w:rsidRDefault="006033B4" w:rsidP="00F80ECB">
                                  <w:r w:rsidRPr="0086760E">
                                    <w:t xml:space="preserve">(2) </w:t>
                                  </w:r>
                                  <w:r w:rsidRPr="0086760E">
                                    <w:rPr>
                                      <w:lang w:val="bg-BG"/>
                                    </w:rPr>
                                    <w:t>Иматиниб</w:t>
                                  </w:r>
                                  <w:r w:rsidRPr="0086760E">
                                    <w:t xml:space="preserve"> 36 </w:t>
                                  </w:r>
                                  <w:r w:rsidRPr="0086760E">
                                    <w:rPr>
                                      <w:lang w:val="bg-BG"/>
                                    </w:rPr>
                                    <w:t>Месеца</w:t>
                                  </w:r>
                                  <w:r w:rsidRPr="0086760E">
                                    <w:t>:</w:t>
                                  </w:r>
                                </w:p>
                              </w:tc>
                              <w:tc>
                                <w:tcPr>
                                  <w:tcW w:w="851" w:type="dxa"/>
                                  <w:tcBorders>
                                    <w:bottom w:val="single" w:sz="4" w:space="0" w:color="auto"/>
                                  </w:tcBorders>
                                  <w:shd w:val="clear" w:color="auto" w:fill="auto"/>
                                </w:tcPr>
                                <w:p w14:paraId="3E55100F" w14:textId="77777777" w:rsidR="006033B4" w:rsidRPr="0086760E" w:rsidRDefault="006033B4" w:rsidP="00F80ECB">
                                  <w:r w:rsidRPr="0086760E">
                                    <w:t>198</w:t>
                                  </w:r>
                                </w:p>
                              </w:tc>
                              <w:tc>
                                <w:tcPr>
                                  <w:tcW w:w="709" w:type="dxa"/>
                                  <w:tcBorders>
                                    <w:bottom w:val="single" w:sz="4" w:space="0" w:color="auto"/>
                                  </w:tcBorders>
                                  <w:shd w:val="clear" w:color="auto" w:fill="auto"/>
                                </w:tcPr>
                                <w:p w14:paraId="3E551010" w14:textId="77777777" w:rsidR="006033B4" w:rsidRPr="0086760E" w:rsidRDefault="006033B4" w:rsidP="00F80ECB">
                                  <w:r w:rsidRPr="0086760E">
                                    <w:t>50</w:t>
                                  </w:r>
                                </w:p>
                              </w:tc>
                              <w:tc>
                                <w:tcPr>
                                  <w:tcW w:w="850" w:type="dxa"/>
                                  <w:tcBorders>
                                    <w:bottom w:val="single" w:sz="4" w:space="0" w:color="auto"/>
                                  </w:tcBorders>
                                  <w:shd w:val="clear" w:color="auto" w:fill="auto"/>
                                </w:tcPr>
                                <w:p w14:paraId="3E551011" w14:textId="77777777" w:rsidR="006033B4" w:rsidRPr="0086760E" w:rsidRDefault="006033B4" w:rsidP="00F80ECB">
                                  <w:r w:rsidRPr="0086760E">
                                    <w:t>148</w:t>
                                  </w:r>
                                </w:p>
                              </w:tc>
                            </w:tr>
                            <w:tr w:rsidR="006033B4" w:rsidRPr="0055776F" w14:paraId="3E551018" w14:textId="77777777">
                              <w:tc>
                                <w:tcPr>
                                  <w:tcW w:w="817" w:type="dxa"/>
                                  <w:shd w:val="clear" w:color="auto" w:fill="auto"/>
                                </w:tcPr>
                                <w:p w14:paraId="3E551013" w14:textId="77777777" w:rsidR="006033B4" w:rsidRPr="0086760E" w:rsidRDefault="006033B4" w:rsidP="00F80ECB">
                                  <w:r w:rsidRPr="0086760E">
                                    <w:t>│││</w:t>
                                  </w:r>
                                </w:p>
                              </w:tc>
                              <w:tc>
                                <w:tcPr>
                                  <w:tcW w:w="2835" w:type="dxa"/>
                                  <w:gridSpan w:val="2"/>
                                  <w:shd w:val="clear" w:color="auto" w:fill="auto"/>
                                </w:tcPr>
                                <w:p w14:paraId="3E551014" w14:textId="77777777" w:rsidR="006033B4" w:rsidRPr="0086760E" w:rsidRDefault="006033B4" w:rsidP="00F80ECB">
                                  <w:r w:rsidRPr="0086760E">
                                    <w:rPr>
                                      <w:lang w:val="bg-BG"/>
                                    </w:rPr>
                                    <w:t>Цензурирани наблюдения</w:t>
                                  </w:r>
                                </w:p>
                              </w:tc>
                              <w:tc>
                                <w:tcPr>
                                  <w:tcW w:w="851" w:type="dxa"/>
                                  <w:tcBorders>
                                    <w:top w:val="single" w:sz="4" w:space="0" w:color="auto"/>
                                  </w:tcBorders>
                                  <w:shd w:val="clear" w:color="auto" w:fill="auto"/>
                                </w:tcPr>
                                <w:p w14:paraId="3E551015" w14:textId="77777777" w:rsidR="006033B4" w:rsidRPr="0086760E" w:rsidRDefault="006033B4" w:rsidP="00F80ECB"/>
                              </w:tc>
                              <w:tc>
                                <w:tcPr>
                                  <w:tcW w:w="709" w:type="dxa"/>
                                  <w:tcBorders>
                                    <w:top w:val="single" w:sz="4" w:space="0" w:color="auto"/>
                                  </w:tcBorders>
                                  <w:shd w:val="clear" w:color="auto" w:fill="auto"/>
                                </w:tcPr>
                                <w:p w14:paraId="3E551016" w14:textId="77777777" w:rsidR="006033B4" w:rsidRPr="0086760E" w:rsidRDefault="006033B4" w:rsidP="00F80ECB"/>
                              </w:tc>
                              <w:tc>
                                <w:tcPr>
                                  <w:tcW w:w="850" w:type="dxa"/>
                                  <w:tcBorders>
                                    <w:top w:val="single" w:sz="4" w:space="0" w:color="auto"/>
                                  </w:tcBorders>
                                  <w:shd w:val="clear" w:color="auto" w:fill="auto"/>
                                </w:tcPr>
                                <w:p w14:paraId="3E551017" w14:textId="77777777" w:rsidR="006033B4" w:rsidRPr="0086760E" w:rsidRDefault="006033B4" w:rsidP="00F80ECB"/>
                              </w:tc>
                            </w:tr>
                          </w:tbl>
                          <w:p w14:paraId="3E551019" w14:textId="77777777" w:rsidR="006033B4" w:rsidRPr="00A33DBA" w:rsidRDefault="006033B4" w:rsidP="00A83B63">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C8" id="_x0000_s1027" type="#_x0000_t202" style="position:absolute;margin-left:27.6pt;margin-top:91.2pt;width:361.05pt;height:97.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" filled="f" stroked="f">
                <v:textbox>
                  <w:txbxContent>
                    <w:tbl>
                      <w:tblPr>
                        <w:tblW w:w="0" w:type="auto"/>
                        <w:tblLook w:val="04A0" w:firstRow="1" w:lastRow="0" w:firstColumn="1" w:lastColumn="0" w:noHBand="0" w:noVBand="1"/>
                      </w:tblPr>
                      <w:tblGrid>
                        <w:gridCol w:w="817"/>
                        <w:gridCol w:w="2464"/>
                        <w:gridCol w:w="371"/>
                        <w:gridCol w:w="851"/>
                        <w:gridCol w:w="709"/>
                        <w:gridCol w:w="850"/>
                      </w:tblGrid>
                      <w:tr w:rsidR="006033B4" w:rsidRPr="0086760E" w14:paraId="3E551000" w14:textId="77777777">
                        <w:trPr>
                          <w:gridAfter w:val="4"/>
                          <w:wAfter w:w="2781" w:type="dxa"/>
                        </w:trPr>
                        <w:tc>
                          <w:tcPr>
                            <w:tcW w:w="3281" w:type="dxa"/>
                            <w:gridSpan w:val="2"/>
                            <w:shd w:val="clear" w:color="auto" w:fill="auto"/>
                          </w:tcPr>
                          <w:p w14:paraId="3E550FFD" w14:textId="77777777" w:rsidR="006033B4" w:rsidRPr="0086760E" w:rsidRDefault="006033B4" w:rsidP="00D8384E">
                            <w:r w:rsidRPr="0086760E">
                              <w:t>P &lt; 0</w:t>
                            </w:r>
                            <w:r w:rsidRPr="0086760E">
                              <w:rPr>
                                <w:lang w:val="bg-BG"/>
                              </w:rPr>
                              <w:t>,</w:t>
                            </w:r>
                            <w:r w:rsidRPr="0086760E">
                              <w:t>0001</w:t>
                            </w:r>
                          </w:p>
                          <w:p w14:paraId="3E550FFE" w14:textId="77777777" w:rsidR="006033B4" w:rsidRPr="0086760E" w:rsidRDefault="006033B4" w:rsidP="00D8384E">
                            <w:r w:rsidRPr="0086760E">
                              <w:rPr>
                                <w:lang w:val="bg-BG"/>
                              </w:rPr>
                              <w:t>Коефициент на риск</w:t>
                            </w:r>
                            <w:r w:rsidRPr="0086760E">
                              <w:t xml:space="preserve"> 0,46</w:t>
                            </w:r>
                          </w:p>
                          <w:p w14:paraId="3E550FFF" w14:textId="77777777" w:rsidR="006033B4" w:rsidRPr="0086760E" w:rsidRDefault="006033B4" w:rsidP="00B33277">
                            <w:pPr>
                              <w:rPr>
                                <w:lang w:val="de-DE"/>
                              </w:rPr>
                            </w:pPr>
                            <w:r w:rsidRPr="0086760E">
                              <w:t xml:space="preserve">(95% </w:t>
                            </w:r>
                            <w:r>
                              <w:t>CI</w:t>
                            </w:r>
                            <w:r w:rsidRPr="0086760E">
                              <w:t>, 0,32</w:t>
                            </w:r>
                            <w:r w:rsidRPr="0086760E">
                              <w:noBreakHyphen/>
                              <w:t>0,65)</w:t>
                            </w:r>
                          </w:p>
                        </w:tc>
                      </w:tr>
                      <w:tr w:rsidR="006033B4" w:rsidRPr="0055776F" w14:paraId="3E551006" w14:textId="77777777">
                        <w:tc>
                          <w:tcPr>
                            <w:tcW w:w="817" w:type="dxa"/>
                            <w:shd w:val="clear" w:color="auto" w:fill="auto"/>
                          </w:tcPr>
                          <w:p w14:paraId="3E551001" w14:textId="77777777" w:rsidR="006033B4" w:rsidRPr="0086760E" w:rsidRDefault="006033B4" w:rsidP="00F80ECB"/>
                        </w:tc>
                        <w:tc>
                          <w:tcPr>
                            <w:tcW w:w="2835" w:type="dxa"/>
                            <w:gridSpan w:val="2"/>
                            <w:shd w:val="clear" w:color="auto" w:fill="auto"/>
                          </w:tcPr>
                          <w:p w14:paraId="3E551002" w14:textId="77777777" w:rsidR="006033B4" w:rsidRPr="0086760E" w:rsidRDefault="006033B4" w:rsidP="00F80ECB"/>
                        </w:tc>
                        <w:tc>
                          <w:tcPr>
                            <w:tcW w:w="851" w:type="dxa"/>
                            <w:tcBorders>
                              <w:bottom w:val="single" w:sz="4" w:space="0" w:color="auto"/>
                            </w:tcBorders>
                            <w:shd w:val="clear" w:color="auto" w:fill="auto"/>
                          </w:tcPr>
                          <w:p w14:paraId="3E551003" w14:textId="77777777" w:rsidR="006033B4" w:rsidRPr="0086760E" w:rsidRDefault="006033B4" w:rsidP="00F80ECB">
                            <w:r w:rsidRPr="0086760E">
                              <w:rPr>
                                <w:lang w:val="de-DE"/>
                              </w:rPr>
                              <w:t>N</w:t>
                            </w:r>
                          </w:p>
                        </w:tc>
                        <w:tc>
                          <w:tcPr>
                            <w:tcW w:w="709" w:type="dxa"/>
                            <w:tcBorders>
                              <w:bottom w:val="single" w:sz="4" w:space="0" w:color="auto"/>
                            </w:tcBorders>
                            <w:shd w:val="clear" w:color="auto" w:fill="auto"/>
                          </w:tcPr>
                          <w:p w14:paraId="3E551004" w14:textId="77777777" w:rsidR="006033B4" w:rsidRPr="0086760E" w:rsidRDefault="006033B4" w:rsidP="00F80ECB">
                            <w:r w:rsidRPr="0086760E">
                              <w:rPr>
                                <w:lang w:val="bg-BG"/>
                              </w:rPr>
                              <w:t>Съб</w:t>
                            </w:r>
                          </w:p>
                        </w:tc>
                        <w:tc>
                          <w:tcPr>
                            <w:tcW w:w="850" w:type="dxa"/>
                            <w:tcBorders>
                              <w:bottom w:val="single" w:sz="4" w:space="0" w:color="auto"/>
                            </w:tcBorders>
                            <w:shd w:val="clear" w:color="auto" w:fill="auto"/>
                          </w:tcPr>
                          <w:p w14:paraId="3E551005" w14:textId="77777777" w:rsidR="006033B4" w:rsidRPr="0086760E" w:rsidRDefault="006033B4" w:rsidP="00F80ECB">
                            <w:r w:rsidRPr="0086760E">
                              <w:rPr>
                                <w:lang w:val="bg-BG"/>
                              </w:rPr>
                              <w:t>Цен</w:t>
                            </w:r>
                          </w:p>
                        </w:tc>
                      </w:tr>
                      <w:tr w:rsidR="006033B4" w:rsidRPr="0055776F" w14:paraId="3E55100C" w14:textId="77777777">
                        <w:tc>
                          <w:tcPr>
                            <w:tcW w:w="817" w:type="dxa"/>
                            <w:shd w:val="clear" w:color="auto" w:fill="auto"/>
                          </w:tcPr>
                          <w:p w14:paraId="3E551007" w14:textId="77777777" w:rsidR="006033B4" w:rsidRPr="0086760E" w:rsidRDefault="006033B4" w:rsidP="00F80ECB">
                            <w:r w:rsidRPr="0086760E">
                              <w:rPr>
                                <w:b/>
                              </w:rPr>
                              <w:t>——</w:t>
                            </w:r>
                          </w:p>
                        </w:tc>
                        <w:tc>
                          <w:tcPr>
                            <w:tcW w:w="2835" w:type="dxa"/>
                            <w:gridSpan w:val="2"/>
                            <w:shd w:val="clear" w:color="auto" w:fill="auto"/>
                          </w:tcPr>
                          <w:p w14:paraId="3E551008" w14:textId="77777777" w:rsidR="006033B4" w:rsidRPr="0086760E" w:rsidRDefault="006033B4" w:rsidP="00F80ECB">
                            <w:r w:rsidRPr="0086760E">
                              <w:t xml:space="preserve">1) </w:t>
                            </w:r>
                            <w:r w:rsidRPr="0086760E">
                              <w:rPr>
                                <w:lang w:val="bg-BG"/>
                              </w:rPr>
                              <w:t>Иматиниб</w:t>
                            </w:r>
                            <w:r w:rsidRPr="0086760E">
                              <w:t xml:space="preserve"> 12 </w:t>
                            </w:r>
                            <w:r w:rsidRPr="0086760E">
                              <w:rPr>
                                <w:lang w:val="bg-BG"/>
                              </w:rPr>
                              <w:t>Месеца</w:t>
                            </w:r>
                            <w:r w:rsidRPr="0086760E">
                              <w:t>:</w:t>
                            </w:r>
                          </w:p>
                        </w:tc>
                        <w:tc>
                          <w:tcPr>
                            <w:tcW w:w="851" w:type="dxa"/>
                            <w:tcBorders>
                              <w:top w:val="single" w:sz="4" w:space="0" w:color="auto"/>
                            </w:tcBorders>
                            <w:shd w:val="clear" w:color="auto" w:fill="auto"/>
                          </w:tcPr>
                          <w:p w14:paraId="3E551009" w14:textId="77777777" w:rsidR="006033B4" w:rsidRPr="0086760E" w:rsidRDefault="006033B4" w:rsidP="00F80ECB">
                            <w:r w:rsidRPr="0086760E">
                              <w:t>199</w:t>
                            </w:r>
                          </w:p>
                        </w:tc>
                        <w:tc>
                          <w:tcPr>
                            <w:tcW w:w="709" w:type="dxa"/>
                            <w:tcBorders>
                              <w:top w:val="single" w:sz="4" w:space="0" w:color="auto"/>
                            </w:tcBorders>
                            <w:shd w:val="clear" w:color="auto" w:fill="auto"/>
                          </w:tcPr>
                          <w:p w14:paraId="3E55100A" w14:textId="77777777" w:rsidR="006033B4" w:rsidRPr="0086760E" w:rsidRDefault="006033B4" w:rsidP="00F80ECB">
                            <w:r w:rsidRPr="0086760E">
                              <w:t>84</w:t>
                            </w:r>
                          </w:p>
                        </w:tc>
                        <w:tc>
                          <w:tcPr>
                            <w:tcW w:w="850" w:type="dxa"/>
                            <w:tcBorders>
                              <w:top w:val="single" w:sz="4" w:space="0" w:color="auto"/>
                            </w:tcBorders>
                            <w:shd w:val="clear" w:color="auto" w:fill="auto"/>
                          </w:tcPr>
                          <w:p w14:paraId="3E55100B" w14:textId="77777777" w:rsidR="006033B4" w:rsidRPr="0086760E" w:rsidRDefault="006033B4" w:rsidP="00F80ECB">
                            <w:r w:rsidRPr="0086760E">
                              <w:t>115</w:t>
                            </w:r>
                          </w:p>
                        </w:tc>
                      </w:tr>
                      <w:tr w:rsidR="006033B4" w:rsidRPr="0055776F" w14:paraId="3E551012" w14:textId="77777777">
                        <w:tc>
                          <w:tcPr>
                            <w:tcW w:w="817" w:type="dxa"/>
                            <w:shd w:val="clear" w:color="auto" w:fill="auto"/>
                          </w:tcPr>
                          <w:p w14:paraId="3E55100D" w14:textId="77777777" w:rsidR="006033B4" w:rsidRPr="0086760E" w:rsidRDefault="006033B4" w:rsidP="00F80ECB">
                            <w:r w:rsidRPr="0086760E">
                              <w:t>-----</w:t>
                            </w:r>
                          </w:p>
                        </w:tc>
                        <w:tc>
                          <w:tcPr>
                            <w:tcW w:w="2835" w:type="dxa"/>
                            <w:gridSpan w:val="2"/>
                            <w:shd w:val="clear" w:color="auto" w:fill="auto"/>
                          </w:tcPr>
                          <w:p w14:paraId="3E55100E" w14:textId="77777777" w:rsidR="006033B4" w:rsidRPr="0086760E" w:rsidRDefault="006033B4" w:rsidP="00F80ECB">
                            <w:r w:rsidRPr="0086760E">
                              <w:t xml:space="preserve">(2) </w:t>
                            </w:r>
                            <w:r w:rsidRPr="0086760E">
                              <w:rPr>
                                <w:lang w:val="bg-BG"/>
                              </w:rPr>
                              <w:t>Иматиниб</w:t>
                            </w:r>
                            <w:r w:rsidRPr="0086760E">
                              <w:t xml:space="preserve"> 36 </w:t>
                            </w:r>
                            <w:r w:rsidRPr="0086760E">
                              <w:rPr>
                                <w:lang w:val="bg-BG"/>
                              </w:rPr>
                              <w:t>Месеца</w:t>
                            </w:r>
                            <w:r w:rsidRPr="0086760E">
                              <w:t>:</w:t>
                            </w:r>
                          </w:p>
                        </w:tc>
                        <w:tc>
                          <w:tcPr>
                            <w:tcW w:w="851" w:type="dxa"/>
                            <w:tcBorders>
                              <w:bottom w:val="single" w:sz="4" w:space="0" w:color="auto"/>
                            </w:tcBorders>
                            <w:shd w:val="clear" w:color="auto" w:fill="auto"/>
                          </w:tcPr>
                          <w:p w14:paraId="3E55100F" w14:textId="77777777" w:rsidR="006033B4" w:rsidRPr="0086760E" w:rsidRDefault="006033B4" w:rsidP="00F80ECB">
                            <w:r w:rsidRPr="0086760E">
                              <w:t>198</w:t>
                            </w:r>
                          </w:p>
                        </w:tc>
                        <w:tc>
                          <w:tcPr>
                            <w:tcW w:w="709" w:type="dxa"/>
                            <w:tcBorders>
                              <w:bottom w:val="single" w:sz="4" w:space="0" w:color="auto"/>
                            </w:tcBorders>
                            <w:shd w:val="clear" w:color="auto" w:fill="auto"/>
                          </w:tcPr>
                          <w:p w14:paraId="3E551010" w14:textId="77777777" w:rsidR="006033B4" w:rsidRPr="0086760E" w:rsidRDefault="006033B4" w:rsidP="00F80ECB">
                            <w:r w:rsidRPr="0086760E">
                              <w:t>50</w:t>
                            </w:r>
                          </w:p>
                        </w:tc>
                        <w:tc>
                          <w:tcPr>
                            <w:tcW w:w="850" w:type="dxa"/>
                            <w:tcBorders>
                              <w:bottom w:val="single" w:sz="4" w:space="0" w:color="auto"/>
                            </w:tcBorders>
                            <w:shd w:val="clear" w:color="auto" w:fill="auto"/>
                          </w:tcPr>
                          <w:p w14:paraId="3E551011" w14:textId="77777777" w:rsidR="006033B4" w:rsidRPr="0086760E" w:rsidRDefault="006033B4" w:rsidP="00F80ECB">
                            <w:r w:rsidRPr="0086760E">
                              <w:t>148</w:t>
                            </w:r>
                          </w:p>
                        </w:tc>
                      </w:tr>
                      <w:tr w:rsidR="006033B4" w:rsidRPr="0055776F" w14:paraId="3E551018" w14:textId="77777777">
                        <w:tc>
                          <w:tcPr>
                            <w:tcW w:w="817" w:type="dxa"/>
                            <w:shd w:val="clear" w:color="auto" w:fill="auto"/>
                          </w:tcPr>
                          <w:p w14:paraId="3E551013" w14:textId="77777777" w:rsidR="006033B4" w:rsidRPr="0086760E" w:rsidRDefault="006033B4" w:rsidP="00F80ECB">
                            <w:r w:rsidRPr="0086760E">
                              <w:t>│││</w:t>
                            </w:r>
                          </w:p>
                        </w:tc>
                        <w:tc>
                          <w:tcPr>
                            <w:tcW w:w="2835" w:type="dxa"/>
                            <w:gridSpan w:val="2"/>
                            <w:shd w:val="clear" w:color="auto" w:fill="auto"/>
                          </w:tcPr>
                          <w:p w14:paraId="3E551014" w14:textId="77777777" w:rsidR="006033B4" w:rsidRPr="0086760E" w:rsidRDefault="006033B4" w:rsidP="00F80ECB">
                            <w:r w:rsidRPr="0086760E">
                              <w:rPr>
                                <w:lang w:val="bg-BG"/>
                              </w:rPr>
                              <w:t>Цензурирани наблюдения</w:t>
                            </w:r>
                          </w:p>
                        </w:tc>
                        <w:tc>
                          <w:tcPr>
                            <w:tcW w:w="851" w:type="dxa"/>
                            <w:tcBorders>
                              <w:top w:val="single" w:sz="4" w:space="0" w:color="auto"/>
                            </w:tcBorders>
                            <w:shd w:val="clear" w:color="auto" w:fill="auto"/>
                          </w:tcPr>
                          <w:p w14:paraId="3E551015" w14:textId="77777777" w:rsidR="006033B4" w:rsidRPr="0086760E" w:rsidRDefault="006033B4" w:rsidP="00F80ECB"/>
                        </w:tc>
                        <w:tc>
                          <w:tcPr>
                            <w:tcW w:w="709" w:type="dxa"/>
                            <w:tcBorders>
                              <w:top w:val="single" w:sz="4" w:space="0" w:color="auto"/>
                            </w:tcBorders>
                            <w:shd w:val="clear" w:color="auto" w:fill="auto"/>
                          </w:tcPr>
                          <w:p w14:paraId="3E551016" w14:textId="77777777" w:rsidR="006033B4" w:rsidRPr="0086760E" w:rsidRDefault="006033B4" w:rsidP="00F80ECB"/>
                        </w:tc>
                        <w:tc>
                          <w:tcPr>
                            <w:tcW w:w="850" w:type="dxa"/>
                            <w:tcBorders>
                              <w:top w:val="single" w:sz="4" w:space="0" w:color="auto"/>
                            </w:tcBorders>
                            <w:shd w:val="clear" w:color="auto" w:fill="auto"/>
                          </w:tcPr>
                          <w:p w14:paraId="3E551017" w14:textId="77777777" w:rsidR="006033B4" w:rsidRPr="0086760E" w:rsidRDefault="006033B4" w:rsidP="00F80ECB"/>
                        </w:tc>
                      </w:tr>
                    </w:tbl>
                    <w:p w14:paraId="3E551019" w14:textId="77777777" w:rsidR="006033B4" w:rsidRPr="00A33DBA" w:rsidRDefault="006033B4" w:rsidP="00A83B63">
                      <w:pPr>
                        <w:rPr>
                          <w:rFonts w:ascii="Arial" w:hAnsi="Arial" w:cs="Arial"/>
                          <w:sz w:val="20"/>
                        </w:rPr>
                      </w:pPr>
                    </w:p>
                  </w:txbxContent>
                </v:textbox>
              </v:shape>
            </w:pict>
          </mc:Fallback>
        </mc:AlternateContent>
      </w:r>
      <w:r w:rsidRPr="00FE6AC6">
        <w:rPr>
          <w:rFonts w:eastAsia="MS Mincho"/>
          <w:noProof/>
          <w:szCs w:val="22"/>
          <w:lang w:val="en-US"/>
        </w:rPr>
        <mc:AlternateContent>
          <mc:Choice Requires="wps">
            <w:drawing>
              <wp:anchor distT="0" distB="0" distL="114300" distR="114300" simplePos="0" relativeHeight="251653120" behindDoc="0" locked="0" layoutInCell="1" allowOverlap="1" wp14:anchorId="3E550FCA" wp14:editId="3E550FCB">
                <wp:simplePos x="0" y="0"/>
                <wp:positionH relativeFrom="column">
                  <wp:posOffset>1986915</wp:posOffset>
                </wp:positionH>
                <wp:positionV relativeFrom="paragraph">
                  <wp:posOffset>2679700</wp:posOffset>
                </wp:positionV>
                <wp:extent cx="1665605" cy="3333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605" cy="333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5101A" w14:textId="77777777" w:rsidR="006033B4" w:rsidRPr="0086760E" w:rsidRDefault="006033B4" w:rsidP="00A83B63">
                            <w:r w:rsidRPr="0086760E">
                              <w:rPr>
                                <w:lang w:val="bg-BG"/>
                              </w:rPr>
                              <w:t>Преживяемост в месеци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CA" id="_x0000_s1028" type="#_x0000_t202" style="position:absolute;margin-left:156.45pt;margin-top:211pt;width:131.15pt;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" stroked="f">
                <v:fill opacity="0"/>
                <v:textbox>
                  <w:txbxContent>
                    <w:p w14:paraId="3E55101A" w14:textId="77777777" w:rsidR="006033B4" w:rsidRPr="0086760E" w:rsidRDefault="006033B4" w:rsidP="00A83B63">
                      <w:r w:rsidRPr="0086760E">
                        <w:rPr>
                          <w:lang w:val="bg-BG"/>
                        </w:rPr>
                        <w:t>Преживяемост в месеци</w:t>
                      </w:r>
                    </w:p>
                  </w:txbxContent>
                </v:textbox>
              </v:shape>
            </w:pict>
          </mc:Fallback>
        </mc:AlternateContent>
      </w:r>
      <w:r w:rsidRPr="00FE6AC6">
        <w:rPr>
          <w:noProof/>
          <w:lang w:val="en-US"/>
        </w:rPr>
        <w:drawing>
          <wp:inline distT="0" distB="0" distL="0" distR="0" wp14:anchorId="3E550FCC" wp14:editId="3E550FCD">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3E54FFF9" w14:textId="77777777" w:rsidR="00A83B63" w:rsidRPr="00FE6AC6" w:rsidRDefault="00A83B63" w:rsidP="0063575E">
      <w:pPr>
        <w:keepNext/>
        <w:keepLines/>
        <w:widowControl w:val="0"/>
        <w:tabs>
          <w:tab w:val="clear" w:pos="567"/>
        </w:tabs>
        <w:spacing w:line="240" w:lineRule="auto"/>
        <w:rPr>
          <w:rFonts w:eastAsia="MS Mincho"/>
          <w:szCs w:val="22"/>
          <w:lang w:val="en-US"/>
        </w:rPr>
      </w:pPr>
    </w:p>
    <w:p w14:paraId="3E54FFFA" w14:textId="77777777" w:rsidR="00A83B63" w:rsidRPr="00FE6AC6" w:rsidRDefault="00A83B63" w:rsidP="0063575E">
      <w:pPr>
        <w:keepNext/>
        <w:keepLines/>
        <w:widowControl w:val="0"/>
        <w:spacing w:line="240" w:lineRule="auto"/>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A83B63" w:rsidRPr="00FE6AC6" w14:paraId="3E54FFFC" w14:textId="77777777">
        <w:tc>
          <w:tcPr>
            <w:tcW w:w="10599" w:type="dxa"/>
            <w:gridSpan w:val="16"/>
            <w:shd w:val="clear" w:color="auto" w:fill="auto"/>
          </w:tcPr>
          <w:p w14:paraId="3E54FFFB" w14:textId="77777777" w:rsidR="00A83B63" w:rsidRPr="00FE6AC6" w:rsidRDefault="00A932FA" w:rsidP="0063575E">
            <w:pPr>
              <w:keepNext/>
              <w:keepLines/>
              <w:widowControl w:val="0"/>
              <w:spacing w:line="240" w:lineRule="auto"/>
              <w:ind w:left="-27"/>
              <w:rPr>
                <w:sz w:val="16"/>
                <w:szCs w:val="16"/>
              </w:rPr>
            </w:pPr>
            <w:r w:rsidRPr="00FE6AC6">
              <w:rPr>
                <w:lang w:val="bg-BG"/>
              </w:rPr>
              <w:t>Изложени на риск: Събития</w:t>
            </w:r>
          </w:p>
        </w:tc>
      </w:tr>
      <w:tr w:rsidR="00A83B63" w:rsidRPr="00FE6AC6" w14:paraId="3E55000D" w14:textId="77777777">
        <w:tc>
          <w:tcPr>
            <w:tcW w:w="450" w:type="dxa"/>
            <w:shd w:val="clear" w:color="auto" w:fill="auto"/>
          </w:tcPr>
          <w:p w14:paraId="3E54FFFD" w14:textId="77777777" w:rsidR="00A83B63" w:rsidRPr="00FE6AC6" w:rsidRDefault="00A83B63" w:rsidP="0063575E">
            <w:pPr>
              <w:keepNext/>
              <w:keepLines/>
              <w:widowControl w:val="0"/>
              <w:spacing w:line="240" w:lineRule="auto"/>
              <w:rPr>
                <w:sz w:val="18"/>
                <w:szCs w:val="18"/>
              </w:rPr>
            </w:pPr>
            <w:r w:rsidRPr="00FE6AC6">
              <w:rPr>
                <w:sz w:val="18"/>
                <w:szCs w:val="18"/>
              </w:rPr>
              <w:t>(1)</w:t>
            </w:r>
          </w:p>
        </w:tc>
        <w:tc>
          <w:tcPr>
            <w:tcW w:w="646" w:type="dxa"/>
            <w:shd w:val="clear" w:color="auto" w:fill="auto"/>
          </w:tcPr>
          <w:p w14:paraId="3E54FFFE" w14:textId="77777777" w:rsidR="00A83B63" w:rsidRPr="00FE6AC6" w:rsidRDefault="00A83B63" w:rsidP="0063575E">
            <w:pPr>
              <w:keepNext/>
              <w:keepLines/>
              <w:widowControl w:val="0"/>
              <w:spacing w:line="240" w:lineRule="auto"/>
              <w:ind w:left="-27"/>
              <w:rPr>
                <w:sz w:val="18"/>
                <w:szCs w:val="18"/>
              </w:rPr>
            </w:pPr>
            <w:r w:rsidRPr="00FE6AC6">
              <w:rPr>
                <w:sz w:val="18"/>
                <w:szCs w:val="18"/>
              </w:rPr>
              <w:t>199:0</w:t>
            </w:r>
          </w:p>
        </w:tc>
        <w:tc>
          <w:tcPr>
            <w:tcW w:w="645" w:type="dxa"/>
            <w:shd w:val="clear" w:color="auto" w:fill="auto"/>
          </w:tcPr>
          <w:p w14:paraId="3E54FFFF" w14:textId="77777777" w:rsidR="00A83B63" w:rsidRPr="00FE6AC6" w:rsidRDefault="00A83B63" w:rsidP="0063575E">
            <w:pPr>
              <w:keepNext/>
              <w:keepLines/>
              <w:widowControl w:val="0"/>
              <w:spacing w:line="240" w:lineRule="auto"/>
              <w:ind w:left="-27"/>
              <w:rPr>
                <w:sz w:val="18"/>
                <w:szCs w:val="18"/>
              </w:rPr>
            </w:pPr>
            <w:r w:rsidRPr="00FE6AC6">
              <w:rPr>
                <w:sz w:val="18"/>
                <w:szCs w:val="18"/>
              </w:rPr>
              <w:t>182:8</w:t>
            </w:r>
          </w:p>
        </w:tc>
        <w:tc>
          <w:tcPr>
            <w:tcW w:w="745" w:type="dxa"/>
            <w:shd w:val="clear" w:color="auto" w:fill="auto"/>
          </w:tcPr>
          <w:p w14:paraId="3E550000" w14:textId="77777777" w:rsidR="00A83B63" w:rsidRPr="00FE6AC6" w:rsidRDefault="00A83B63" w:rsidP="0063575E">
            <w:pPr>
              <w:keepNext/>
              <w:keepLines/>
              <w:widowControl w:val="0"/>
              <w:spacing w:line="240" w:lineRule="auto"/>
              <w:ind w:left="-27"/>
              <w:rPr>
                <w:sz w:val="18"/>
                <w:szCs w:val="18"/>
              </w:rPr>
            </w:pPr>
            <w:r w:rsidRPr="00FE6AC6">
              <w:rPr>
                <w:sz w:val="18"/>
                <w:szCs w:val="18"/>
              </w:rPr>
              <w:t>177:12</w:t>
            </w:r>
          </w:p>
        </w:tc>
        <w:tc>
          <w:tcPr>
            <w:tcW w:w="745" w:type="dxa"/>
            <w:shd w:val="clear" w:color="auto" w:fill="auto"/>
          </w:tcPr>
          <w:p w14:paraId="3E550001" w14:textId="77777777" w:rsidR="00A83B63" w:rsidRPr="00FE6AC6" w:rsidRDefault="00A83B63" w:rsidP="0063575E">
            <w:pPr>
              <w:keepNext/>
              <w:keepLines/>
              <w:widowControl w:val="0"/>
              <w:spacing w:line="240" w:lineRule="auto"/>
              <w:ind w:left="-27"/>
              <w:rPr>
                <w:sz w:val="18"/>
                <w:szCs w:val="18"/>
              </w:rPr>
            </w:pPr>
            <w:r w:rsidRPr="00FE6AC6">
              <w:rPr>
                <w:sz w:val="18"/>
                <w:szCs w:val="18"/>
              </w:rPr>
              <w:t>163:25</w:t>
            </w:r>
          </w:p>
        </w:tc>
        <w:tc>
          <w:tcPr>
            <w:tcW w:w="745" w:type="dxa"/>
            <w:shd w:val="clear" w:color="auto" w:fill="auto"/>
          </w:tcPr>
          <w:p w14:paraId="3E550002" w14:textId="77777777" w:rsidR="00A83B63" w:rsidRPr="00FE6AC6" w:rsidRDefault="00A83B63" w:rsidP="0063575E">
            <w:pPr>
              <w:keepNext/>
              <w:keepLines/>
              <w:widowControl w:val="0"/>
              <w:spacing w:line="240" w:lineRule="auto"/>
              <w:ind w:left="-27"/>
              <w:rPr>
                <w:sz w:val="18"/>
                <w:szCs w:val="18"/>
              </w:rPr>
            </w:pPr>
            <w:r w:rsidRPr="00FE6AC6">
              <w:rPr>
                <w:sz w:val="18"/>
                <w:szCs w:val="18"/>
              </w:rPr>
              <w:t>137:46</w:t>
            </w:r>
          </w:p>
        </w:tc>
        <w:tc>
          <w:tcPr>
            <w:tcW w:w="752" w:type="dxa"/>
            <w:shd w:val="clear" w:color="auto" w:fill="auto"/>
          </w:tcPr>
          <w:p w14:paraId="3E550003" w14:textId="77777777" w:rsidR="00A83B63" w:rsidRPr="00FE6AC6" w:rsidRDefault="00A83B63" w:rsidP="0063575E">
            <w:pPr>
              <w:keepNext/>
              <w:keepLines/>
              <w:widowControl w:val="0"/>
              <w:spacing w:line="240" w:lineRule="auto"/>
              <w:ind w:left="-27"/>
              <w:rPr>
                <w:sz w:val="18"/>
                <w:szCs w:val="18"/>
              </w:rPr>
            </w:pPr>
            <w:r w:rsidRPr="00FE6AC6">
              <w:rPr>
                <w:sz w:val="18"/>
                <w:szCs w:val="18"/>
              </w:rPr>
              <w:t>105:65</w:t>
            </w:r>
          </w:p>
        </w:tc>
        <w:tc>
          <w:tcPr>
            <w:tcW w:w="745" w:type="dxa"/>
            <w:shd w:val="clear" w:color="auto" w:fill="auto"/>
          </w:tcPr>
          <w:p w14:paraId="3E550004" w14:textId="77777777" w:rsidR="00A83B63" w:rsidRPr="00FE6AC6" w:rsidRDefault="00A83B63" w:rsidP="0063575E">
            <w:pPr>
              <w:keepNext/>
              <w:keepLines/>
              <w:widowControl w:val="0"/>
              <w:spacing w:line="240" w:lineRule="auto"/>
              <w:ind w:left="-27"/>
              <w:rPr>
                <w:sz w:val="18"/>
                <w:szCs w:val="18"/>
              </w:rPr>
            </w:pPr>
            <w:r w:rsidRPr="00FE6AC6">
              <w:rPr>
                <w:sz w:val="18"/>
                <w:szCs w:val="18"/>
              </w:rPr>
              <w:t>88:72</w:t>
            </w:r>
          </w:p>
        </w:tc>
        <w:tc>
          <w:tcPr>
            <w:tcW w:w="745" w:type="dxa"/>
            <w:shd w:val="clear" w:color="auto" w:fill="auto"/>
          </w:tcPr>
          <w:p w14:paraId="3E550005" w14:textId="77777777" w:rsidR="00A83B63" w:rsidRPr="00FE6AC6" w:rsidRDefault="00A83B63" w:rsidP="0063575E">
            <w:pPr>
              <w:keepNext/>
              <w:keepLines/>
              <w:widowControl w:val="0"/>
              <w:spacing w:line="240" w:lineRule="auto"/>
              <w:ind w:left="-27"/>
              <w:rPr>
                <w:sz w:val="18"/>
                <w:szCs w:val="18"/>
              </w:rPr>
            </w:pPr>
            <w:r w:rsidRPr="00FE6AC6">
              <w:rPr>
                <w:sz w:val="18"/>
                <w:szCs w:val="18"/>
              </w:rPr>
              <w:t>61:77</w:t>
            </w:r>
          </w:p>
        </w:tc>
        <w:tc>
          <w:tcPr>
            <w:tcW w:w="652" w:type="dxa"/>
            <w:shd w:val="clear" w:color="auto" w:fill="auto"/>
          </w:tcPr>
          <w:p w14:paraId="3E550006" w14:textId="77777777" w:rsidR="00A83B63" w:rsidRPr="00FE6AC6" w:rsidRDefault="00A83B63" w:rsidP="0063575E">
            <w:pPr>
              <w:keepNext/>
              <w:keepLines/>
              <w:widowControl w:val="0"/>
              <w:spacing w:line="240" w:lineRule="auto"/>
              <w:ind w:left="-27"/>
              <w:rPr>
                <w:sz w:val="18"/>
                <w:szCs w:val="18"/>
              </w:rPr>
            </w:pPr>
            <w:r w:rsidRPr="00FE6AC6">
              <w:rPr>
                <w:sz w:val="18"/>
                <w:szCs w:val="18"/>
              </w:rPr>
              <w:t>49:81</w:t>
            </w:r>
          </w:p>
        </w:tc>
        <w:tc>
          <w:tcPr>
            <w:tcW w:w="652" w:type="dxa"/>
            <w:shd w:val="clear" w:color="auto" w:fill="auto"/>
          </w:tcPr>
          <w:p w14:paraId="3E550007" w14:textId="77777777" w:rsidR="00A83B63" w:rsidRPr="00FE6AC6" w:rsidRDefault="00A83B63" w:rsidP="0063575E">
            <w:pPr>
              <w:keepNext/>
              <w:keepLines/>
              <w:widowControl w:val="0"/>
              <w:spacing w:line="240" w:lineRule="auto"/>
              <w:ind w:left="-27"/>
              <w:rPr>
                <w:sz w:val="18"/>
                <w:szCs w:val="18"/>
              </w:rPr>
            </w:pPr>
            <w:r w:rsidRPr="00FE6AC6">
              <w:rPr>
                <w:sz w:val="18"/>
                <w:szCs w:val="18"/>
              </w:rPr>
              <w:t>36:83</w:t>
            </w:r>
          </w:p>
        </w:tc>
        <w:tc>
          <w:tcPr>
            <w:tcW w:w="649" w:type="dxa"/>
            <w:shd w:val="clear" w:color="auto" w:fill="auto"/>
          </w:tcPr>
          <w:p w14:paraId="3E550008" w14:textId="77777777" w:rsidR="00A83B63" w:rsidRPr="00FE6AC6" w:rsidRDefault="00A83B63" w:rsidP="0063575E">
            <w:pPr>
              <w:keepNext/>
              <w:keepLines/>
              <w:widowControl w:val="0"/>
              <w:spacing w:line="240" w:lineRule="auto"/>
              <w:ind w:left="-27"/>
              <w:rPr>
                <w:sz w:val="18"/>
                <w:szCs w:val="18"/>
              </w:rPr>
            </w:pPr>
            <w:r w:rsidRPr="00FE6AC6">
              <w:rPr>
                <w:sz w:val="18"/>
                <w:szCs w:val="18"/>
              </w:rPr>
              <w:t>27:84</w:t>
            </w:r>
          </w:p>
        </w:tc>
        <w:tc>
          <w:tcPr>
            <w:tcW w:w="660" w:type="dxa"/>
            <w:shd w:val="clear" w:color="auto" w:fill="auto"/>
          </w:tcPr>
          <w:p w14:paraId="3E550009" w14:textId="77777777" w:rsidR="00A83B63" w:rsidRPr="00FE6AC6" w:rsidRDefault="00A83B63" w:rsidP="0063575E">
            <w:pPr>
              <w:keepNext/>
              <w:keepLines/>
              <w:widowControl w:val="0"/>
              <w:spacing w:line="240" w:lineRule="auto"/>
              <w:ind w:left="-27"/>
              <w:rPr>
                <w:sz w:val="18"/>
                <w:szCs w:val="18"/>
              </w:rPr>
            </w:pPr>
            <w:r w:rsidRPr="00FE6AC6">
              <w:rPr>
                <w:sz w:val="18"/>
                <w:szCs w:val="18"/>
              </w:rPr>
              <w:t>14:84</w:t>
            </w:r>
          </w:p>
        </w:tc>
        <w:tc>
          <w:tcPr>
            <w:tcW w:w="649" w:type="dxa"/>
            <w:shd w:val="clear" w:color="auto" w:fill="auto"/>
          </w:tcPr>
          <w:p w14:paraId="3E55000A" w14:textId="77777777" w:rsidR="00A83B63" w:rsidRPr="00FE6AC6" w:rsidRDefault="00A83B63" w:rsidP="0063575E">
            <w:pPr>
              <w:keepNext/>
              <w:keepLines/>
              <w:widowControl w:val="0"/>
              <w:spacing w:line="240" w:lineRule="auto"/>
              <w:ind w:left="-27"/>
              <w:rPr>
                <w:sz w:val="18"/>
                <w:szCs w:val="18"/>
              </w:rPr>
            </w:pPr>
            <w:r w:rsidRPr="00FE6AC6">
              <w:rPr>
                <w:sz w:val="18"/>
                <w:szCs w:val="18"/>
              </w:rPr>
              <w:t>10:84</w:t>
            </w:r>
          </w:p>
        </w:tc>
        <w:tc>
          <w:tcPr>
            <w:tcW w:w="564" w:type="dxa"/>
            <w:shd w:val="clear" w:color="auto" w:fill="auto"/>
          </w:tcPr>
          <w:p w14:paraId="3E55000B" w14:textId="77777777" w:rsidR="00A83B63" w:rsidRPr="00FE6AC6" w:rsidRDefault="00A83B63" w:rsidP="0063575E">
            <w:pPr>
              <w:keepNext/>
              <w:keepLines/>
              <w:widowControl w:val="0"/>
              <w:spacing w:line="240" w:lineRule="auto"/>
              <w:ind w:left="-27"/>
              <w:rPr>
                <w:sz w:val="18"/>
                <w:szCs w:val="18"/>
              </w:rPr>
            </w:pPr>
            <w:r w:rsidRPr="00FE6AC6">
              <w:rPr>
                <w:sz w:val="18"/>
                <w:szCs w:val="18"/>
              </w:rPr>
              <w:t>2:84</w:t>
            </w:r>
          </w:p>
        </w:tc>
        <w:tc>
          <w:tcPr>
            <w:tcW w:w="555" w:type="dxa"/>
            <w:shd w:val="clear" w:color="auto" w:fill="auto"/>
          </w:tcPr>
          <w:p w14:paraId="3E55000C" w14:textId="77777777" w:rsidR="00A83B63" w:rsidRPr="00FE6AC6" w:rsidRDefault="00A83B63" w:rsidP="0063575E">
            <w:pPr>
              <w:keepNext/>
              <w:keepLines/>
              <w:widowControl w:val="0"/>
              <w:spacing w:line="240" w:lineRule="auto"/>
              <w:ind w:left="-27"/>
              <w:rPr>
                <w:sz w:val="18"/>
                <w:szCs w:val="18"/>
              </w:rPr>
            </w:pPr>
            <w:r w:rsidRPr="00FE6AC6">
              <w:rPr>
                <w:sz w:val="18"/>
                <w:szCs w:val="18"/>
              </w:rPr>
              <w:t>0:84</w:t>
            </w:r>
          </w:p>
        </w:tc>
      </w:tr>
      <w:tr w:rsidR="00A83B63" w:rsidRPr="00FE6AC6" w14:paraId="3E55001E" w14:textId="77777777">
        <w:tc>
          <w:tcPr>
            <w:tcW w:w="450" w:type="dxa"/>
            <w:shd w:val="clear" w:color="auto" w:fill="auto"/>
          </w:tcPr>
          <w:p w14:paraId="3E55000E" w14:textId="77777777" w:rsidR="00A83B63" w:rsidRPr="00FE6AC6" w:rsidRDefault="00A83B63" w:rsidP="0063575E">
            <w:pPr>
              <w:keepNext/>
              <w:keepLines/>
              <w:widowControl w:val="0"/>
              <w:spacing w:line="240" w:lineRule="auto"/>
              <w:rPr>
                <w:sz w:val="18"/>
                <w:szCs w:val="18"/>
              </w:rPr>
            </w:pPr>
            <w:r w:rsidRPr="00FE6AC6">
              <w:rPr>
                <w:sz w:val="18"/>
                <w:szCs w:val="18"/>
              </w:rPr>
              <w:t>(2)</w:t>
            </w:r>
          </w:p>
        </w:tc>
        <w:tc>
          <w:tcPr>
            <w:tcW w:w="646" w:type="dxa"/>
            <w:shd w:val="clear" w:color="auto" w:fill="auto"/>
          </w:tcPr>
          <w:p w14:paraId="3E55000F" w14:textId="77777777" w:rsidR="00A83B63" w:rsidRPr="00FE6AC6" w:rsidRDefault="00A83B63" w:rsidP="0063575E">
            <w:pPr>
              <w:keepNext/>
              <w:keepLines/>
              <w:widowControl w:val="0"/>
              <w:spacing w:line="240" w:lineRule="auto"/>
              <w:ind w:left="-27"/>
              <w:rPr>
                <w:sz w:val="18"/>
                <w:szCs w:val="18"/>
              </w:rPr>
            </w:pPr>
            <w:r w:rsidRPr="00FE6AC6">
              <w:rPr>
                <w:sz w:val="18"/>
                <w:szCs w:val="18"/>
              </w:rPr>
              <w:t>198:0</w:t>
            </w:r>
          </w:p>
        </w:tc>
        <w:tc>
          <w:tcPr>
            <w:tcW w:w="645" w:type="dxa"/>
            <w:shd w:val="clear" w:color="auto" w:fill="auto"/>
          </w:tcPr>
          <w:p w14:paraId="3E550010" w14:textId="77777777" w:rsidR="00A83B63" w:rsidRPr="00FE6AC6" w:rsidRDefault="00A83B63" w:rsidP="0063575E">
            <w:pPr>
              <w:keepNext/>
              <w:keepLines/>
              <w:widowControl w:val="0"/>
              <w:spacing w:line="240" w:lineRule="auto"/>
              <w:ind w:left="-27"/>
              <w:rPr>
                <w:sz w:val="18"/>
                <w:szCs w:val="18"/>
              </w:rPr>
            </w:pPr>
            <w:r w:rsidRPr="00FE6AC6">
              <w:rPr>
                <w:sz w:val="18"/>
                <w:szCs w:val="18"/>
              </w:rPr>
              <w:t>189:5</w:t>
            </w:r>
          </w:p>
        </w:tc>
        <w:tc>
          <w:tcPr>
            <w:tcW w:w="745" w:type="dxa"/>
            <w:shd w:val="clear" w:color="auto" w:fill="auto"/>
          </w:tcPr>
          <w:p w14:paraId="3E550011" w14:textId="77777777" w:rsidR="00A83B63" w:rsidRPr="00FE6AC6" w:rsidRDefault="00A83B63" w:rsidP="0063575E">
            <w:pPr>
              <w:keepNext/>
              <w:keepLines/>
              <w:widowControl w:val="0"/>
              <w:spacing w:line="240" w:lineRule="auto"/>
              <w:ind w:left="-27"/>
              <w:rPr>
                <w:sz w:val="18"/>
                <w:szCs w:val="18"/>
              </w:rPr>
            </w:pPr>
            <w:r w:rsidRPr="00FE6AC6">
              <w:rPr>
                <w:sz w:val="18"/>
                <w:szCs w:val="18"/>
              </w:rPr>
              <w:t>184:8</w:t>
            </w:r>
          </w:p>
        </w:tc>
        <w:tc>
          <w:tcPr>
            <w:tcW w:w="745" w:type="dxa"/>
            <w:shd w:val="clear" w:color="auto" w:fill="auto"/>
          </w:tcPr>
          <w:p w14:paraId="3E550012" w14:textId="77777777" w:rsidR="00A83B63" w:rsidRPr="00FE6AC6" w:rsidRDefault="00A83B63" w:rsidP="0063575E">
            <w:pPr>
              <w:keepNext/>
              <w:keepLines/>
              <w:widowControl w:val="0"/>
              <w:spacing w:line="240" w:lineRule="auto"/>
              <w:ind w:left="-27"/>
              <w:rPr>
                <w:sz w:val="18"/>
                <w:szCs w:val="18"/>
              </w:rPr>
            </w:pPr>
            <w:r w:rsidRPr="00FE6AC6">
              <w:rPr>
                <w:sz w:val="18"/>
                <w:szCs w:val="18"/>
              </w:rPr>
              <w:t>181:11</w:t>
            </w:r>
          </w:p>
        </w:tc>
        <w:tc>
          <w:tcPr>
            <w:tcW w:w="745" w:type="dxa"/>
            <w:shd w:val="clear" w:color="auto" w:fill="auto"/>
          </w:tcPr>
          <w:p w14:paraId="3E550013" w14:textId="77777777" w:rsidR="00A83B63" w:rsidRPr="00FE6AC6" w:rsidRDefault="00A83B63" w:rsidP="0063575E">
            <w:pPr>
              <w:keepNext/>
              <w:keepLines/>
              <w:widowControl w:val="0"/>
              <w:spacing w:line="240" w:lineRule="auto"/>
              <w:ind w:left="-27"/>
              <w:rPr>
                <w:sz w:val="18"/>
                <w:szCs w:val="18"/>
              </w:rPr>
            </w:pPr>
            <w:r w:rsidRPr="00FE6AC6">
              <w:rPr>
                <w:sz w:val="18"/>
                <w:szCs w:val="18"/>
              </w:rPr>
              <w:t>173:18</w:t>
            </w:r>
          </w:p>
        </w:tc>
        <w:tc>
          <w:tcPr>
            <w:tcW w:w="752" w:type="dxa"/>
            <w:shd w:val="clear" w:color="auto" w:fill="auto"/>
          </w:tcPr>
          <w:p w14:paraId="3E550014" w14:textId="77777777" w:rsidR="00A83B63" w:rsidRPr="00FE6AC6" w:rsidRDefault="00A83B63" w:rsidP="0063575E">
            <w:pPr>
              <w:keepNext/>
              <w:keepLines/>
              <w:widowControl w:val="0"/>
              <w:spacing w:line="240" w:lineRule="auto"/>
              <w:ind w:left="-27"/>
              <w:rPr>
                <w:sz w:val="18"/>
                <w:szCs w:val="18"/>
              </w:rPr>
            </w:pPr>
            <w:r w:rsidRPr="00FE6AC6">
              <w:rPr>
                <w:sz w:val="18"/>
                <w:szCs w:val="18"/>
              </w:rPr>
              <w:t>152:22</w:t>
            </w:r>
          </w:p>
        </w:tc>
        <w:tc>
          <w:tcPr>
            <w:tcW w:w="745" w:type="dxa"/>
            <w:shd w:val="clear" w:color="auto" w:fill="auto"/>
          </w:tcPr>
          <w:p w14:paraId="3E550015" w14:textId="77777777" w:rsidR="00A83B63" w:rsidRPr="00FE6AC6" w:rsidRDefault="00A83B63" w:rsidP="0063575E">
            <w:pPr>
              <w:keepNext/>
              <w:keepLines/>
              <w:widowControl w:val="0"/>
              <w:spacing w:line="240" w:lineRule="auto"/>
              <w:ind w:left="-27"/>
              <w:rPr>
                <w:sz w:val="18"/>
                <w:szCs w:val="18"/>
              </w:rPr>
            </w:pPr>
            <w:r w:rsidRPr="00FE6AC6">
              <w:rPr>
                <w:sz w:val="18"/>
                <w:szCs w:val="18"/>
              </w:rPr>
              <w:t>133:25</w:t>
            </w:r>
          </w:p>
        </w:tc>
        <w:tc>
          <w:tcPr>
            <w:tcW w:w="745" w:type="dxa"/>
            <w:shd w:val="clear" w:color="auto" w:fill="auto"/>
          </w:tcPr>
          <w:p w14:paraId="3E550016" w14:textId="77777777" w:rsidR="00A83B63" w:rsidRPr="00FE6AC6" w:rsidRDefault="00A83B63" w:rsidP="0063575E">
            <w:pPr>
              <w:keepNext/>
              <w:keepLines/>
              <w:widowControl w:val="0"/>
              <w:spacing w:line="240" w:lineRule="auto"/>
              <w:ind w:left="-27"/>
              <w:rPr>
                <w:sz w:val="18"/>
                <w:szCs w:val="18"/>
              </w:rPr>
            </w:pPr>
            <w:r w:rsidRPr="00FE6AC6">
              <w:rPr>
                <w:sz w:val="18"/>
                <w:szCs w:val="18"/>
              </w:rPr>
              <w:t>102:29</w:t>
            </w:r>
          </w:p>
        </w:tc>
        <w:tc>
          <w:tcPr>
            <w:tcW w:w="652" w:type="dxa"/>
            <w:shd w:val="clear" w:color="auto" w:fill="auto"/>
          </w:tcPr>
          <w:p w14:paraId="3E550017" w14:textId="77777777" w:rsidR="00A83B63" w:rsidRPr="00FE6AC6" w:rsidRDefault="00A83B63" w:rsidP="0063575E">
            <w:pPr>
              <w:keepNext/>
              <w:keepLines/>
              <w:widowControl w:val="0"/>
              <w:spacing w:line="240" w:lineRule="auto"/>
              <w:ind w:left="-27"/>
              <w:rPr>
                <w:sz w:val="18"/>
                <w:szCs w:val="18"/>
              </w:rPr>
            </w:pPr>
            <w:r w:rsidRPr="00FE6AC6">
              <w:rPr>
                <w:sz w:val="18"/>
                <w:szCs w:val="18"/>
              </w:rPr>
              <w:t>82:35</w:t>
            </w:r>
          </w:p>
        </w:tc>
        <w:tc>
          <w:tcPr>
            <w:tcW w:w="652" w:type="dxa"/>
            <w:shd w:val="clear" w:color="auto" w:fill="auto"/>
          </w:tcPr>
          <w:p w14:paraId="3E550018" w14:textId="77777777" w:rsidR="00A83B63" w:rsidRPr="00FE6AC6" w:rsidRDefault="00A83B63" w:rsidP="0063575E">
            <w:pPr>
              <w:keepNext/>
              <w:keepLines/>
              <w:widowControl w:val="0"/>
              <w:spacing w:line="240" w:lineRule="auto"/>
              <w:ind w:left="-27"/>
              <w:rPr>
                <w:sz w:val="18"/>
                <w:szCs w:val="18"/>
              </w:rPr>
            </w:pPr>
            <w:r w:rsidRPr="00FE6AC6">
              <w:rPr>
                <w:sz w:val="18"/>
                <w:szCs w:val="18"/>
              </w:rPr>
              <w:t>54:46</w:t>
            </w:r>
          </w:p>
        </w:tc>
        <w:tc>
          <w:tcPr>
            <w:tcW w:w="649" w:type="dxa"/>
            <w:shd w:val="clear" w:color="auto" w:fill="auto"/>
          </w:tcPr>
          <w:p w14:paraId="3E550019" w14:textId="77777777" w:rsidR="00A83B63" w:rsidRPr="00FE6AC6" w:rsidRDefault="00A83B63" w:rsidP="0063575E">
            <w:pPr>
              <w:keepNext/>
              <w:keepLines/>
              <w:widowControl w:val="0"/>
              <w:spacing w:line="240" w:lineRule="auto"/>
              <w:ind w:left="-27"/>
              <w:rPr>
                <w:sz w:val="18"/>
                <w:szCs w:val="18"/>
              </w:rPr>
            </w:pPr>
            <w:r w:rsidRPr="00FE6AC6">
              <w:rPr>
                <w:sz w:val="18"/>
                <w:szCs w:val="18"/>
              </w:rPr>
              <w:t>39:47</w:t>
            </w:r>
          </w:p>
        </w:tc>
        <w:tc>
          <w:tcPr>
            <w:tcW w:w="660" w:type="dxa"/>
            <w:shd w:val="clear" w:color="auto" w:fill="auto"/>
          </w:tcPr>
          <w:p w14:paraId="3E55001A" w14:textId="77777777" w:rsidR="00A83B63" w:rsidRPr="00FE6AC6" w:rsidRDefault="00A83B63" w:rsidP="0063575E">
            <w:pPr>
              <w:keepNext/>
              <w:keepLines/>
              <w:widowControl w:val="0"/>
              <w:spacing w:line="240" w:lineRule="auto"/>
              <w:ind w:left="-27"/>
              <w:rPr>
                <w:sz w:val="18"/>
                <w:szCs w:val="18"/>
              </w:rPr>
            </w:pPr>
            <w:r w:rsidRPr="00FE6AC6">
              <w:rPr>
                <w:sz w:val="18"/>
                <w:szCs w:val="18"/>
              </w:rPr>
              <w:t>21:49</w:t>
            </w:r>
          </w:p>
        </w:tc>
        <w:tc>
          <w:tcPr>
            <w:tcW w:w="649" w:type="dxa"/>
            <w:shd w:val="clear" w:color="auto" w:fill="auto"/>
          </w:tcPr>
          <w:p w14:paraId="3E55001B" w14:textId="77777777" w:rsidR="00A83B63" w:rsidRPr="00FE6AC6" w:rsidRDefault="00A83B63" w:rsidP="0063575E">
            <w:pPr>
              <w:keepNext/>
              <w:keepLines/>
              <w:widowControl w:val="0"/>
              <w:spacing w:line="240" w:lineRule="auto"/>
              <w:ind w:left="-27"/>
              <w:rPr>
                <w:sz w:val="18"/>
                <w:szCs w:val="18"/>
              </w:rPr>
            </w:pPr>
            <w:r w:rsidRPr="00FE6AC6">
              <w:rPr>
                <w:sz w:val="18"/>
                <w:szCs w:val="18"/>
              </w:rPr>
              <w:t>8:50</w:t>
            </w:r>
          </w:p>
        </w:tc>
        <w:tc>
          <w:tcPr>
            <w:tcW w:w="564" w:type="dxa"/>
            <w:shd w:val="clear" w:color="auto" w:fill="auto"/>
          </w:tcPr>
          <w:p w14:paraId="3E55001C" w14:textId="77777777" w:rsidR="00A83B63" w:rsidRPr="00FE6AC6" w:rsidRDefault="00A83B63" w:rsidP="0063575E">
            <w:pPr>
              <w:keepNext/>
              <w:keepLines/>
              <w:widowControl w:val="0"/>
              <w:spacing w:line="240" w:lineRule="auto"/>
              <w:ind w:left="-27"/>
              <w:rPr>
                <w:sz w:val="18"/>
                <w:szCs w:val="18"/>
              </w:rPr>
            </w:pPr>
            <w:r w:rsidRPr="00FE6AC6">
              <w:rPr>
                <w:sz w:val="18"/>
                <w:szCs w:val="18"/>
              </w:rPr>
              <w:t>0:50</w:t>
            </w:r>
          </w:p>
        </w:tc>
        <w:tc>
          <w:tcPr>
            <w:tcW w:w="555" w:type="dxa"/>
            <w:shd w:val="clear" w:color="auto" w:fill="auto"/>
          </w:tcPr>
          <w:p w14:paraId="3E55001D" w14:textId="77777777" w:rsidR="00A83B63" w:rsidRPr="00FE6AC6" w:rsidRDefault="00A83B63" w:rsidP="0063575E">
            <w:pPr>
              <w:keepNext/>
              <w:keepLines/>
              <w:widowControl w:val="0"/>
              <w:spacing w:line="240" w:lineRule="auto"/>
              <w:ind w:left="-27"/>
              <w:rPr>
                <w:sz w:val="18"/>
                <w:szCs w:val="18"/>
              </w:rPr>
            </w:pPr>
          </w:p>
        </w:tc>
      </w:tr>
    </w:tbl>
    <w:p w14:paraId="3E55001F" w14:textId="77777777" w:rsidR="00A83B63" w:rsidRPr="00FE6AC6" w:rsidRDefault="00A83B63" w:rsidP="0063575E">
      <w:pPr>
        <w:widowControl w:val="0"/>
        <w:tabs>
          <w:tab w:val="clear" w:pos="567"/>
        </w:tabs>
        <w:spacing w:line="240" w:lineRule="auto"/>
        <w:rPr>
          <w:rFonts w:eastAsia="MS Mincho"/>
          <w:szCs w:val="22"/>
          <w:lang w:val="en-US"/>
        </w:rPr>
      </w:pPr>
    </w:p>
    <w:p w14:paraId="3E550020" w14:textId="77777777" w:rsidR="00A83B63" w:rsidRPr="00FE6AC6" w:rsidRDefault="00A83B63" w:rsidP="0063575E">
      <w:pPr>
        <w:keepNext/>
        <w:keepLines/>
        <w:widowControl w:val="0"/>
        <w:tabs>
          <w:tab w:val="clear" w:pos="567"/>
        </w:tabs>
        <w:spacing w:line="240" w:lineRule="auto"/>
        <w:ind w:left="1134" w:hanging="1134"/>
        <w:outlineLvl w:val="6"/>
        <w:rPr>
          <w:rFonts w:eastAsia="MS Mincho"/>
          <w:b/>
          <w:szCs w:val="22"/>
          <w:lang w:val="en-US"/>
        </w:rPr>
      </w:pPr>
      <w:r w:rsidRPr="00FE6AC6">
        <w:rPr>
          <w:rFonts w:eastAsia="MS Mincho"/>
          <w:b/>
          <w:szCs w:val="22"/>
          <w:lang w:val="bg-BG"/>
        </w:rPr>
        <w:t>Фигура</w:t>
      </w:r>
      <w:r w:rsidRPr="00FE6AC6">
        <w:rPr>
          <w:rFonts w:eastAsia="MS Mincho"/>
          <w:b/>
          <w:szCs w:val="22"/>
          <w:lang w:val="en-US"/>
        </w:rPr>
        <w:t> 2</w:t>
      </w:r>
      <w:r w:rsidRPr="00FE6AC6">
        <w:rPr>
          <w:rFonts w:eastAsia="MS Mincho"/>
          <w:b/>
          <w:szCs w:val="22"/>
          <w:lang w:val="en-US"/>
        </w:rPr>
        <w:tab/>
      </w:r>
      <w:r w:rsidRPr="00FE6AC6">
        <w:rPr>
          <w:rFonts w:eastAsia="MS Mincho"/>
          <w:b/>
          <w:szCs w:val="22"/>
          <w:lang w:val="bg-BG"/>
        </w:rPr>
        <w:t xml:space="preserve">Оценка по </w:t>
      </w:r>
      <w:r w:rsidRPr="00FE6AC6">
        <w:rPr>
          <w:rFonts w:eastAsia="MS Mincho"/>
          <w:b/>
          <w:szCs w:val="22"/>
          <w:lang w:val="en-US"/>
        </w:rPr>
        <w:t xml:space="preserve">Kaplan-Meier </w:t>
      </w:r>
      <w:r w:rsidRPr="00FE6AC6">
        <w:rPr>
          <w:rFonts w:eastAsia="MS Mincho"/>
          <w:b/>
          <w:szCs w:val="22"/>
          <w:lang w:val="bg-BG"/>
        </w:rPr>
        <w:t>на общата преживяемост</w:t>
      </w:r>
      <w:r w:rsidRPr="00FE6AC6">
        <w:rPr>
          <w:rFonts w:eastAsia="MS Mincho"/>
          <w:b/>
          <w:szCs w:val="22"/>
          <w:lang w:val="en-US"/>
        </w:rPr>
        <w:t xml:space="preserve"> (ITT </w:t>
      </w:r>
      <w:r w:rsidRPr="00FE6AC6">
        <w:rPr>
          <w:rFonts w:eastAsia="MS Mincho"/>
          <w:b/>
          <w:szCs w:val="22"/>
          <w:lang w:val="bg-BG"/>
        </w:rPr>
        <w:t>популация</w:t>
      </w:r>
      <w:r w:rsidRPr="00FE6AC6">
        <w:rPr>
          <w:rFonts w:eastAsia="MS Mincho"/>
          <w:b/>
          <w:szCs w:val="22"/>
          <w:lang w:val="en-US"/>
        </w:rPr>
        <w:t>)</w:t>
      </w:r>
    </w:p>
    <w:p w14:paraId="3E550021" w14:textId="77777777" w:rsidR="00A83B63" w:rsidRPr="00FE6AC6" w:rsidRDefault="00A83B63" w:rsidP="0063575E">
      <w:pPr>
        <w:pStyle w:val="Text"/>
        <w:keepNext/>
        <w:keepLines/>
        <w:widowControl w:val="0"/>
        <w:spacing w:before="0"/>
        <w:jc w:val="left"/>
        <w:rPr>
          <w:rFonts w:eastAsia="MS Mincho"/>
          <w:color w:val="000000"/>
          <w:sz w:val="22"/>
          <w:szCs w:val="22"/>
          <w:lang w:eastAsia="ja-JP"/>
        </w:rPr>
      </w:pPr>
    </w:p>
    <w:p w14:paraId="3E550022" w14:textId="77777777" w:rsidR="00A83B63" w:rsidRPr="00FE6AC6" w:rsidRDefault="00613193" w:rsidP="0063575E">
      <w:pPr>
        <w:pStyle w:val="Text"/>
        <w:keepNext/>
        <w:keepLines/>
        <w:widowControl w:val="0"/>
        <w:spacing w:before="0"/>
        <w:jc w:val="left"/>
        <w:rPr>
          <w:rFonts w:eastAsia="MS Mincho"/>
          <w:color w:val="000000"/>
          <w:sz w:val="22"/>
          <w:szCs w:val="22"/>
          <w:lang w:eastAsia="ja-JP"/>
        </w:rPr>
      </w:pPr>
      <w:r w:rsidRPr="00FE6AC6">
        <w:rPr>
          <w:rFonts w:eastAsia="MS Mincho"/>
          <w:noProof/>
          <w:color w:val="000000"/>
          <w:sz w:val="22"/>
          <w:szCs w:val="22"/>
        </w:rPr>
        <mc:AlternateContent>
          <mc:Choice Requires="wps">
            <w:drawing>
              <wp:anchor distT="0" distB="0" distL="114300" distR="114300" simplePos="0" relativeHeight="251657216" behindDoc="0" locked="0" layoutInCell="1" allowOverlap="1" wp14:anchorId="3E550FCE" wp14:editId="3E550FCF">
                <wp:simplePos x="0" y="0"/>
                <wp:positionH relativeFrom="column">
                  <wp:posOffset>-207645</wp:posOffset>
                </wp:positionH>
                <wp:positionV relativeFrom="paragraph">
                  <wp:posOffset>147955</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5101B" w14:textId="77777777" w:rsidR="006033B4" w:rsidRPr="0086760E" w:rsidRDefault="006033B4" w:rsidP="003F5107">
                            <w:r w:rsidRPr="0086760E">
                              <w:rPr>
                                <w:lang w:val="bg-BG"/>
                              </w:rPr>
                              <w:t>Вероятност за обща преживяемост</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CE" id="_x0000_s1029" type="#_x0000_t202" style="position:absolute;margin-left:-16.35pt;margin-top:11.65pt;width:26.45pt;height:17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69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" stroked="f">
                <v:fill opacity="0"/>
                <v:textbox style="layout-flow:vertical;mso-layout-flow-alt:bottom-to-top">
                  <w:txbxContent>
                    <w:p w14:paraId="3E55101B" w14:textId="77777777" w:rsidR="006033B4" w:rsidRPr="0086760E" w:rsidRDefault="006033B4" w:rsidP="003F5107">
                      <w:r w:rsidRPr="0086760E">
                        <w:rPr>
                          <w:lang w:val="bg-BG"/>
                        </w:rPr>
                        <w:t>Вероятност за обща преживяемост</w:t>
                      </w:r>
                    </w:p>
                  </w:txbxContent>
                </v:textbox>
              </v:shape>
            </w:pict>
          </mc:Fallback>
        </mc:AlternateContent>
      </w:r>
      <w:r w:rsidRPr="00FE6AC6">
        <w:rPr>
          <w:noProof/>
        </w:rPr>
        <mc:AlternateContent>
          <mc:Choice Requires="wps">
            <w:drawing>
              <wp:anchor distT="0" distB="0" distL="114300" distR="114300" simplePos="0" relativeHeight="251655168" behindDoc="0" locked="0" layoutInCell="1" allowOverlap="1" wp14:anchorId="3E550FD0" wp14:editId="3E550FD1">
                <wp:simplePos x="0" y="0"/>
                <wp:positionH relativeFrom="column">
                  <wp:posOffset>1948815</wp:posOffset>
                </wp:positionH>
                <wp:positionV relativeFrom="paragraph">
                  <wp:posOffset>2664460</wp:posOffset>
                </wp:positionV>
                <wp:extent cx="1818005" cy="2863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286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5101C" w14:textId="77777777" w:rsidR="006033B4" w:rsidRPr="00A33DBA" w:rsidRDefault="006033B4" w:rsidP="00A83B63">
                            <w:pPr>
                              <w:rPr>
                                <w:rFonts w:ascii="Arial" w:hAnsi="Arial" w:cs="Arial"/>
                                <w:sz w:val="20"/>
                              </w:rPr>
                            </w:pPr>
                            <w:r>
                              <w:rPr>
                                <w:rFonts w:ascii="Arial" w:hAnsi="Arial" w:cs="Arial"/>
                                <w:sz w:val="20"/>
                                <w:lang w:val="bg-BG"/>
                              </w:rPr>
                              <w:t>Преживяемост в месеци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D0" id="_x0000_s1030" type="#_x0000_t202" style="position:absolute;margin-left:153.45pt;margin-top:209.8pt;width:143.15pt;height:2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" stroked="f">
                <v:fill opacity="0"/>
                <v:textbox>
                  <w:txbxContent>
                    <w:p w14:paraId="3E55101C" w14:textId="77777777" w:rsidR="006033B4" w:rsidRPr="00A33DBA" w:rsidRDefault="006033B4" w:rsidP="00A83B63">
                      <w:pPr>
                        <w:rPr>
                          <w:rFonts w:ascii="Arial" w:hAnsi="Arial" w:cs="Arial"/>
                          <w:sz w:val="20"/>
                        </w:rPr>
                      </w:pPr>
                      <w:r>
                        <w:rPr>
                          <w:rFonts w:ascii="Arial" w:hAnsi="Arial" w:cs="Arial"/>
                          <w:sz w:val="20"/>
                          <w:lang w:val="bg-BG"/>
                        </w:rPr>
                        <w:t>Преживяемост в месеци</w:t>
                      </w:r>
                    </w:p>
                  </w:txbxContent>
                </v:textbox>
              </v:shape>
            </w:pict>
          </mc:Fallback>
        </mc:AlternateContent>
      </w:r>
      <w:r w:rsidRPr="00FE6AC6">
        <w:rPr>
          <w:noProof/>
        </w:rPr>
        <mc:AlternateContent>
          <mc:Choice Requires="wps">
            <w:drawing>
              <wp:anchor distT="0" distB="0" distL="114300" distR="114300" simplePos="0" relativeHeight="251656192" behindDoc="0" locked="0" layoutInCell="1" allowOverlap="1" wp14:anchorId="3E550FD2" wp14:editId="3E550FD3">
                <wp:simplePos x="0" y="0"/>
                <wp:positionH relativeFrom="column">
                  <wp:posOffset>340995</wp:posOffset>
                </wp:positionH>
                <wp:positionV relativeFrom="paragraph">
                  <wp:posOffset>951865</wp:posOffset>
                </wp:positionV>
                <wp:extent cx="4585335" cy="1428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5101D" w14:textId="77777777" w:rsidR="006033B4" w:rsidRPr="0086760E" w:rsidRDefault="006033B4" w:rsidP="00A83B63">
                            <w:pPr>
                              <w:rPr>
                                <w:szCs w:val="22"/>
                              </w:rPr>
                            </w:pPr>
                          </w:p>
                          <w:tbl>
                            <w:tblPr>
                              <w:tblW w:w="0" w:type="auto"/>
                              <w:tblLook w:val="04A0" w:firstRow="1" w:lastRow="0" w:firstColumn="1" w:lastColumn="0" w:noHBand="0" w:noVBand="1"/>
                            </w:tblPr>
                            <w:tblGrid>
                              <w:gridCol w:w="817"/>
                              <w:gridCol w:w="2693"/>
                              <w:gridCol w:w="851"/>
                              <w:gridCol w:w="709"/>
                              <w:gridCol w:w="850"/>
                            </w:tblGrid>
                            <w:tr w:rsidR="006033B4" w:rsidRPr="0086760E" w14:paraId="3E551021" w14:textId="77777777">
                              <w:tc>
                                <w:tcPr>
                                  <w:tcW w:w="5920" w:type="dxa"/>
                                  <w:gridSpan w:val="5"/>
                                  <w:shd w:val="clear" w:color="auto" w:fill="auto"/>
                                </w:tcPr>
                                <w:p w14:paraId="3E55101E" w14:textId="77777777" w:rsidR="006033B4" w:rsidRPr="0086760E" w:rsidRDefault="006033B4" w:rsidP="00A932FA">
                                  <w:pPr>
                                    <w:rPr>
                                      <w:szCs w:val="22"/>
                                    </w:rPr>
                                  </w:pPr>
                                  <w:r w:rsidRPr="0086760E">
                                    <w:rPr>
                                      <w:szCs w:val="22"/>
                                    </w:rPr>
                                    <w:t>P = 0,019</w:t>
                                  </w:r>
                                </w:p>
                                <w:p w14:paraId="3E55101F" w14:textId="77777777" w:rsidR="006033B4" w:rsidRPr="0086760E" w:rsidRDefault="006033B4" w:rsidP="00A932FA">
                                  <w:pPr>
                                    <w:rPr>
                                      <w:szCs w:val="22"/>
                                    </w:rPr>
                                  </w:pPr>
                                  <w:r w:rsidRPr="0086760E">
                                    <w:rPr>
                                      <w:szCs w:val="22"/>
                                      <w:lang w:val="bg-BG"/>
                                    </w:rPr>
                                    <w:t>Коефициент</w:t>
                                  </w:r>
                                  <w:r w:rsidRPr="0086760E">
                                    <w:rPr>
                                      <w:szCs w:val="22"/>
                                    </w:rPr>
                                    <w:t xml:space="preserve"> </w:t>
                                  </w:r>
                                  <w:r w:rsidRPr="0086760E">
                                    <w:rPr>
                                      <w:szCs w:val="22"/>
                                      <w:lang w:val="bg-BG"/>
                                    </w:rPr>
                                    <w:t xml:space="preserve">на риск </w:t>
                                  </w:r>
                                  <w:r w:rsidRPr="0086760E">
                                    <w:rPr>
                                      <w:szCs w:val="22"/>
                                    </w:rPr>
                                    <w:t>0</w:t>
                                  </w:r>
                                  <w:r w:rsidRPr="0086760E">
                                    <w:rPr>
                                      <w:szCs w:val="22"/>
                                      <w:lang w:val="bg-BG"/>
                                    </w:rPr>
                                    <w:t>,</w:t>
                                  </w:r>
                                  <w:r w:rsidRPr="0086760E">
                                    <w:rPr>
                                      <w:szCs w:val="22"/>
                                    </w:rPr>
                                    <w:t>45</w:t>
                                  </w:r>
                                </w:p>
                                <w:p w14:paraId="3E551020" w14:textId="77777777" w:rsidR="006033B4" w:rsidRPr="0086760E" w:rsidRDefault="006033B4" w:rsidP="00B33277">
                                  <w:pPr>
                                    <w:rPr>
                                      <w:szCs w:val="22"/>
                                    </w:rPr>
                                  </w:pPr>
                                  <w:r w:rsidRPr="0086760E">
                                    <w:rPr>
                                      <w:szCs w:val="22"/>
                                    </w:rPr>
                                    <w:t xml:space="preserve">(95% </w:t>
                                  </w:r>
                                  <w:r>
                                    <w:rPr>
                                      <w:szCs w:val="22"/>
                                    </w:rPr>
                                    <w:t>CI</w:t>
                                  </w:r>
                                  <w:r w:rsidRPr="0086760E">
                                    <w:rPr>
                                      <w:szCs w:val="22"/>
                                    </w:rPr>
                                    <w:t>, 0</w:t>
                                  </w:r>
                                  <w:r w:rsidRPr="0086760E">
                                    <w:rPr>
                                      <w:szCs w:val="22"/>
                                      <w:lang w:val="bg-BG"/>
                                    </w:rPr>
                                    <w:t>,</w:t>
                                  </w:r>
                                  <w:r w:rsidRPr="0086760E">
                                    <w:rPr>
                                      <w:szCs w:val="22"/>
                                    </w:rPr>
                                    <w:t>22</w:t>
                                  </w:r>
                                  <w:r w:rsidRPr="0086760E">
                                    <w:rPr>
                                      <w:szCs w:val="22"/>
                                    </w:rPr>
                                    <w:noBreakHyphen/>
                                    <w:t>0</w:t>
                                  </w:r>
                                  <w:r w:rsidRPr="0086760E">
                                    <w:rPr>
                                      <w:szCs w:val="22"/>
                                      <w:lang w:val="bg-BG"/>
                                    </w:rPr>
                                    <w:t>,</w:t>
                                  </w:r>
                                  <w:r w:rsidRPr="0086760E">
                                    <w:rPr>
                                      <w:szCs w:val="22"/>
                                    </w:rPr>
                                    <w:t>89)</w:t>
                                  </w:r>
                                </w:p>
                              </w:tc>
                            </w:tr>
                            <w:tr w:rsidR="006033B4" w:rsidRPr="0086760E" w14:paraId="3E551027" w14:textId="77777777">
                              <w:tc>
                                <w:tcPr>
                                  <w:tcW w:w="817" w:type="dxa"/>
                                  <w:shd w:val="clear" w:color="auto" w:fill="auto"/>
                                </w:tcPr>
                                <w:p w14:paraId="3E551022" w14:textId="77777777" w:rsidR="006033B4" w:rsidRPr="0086760E" w:rsidRDefault="006033B4" w:rsidP="00F80ECB">
                                  <w:pPr>
                                    <w:rPr>
                                      <w:szCs w:val="22"/>
                                    </w:rPr>
                                  </w:pPr>
                                </w:p>
                              </w:tc>
                              <w:tc>
                                <w:tcPr>
                                  <w:tcW w:w="2693" w:type="dxa"/>
                                  <w:shd w:val="clear" w:color="auto" w:fill="auto"/>
                                </w:tcPr>
                                <w:p w14:paraId="3E551023" w14:textId="77777777" w:rsidR="006033B4" w:rsidRPr="0086760E" w:rsidRDefault="006033B4" w:rsidP="00F80ECB">
                                  <w:pPr>
                                    <w:rPr>
                                      <w:szCs w:val="22"/>
                                    </w:rPr>
                                  </w:pPr>
                                </w:p>
                              </w:tc>
                              <w:tc>
                                <w:tcPr>
                                  <w:tcW w:w="851" w:type="dxa"/>
                                  <w:tcBorders>
                                    <w:bottom w:val="single" w:sz="4" w:space="0" w:color="auto"/>
                                  </w:tcBorders>
                                  <w:shd w:val="clear" w:color="auto" w:fill="auto"/>
                                </w:tcPr>
                                <w:p w14:paraId="3E551024" w14:textId="77777777" w:rsidR="006033B4" w:rsidRPr="0086760E" w:rsidRDefault="006033B4" w:rsidP="00F80ECB">
                                  <w:pPr>
                                    <w:rPr>
                                      <w:szCs w:val="22"/>
                                    </w:rPr>
                                  </w:pPr>
                                  <w:r w:rsidRPr="0086760E">
                                    <w:rPr>
                                      <w:szCs w:val="22"/>
                                      <w:lang w:val="de-DE"/>
                                    </w:rPr>
                                    <w:t>N</w:t>
                                  </w:r>
                                </w:p>
                              </w:tc>
                              <w:tc>
                                <w:tcPr>
                                  <w:tcW w:w="709" w:type="dxa"/>
                                  <w:tcBorders>
                                    <w:bottom w:val="single" w:sz="4" w:space="0" w:color="auto"/>
                                  </w:tcBorders>
                                  <w:shd w:val="clear" w:color="auto" w:fill="auto"/>
                                </w:tcPr>
                                <w:p w14:paraId="3E551025" w14:textId="77777777" w:rsidR="006033B4" w:rsidRPr="0086760E" w:rsidRDefault="006033B4" w:rsidP="00F80ECB">
                                  <w:pPr>
                                    <w:rPr>
                                      <w:szCs w:val="22"/>
                                    </w:rPr>
                                  </w:pPr>
                                  <w:r w:rsidRPr="0086760E">
                                    <w:rPr>
                                      <w:szCs w:val="22"/>
                                      <w:lang w:val="bg-BG"/>
                                    </w:rPr>
                                    <w:t>Съб</w:t>
                                  </w:r>
                                </w:p>
                              </w:tc>
                              <w:tc>
                                <w:tcPr>
                                  <w:tcW w:w="850" w:type="dxa"/>
                                  <w:tcBorders>
                                    <w:bottom w:val="single" w:sz="4" w:space="0" w:color="auto"/>
                                  </w:tcBorders>
                                  <w:shd w:val="clear" w:color="auto" w:fill="auto"/>
                                </w:tcPr>
                                <w:p w14:paraId="3E551026" w14:textId="77777777" w:rsidR="006033B4" w:rsidRPr="0086760E" w:rsidRDefault="006033B4" w:rsidP="00F80ECB">
                                  <w:pPr>
                                    <w:rPr>
                                      <w:szCs w:val="22"/>
                                    </w:rPr>
                                  </w:pPr>
                                  <w:r w:rsidRPr="0086760E">
                                    <w:rPr>
                                      <w:szCs w:val="22"/>
                                      <w:lang w:val="bg-BG"/>
                                    </w:rPr>
                                    <w:t>Цен</w:t>
                                  </w:r>
                                </w:p>
                              </w:tc>
                            </w:tr>
                            <w:tr w:rsidR="006033B4" w:rsidRPr="0086760E" w14:paraId="3E55102D" w14:textId="77777777">
                              <w:tc>
                                <w:tcPr>
                                  <w:tcW w:w="817" w:type="dxa"/>
                                  <w:shd w:val="clear" w:color="auto" w:fill="auto"/>
                                </w:tcPr>
                                <w:p w14:paraId="3E551028" w14:textId="77777777" w:rsidR="006033B4" w:rsidRPr="0086760E" w:rsidRDefault="006033B4" w:rsidP="00F80ECB">
                                  <w:pPr>
                                    <w:rPr>
                                      <w:szCs w:val="22"/>
                                    </w:rPr>
                                  </w:pPr>
                                  <w:r w:rsidRPr="0086760E">
                                    <w:rPr>
                                      <w:b/>
                                      <w:szCs w:val="22"/>
                                    </w:rPr>
                                    <w:t>——</w:t>
                                  </w:r>
                                </w:p>
                              </w:tc>
                              <w:tc>
                                <w:tcPr>
                                  <w:tcW w:w="2693" w:type="dxa"/>
                                  <w:shd w:val="clear" w:color="auto" w:fill="auto"/>
                                </w:tcPr>
                                <w:p w14:paraId="3E551029" w14:textId="77777777" w:rsidR="006033B4" w:rsidRPr="0086760E" w:rsidRDefault="006033B4" w:rsidP="00F80ECB">
                                  <w:pPr>
                                    <w:rPr>
                                      <w:szCs w:val="22"/>
                                    </w:rPr>
                                  </w:pPr>
                                  <w:r w:rsidRPr="0086760E">
                                    <w:rPr>
                                      <w:szCs w:val="22"/>
                                    </w:rPr>
                                    <w:t xml:space="preserve">1) </w:t>
                                  </w:r>
                                  <w:r w:rsidRPr="0086760E">
                                    <w:rPr>
                                      <w:szCs w:val="22"/>
                                      <w:lang w:val="bg-BG"/>
                                    </w:rPr>
                                    <w:t>Иматиниб</w:t>
                                  </w:r>
                                  <w:r w:rsidRPr="0086760E">
                                    <w:rPr>
                                      <w:szCs w:val="22"/>
                                    </w:rPr>
                                    <w:t xml:space="preserve"> 12 </w:t>
                                  </w:r>
                                  <w:r w:rsidRPr="0086760E">
                                    <w:rPr>
                                      <w:szCs w:val="22"/>
                                      <w:lang w:val="bg-BG"/>
                                    </w:rPr>
                                    <w:t>Месеца</w:t>
                                  </w:r>
                                  <w:r w:rsidRPr="0086760E">
                                    <w:rPr>
                                      <w:szCs w:val="22"/>
                                    </w:rPr>
                                    <w:t>:</w:t>
                                  </w:r>
                                </w:p>
                              </w:tc>
                              <w:tc>
                                <w:tcPr>
                                  <w:tcW w:w="851" w:type="dxa"/>
                                  <w:tcBorders>
                                    <w:top w:val="single" w:sz="4" w:space="0" w:color="auto"/>
                                  </w:tcBorders>
                                  <w:shd w:val="clear" w:color="auto" w:fill="auto"/>
                                </w:tcPr>
                                <w:p w14:paraId="3E55102A" w14:textId="77777777" w:rsidR="006033B4" w:rsidRPr="0086760E" w:rsidRDefault="006033B4" w:rsidP="00F80ECB">
                                  <w:pPr>
                                    <w:rPr>
                                      <w:szCs w:val="22"/>
                                    </w:rPr>
                                  </w:pPr>
                                  <w:r w:rsidRPr="0086760E">
                                    <w:rPr>
                                      <w:szCs w:val="22"/>
                                    </w:rPr>
                                    <w:t>199</w:t>
                                  </w:r>
                                </w:p>
                              </w:tc>
                              <w:tc>
                                <w:tcPr>
                                  <w:tcW w:w="709" w:type="dxa"/>
                                  <w:tcBorders>
                                    <w:top w:val="single" w:sz="4" w:space="0" w:color="auto"/>
                                  </w:tcBorders>
                                  <w:shd w:val="clear" w:color="auto" w:fill="auto"/>
                                </w:tcPr>
                                <w:p w14:paraId="3E55102B" w14:textId="77777777" w:rsidR="006033B4" w:rsidRPr="0086760E" w:rsidRDefault="006033B4" w:rsidP="00F80ECB">
                                  <w:pPr>
                                    <w:rPr>
                                      <w:szCs w:val="22"/>
                                    </w:rPr>
                                  </w:pPr>
                                  <w:r w:rsidRPr="0086760E">
                                    <w:rPr>
                                      <w:szCs w:val="22"/>
                                    </w:rPr>
                                    <w:t>25</w:t>
                                  </w:r>
                                </w:p>
                              </w:tc>
                              <w:tc>
                                <w:tcPr>
                                  <w:tcW w:w="850" w:type="dxa"/>
                                  <w:tcBorders>
                                    <w:top w:val="single" w:sz="4" w:space="0" w:color="auto"/>
                                  </w:tcBorders>
                                  <w:shd w:val="clear" w:color="auto" w:fill="auto"/>
                                </w:tcPr>
                                <w:p w14:paraId="3E55102C" w14:textId="77777777" w:rsidR="006033B4" w:rsidRPr="0086760E" w:rsidRDefault="006033B4" w:rsidP="00F80ECB">
                                  <w:pPr>
                                    <w:rPr>
                                      <w:szCs w:val="22"/>
                                    </w:rPr>
                                  </w:pPr>
                                  <w:r w:rsidRPr="0086760E">
                                    <w:rPr>
                                      <w:szCs w:val="22"/>
                                    </w:rPr>
                                    <w:t>174</w:t>
                                  </w:r>
                                </w:p>
                              </w:tc>
                            </w:tr>
                            <w:tr w:rsidR="006033B4" w:rsidRPr="0086760E" w14:paraId="3E551033" w14:textId="77777777">
                              <w:tc>
                                <w:tcPr>
                                  <w:tcW w:w="817" w:type="dxa"/>
                                  <w:shd w:val="clear" w:color="auto" w:fill="auto"/>
                                </w:tcPr>
                                <w:p w14:paraId="3E55102E" w14:textId="77777777" w:rsidR="006033B4" w:rsidRPr="0086760E" w:rsidRDefault="006033B4" w:rsidP="00F80ECB">
                                  <w:pPr>
                                    <w:rPr>
                                      <w:szCs w:val="22"/>
                                    </w:rPr>
                                  </w:pPr>
                                  <w:r w:rsidRPr="0086760E">
                                    <w:rPr>
                                      <w:szCs w:val="22"/>
                                    </w:rPr>
                                    <w:t>-----</w:t>
                                  </w:r>
                                </w:p>
                              </w:tc>
                              <w:tc>
                                <w:tcPr>
                                  <w:tcW w:w="2693" w:type="dxa"/>
                                  <w:shd w:val="clear" w:color="auto" w:fill="auto"/>
                                </w:tcPr>
                                <w:p w14:paraId="3E55102F" w14:textId="77777777" w:rsidR="006033B4" w:rsidRPr="0086760E" w:rsidRDefault="006033B4" w:rsidP="00F80ECB">
                                  <w:pPr>
                                    <w:rPr>
                                      <w:szCs w:val="22"/>
                                    </w:rPr>
                                  </w:pPr>
                                  <w:r w:rsidRPr="0086760E">
                                    <w:rPr>
                                      <w:szCs w:val="22"/>
                                    </w:rPr>
                                    <w:t xml:space="preserve">(2) </w:t>
                                  </w:r>
                                  <w:r w:rsidRPr="0086760E">
                                    <w:rPr>
                                      <w:szCs w:val="22"/>
                                      <w:lang w:val="bg-BG"/>
                                    </w:rPr>
                                    <w:t>Иматиниб</w:t>
                                  </w:r>
                                  <w:r w:rsidRPr="0086760E">
                                    <w:rPr>
                                      <w:szCs w:val="22"/>
                                    </w:rPr>
                                    <w:t xml:space="preserve"> 36 </w:t>
                                  </w:r>
                                  <w:r w:rsidRPr="0086760E">
                                    <w:rPr>
                                      <w:szCs w:val="22"/>
                                      <w:lang w:val="bg-BG"/>
                                    </w:rPr>
                                    <w:t>Месеца</w:t>
                                  </w:r>
                                  <w:r w:rsidRPr="0086760E">
                                    <w:rPr>
                                      <w:szCs w:val="22"/>
                                    </w:rPr>
                                    <w:t>:</w:t>
                                  </w:r>
                                </w:p>
                              </w:tc>
                              <w:tc>
                                <w:tcPr>
                                  <w:tcW w:w="851" w:type="dxa"/>
                                  <w:tcBorders>
                                    <w:bottom w:val="single" w:sz="4" w:space="0" w:color="auto"/>
                                  </w:tcBorders>
                                  <w:shd w:val="clear" w:color="auto" w:fill="auto"/>
                                </w:tcPr>
                                <w:p w14:paraId="3E551030" w14:textId="77777777" w:rsidR="006033B4" w:rsidRPr="0086760E" w:rsidRDefault="006033B4" w:rsidP="00F80ECB">
                                  <w:pPr>
                                    <w:rPr>
                                      <w:szCs w:val="22"/>
                                    </w:rPr>
                                  </w:pPr>
                                  <w:r w:rsidRPr="0086760E">
                                    <w:rPr>
                                      <w:szCs w:val="22"/>
                                    </w:rPr>
                                    <w:t>198</w:t>
                                  </w:r>
                                </w:p>
                              </w:tc>
                              <w:tc>
                                <w:tcPr>
                                  <w:tcW w:w="709" w:type="dxa"/>
                                  <w:tcBorders>
                                    <w:bottom w:val="single" w:sz="4" w:space="0" w:color="auto"/>
                                  </w:tcBorders>
                                  <w:shd w:val="clear" w:color="auto" w:fill="auto"/>
                                </w:tcPr>
                                <w:p w14:paraId="3E551031" w14:textId="77777777" w:rsidR="006033B4" w:rsidRPr="0086760E" w:rsidRDefault="006033B4" w:rsidP="00F80ECB">
                                  <w:pPr>
                                    <w:rPr>
                                      <w:szCs w:val="22"/>
                                    </w:rPr>
                                  </w:pPr>
                                  <w:r w:rsidRPr="0086760E">
                                    <w:rPr>
                                      <w:szCs w:val="22"/>
                                    </w:rPr>
                                    <w:t>12</w:t>
                                  </w:r>
                                </w:p>
                              </w:tc>
                              <w:tc>
                                <w:tcPr>
                                  <w:tcW w:w="850" w:type="dxa"/>
                                  <w:tcBorders>
                                    <w:bottom w:val="single" w:sz="4" w:space="0" w:color="auto"/>
                                  </w:tcBorders>
                                  <w:shd w:val="clear" w:color="auto" w:fill="auto"/>
                                </w:tcPr>
                                <w:p w14:paraId="3E551032" w14:textId="77777777" w:rsidR="006033B4" w:rsidRPr="0086760E" w:rsidRDefault="006033B4" w:rsidP="00F80ECB">
                                  <w:pPr>
                                    <w:rPr>
                                      <w:szCs w:val="22"/>
                                    </w:rPr>
                                  </w:pPr>
                                  <w:r w:rsidRPr="0086760E">
                                    <w:rPr>
                                      <w:szCs w:val="22"/>
                                    </w:rPr>
                                    <w:t>186</w:t>
                                  </w:r>
                                </w:p>
                              </w:tc>
                            </w:tr>
                            <w:tr w:rsidR="006033B4" w:rsidRPr="0086760E" w14:paraId="3E551039" w14:textId="77777777">
                              <w:tc>
                                <w:tcPr>
                                  <w:tcW w:w="817" w:type="dxa"/>
                                  <w:shd w:val="clear" w:color="auto" w:fill="auto"/>
                                </w:tcPr>
                                <w:p w14:paraId="3E551034" w14:textId="77777777" w:rsidR="006033B4" w:rsidRPr="0086760E" w:rsidRDefault="006033B4" w:rsidP="00F80ECB">
                                  <w:pPr>
                                    <w:rPr>
                                      <w:szCs w:val="22"/>
                                    </w:rPr>
                                  </w:pPr>
                                  <w:r w:rsidRPr="0086760E">
                                    <w:rPr>
                                      <w:szCs w:val="22"/>
                                    </w:rPr>
                                    <w:t>│││</w:t>
                                  </w:r>
                                </w:p>
                              </w:tc>
                              <w:tc>
                                <w:tcPr>
                                  <w:tcW w:w="2693" w:type="dxa"/>
                                  <w:shd w:val="clear" w:color="auto" w:fill="auto"/>
                                </w:tcPr>
                                <w:p w14:paraId="3E551035" w14:textId="77777777" w:rsidR="006033B4" w:rsidRPr="0086760E" w:rsidRDefault="006033B4" w:rsidP="00F80ECB">
                                  <w:pPr>
                                    <w:rPr>
                                      <w:szCs w:val="22"/>
                                    </w:rPr>
                                  </w:pPr>
                                  <w:r w:rsidRPr="0086760E">
                                    <w:rPr>
                                      <w:szCs w:val="22"/>
                                      <w:lang w:val="bg-BG"/>
                                    </w:rPr>
                                    <w:t>Цензурирани наблюдения</w:t>
                                  </w:r>
                                </w:p>
                              </w:tc>
                              <w:tc>
                                <w:tcPr>
                                  <w:tcW w:w="851" w:type="dxa"/>
                                  <w:tcBorders>
                                    <w:top w:val="single" w:sz="4" w:space="0" w:color="auto"/>
                                  </w:tcBorders>
                                  <w:shd w:val="clear" w:color="auto" w:fill="auto"/>
                                </w:tcPr>
                                <w:p w14:paraId="3E551036" w14:textId="77777777" w:rsidR="006033B4" w:rsidRPr="0086760E" w:rsidRDefault="006033B4" w:rsidP="00F80ECB">
                                  <w:pPr>
                                    <w:rPr>
                                      <w:szCs w:val="22"/>
                                    </w:rPr>
                                  </w:pPr>
                                </w:p>
                              </w:tc>
                              <w:tc>
                                <w:tcPr>
                                  <w:tcW w:w="709" w:type="dxa"/>
                                  <w:tcBorders>
                                    <w:top w:val="single" w:sz="4" w:space="0" w:color="auto"/>
                                  </w:tcBorders>
                                  <w:shd w:val="clear" w:color="auto" w:fill="auto"/>
                                </w:tcPr>
                                <w:p w14:paraId="3E551037" w14:textId="77777777" w:rsidR="006033B4" w:rsidRPr="0086760E" w:rsidRDefault="006033B4" w:rsidP="00F80ECB">
                                  <w:pPr>
                                    <w:rPr>
                                      <w:szCs w:val="22"/>
                                    </w:rPr>
                                  </w:pPr>
                                </w:p>
                              </w:tc>
                              <w:tc>
                                <w:tcPr>
                                  <w:tcW w:w="850" w:type="dxa"/>
                                  <w:tcBorders>
                                    <w:top w:val="single" w:sz="4" w:space="0" w:color="auto"/>
                                  </w:tcBorders>
                                  <w:shd w:val="clear" w:color="auto" w:fill="auto"/>
                                </w:tcPr>
                                <w:p w14:paraId="3E551038" w14:textId="77777777" w:rsidR="006033B4" w:rsidRPr="0086760E" w:rsidRDefault="006033B4" w:rsidP="00F80ECB">
                                  <w:pPr>
                                    <w:rPr>
                                      <w:szCs w:val="22"/>
                                    </w:rPr>
                                  </w:pPr>
                                </w:p>
                              </w:tc>
                            </w:tr>
                          </w:tbl>
                          <w:p w14:paraId="3E55103A" w14:textId="77777777" w:rsidR="006033B4" w:rsidRPr="00A33DBA" w:rsidRDefault="006033B4" w:rsidP="00A83B63">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D2" id="_x0000_s1031" type="#_x0000_t202" style="position:absolute;margin-left:26.85pt;margin-top:74.9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" filled="f" stroked="f">
                <v:textbox>
                  <w:txbxContent>
                    <w:p w14:paraId="3E55101D" w14:textId="77777777" w:rsidR="006033B4" w:rsidRPr="0086760E" w:rsidRDefault="006033B4" w:rsidP="00A83B63">
                      <w:pPr>
                        <w:rPr>
                          <w:szCs w:val="22"/>
                        </w:rPr>
                      </w:pPr>
                    </w:p>
                    <w:tbl>
                      <w:tblPr>
                        <w:tblW w:w="0" w:type="auto"/>
                        <w:tblLook w:val="04A0" w:firstRow="1" w:lastRow="0" w:firstColumn="1" w:lastColumn="0" w:noHBand="0" w:noVBand="1"/>
                      </w:tblPr>
                      <w:tblGrid>
                        <w:gridCol w:w="817"/>
                        <w:gridCol w:w="2693"/>
                        <w:gridCol w:w="851"/>
                        <w:gridCol w:w="709"/>
                        <w:gridCol w:w="850"/>
                      </w:tblGrid>
                      <w:tr w:rsidR="006033B4" w:rsidRPr="0086760E" w14:paraId="3E551021" w14:textId="77777777">
                        <w:tc>
                          <w:tcPr>
                            <w:tcW w:w="5920" w:type="dxa"/>
                            <w:gridSpan w:val="5"/>
                            <w:shd w:val="clear" w:color="auto" w:fill="auto"/>
                          </w:tcPr>
                          <w:p w14:paraId="3E55101E" w14:textId="77777777" w:rsidR="006033B4" w:rsidRPr="0086760E" w:rsidRDefault="006033B4" w:rsidP="00A932FA">
                            <w:pPr>
                              <w:rPr>
                                <w:szCs w:val="22"/>
                              </w:rPr>
                            </w:pPr>
                            <w:r w:rsidRPr="0086760E">
                              <w:rPr>
                                <w:szCs w:val="22"/>
                              </w:rPr>
                              <w:t>P = 0,019</w:t>
                            </w:r>
                          </w:p>
                          <w:p w14:paraId="3E55101F" w14:textId="77777777" w:rsidR="006033B4" w:rsidRPr="0086760E" w:rsidRDefault="006033B4" w:rsidP="00A932FA">
                            <w:pPr>
                              <w:rPr>
                                <w:szCs w:val="22"/>
                              </w:rPr>
                            </w:pPr>
                            <w:r w:rsidRPr="0086760E">
                              <w:rPr>
                                <w:szCs w:val="22"/>
                                <w:lang w:val="bg-BG"/>
                              </w:rPr>
                              <w:t>Коефициент</w:t>
                            </w:r>
                            <w:r w:rsidRPr="0086760E">
                              <w:rPr>
                                <w:szCs w:val="22"/>
                              </w:rPr>
                              <w:t xml:space="preserve"> </w:t>
                            </w:r>
                            <w:r w:rsidRPr="0086760E">
                              <w:rPr>
                                <w:szCs w:val="22"/>
                                <w:lang w:val="bg-BG"/>
                              </w:rPr>
                              <w:t xml:space="preserve">на риск </w:t>
                            </w:r>
                            <w:r w:rsidRPr="0086760E">
                              <w:rPr>
                                <w:szCs w:val="22"/>
                              </w:rPr>
                              <w:t>0</w:t>
                            </w:r>
                            <w:r w:rsidRPr="0086760E">
                              <w:rPr>
                                <w:szCs w:val="22"/>
                                <w:lang w:val="bg-BG"/>
                              </w:rPr>
                              <w:t>,</w:t>
                            </w:r>
                            <w:r w:rsidRPr="0086760E">
                              <w:rPr>
                                <w:szCs w:val="22"/>
                              </w:rPr>
                              <w:t>45</w:t>
                            </w:r>
                          </w:p>
                          <w:p w14:paraId="3E551020" w14:textId="77777777" w:rsidR="006033B4" w:rsidRPr="0086760E" w:rsidRDefault="006033B4" w:rsidP="00B33277">
                            <w:pPr>
                              <w:rPr>
                                <w:szCs w:val="22"/>
                              </w:rPr>
                            </w:pPr>
                            <w:r w:rsidRPr="0086760E">
                              <w:rPr>
                                <w:szCs w:val="22"/>
                              </w:rPr>
                              <w:t xml:space="preserve">(95% </w:t>
                            </w:r>
                            <w:r>
                              <w:rPr>
                                <w:szCs w:val="22"/>
                              </w:rPr>
                              <w:t>CI</w:t>
                            </w:r>
                            <w:r w:rsidRPr="0086760E">
                              <w:rPr>
                                <w:szCs w:val="22"/>
                              </w:rPr>
                              <w:t>, 0</w:t>
                            </w:r>
                            <w:r w:rsidRPr="0086760E">
                              <w:rPr>
                                <w:szCs w:val="22"/>
                                <w:lang w:val="bg-BG"/>
                              </w:rPr>
                              <w:t>,</w:t>
                            </w:r>
                            <w:r w:rsidRPr="0086760E">
                              <w:rPr>
                                <w:szCs w:val="22"/>
                              </w:rPr>
                              <w:t>22</w:t>
                            </w:r>
                            <w:r w:rsidRPr="0086760E">
                              <w:rPr>
                                <w:szCs w:val="22"/>
                              </w:rPr>
                              <w:noBreakHyphen/>
                              <w:t>0</w:t>
                            </w:r>
                            <w:r w:rsidRPr="0086760E">
                              <w:rPr>
                                <w:szCs w:val="22"/>
                                <w:lang w:val="bg-BG"/>
                              </w:rPr>
                              <w:t>,</w:t>
                            </w:r>
                            <w:r w:rsidRPr="0086760E">
                              <w:rPr>
                                <w:szCs w:val="22"/>
                              </w:rPr>
                              <w:t>89)</w:t>
                            </w:r>
                          </w:p>
                        </w:tc>
                      </w:tr>
                      <w:tr w:rsidR="006033B4" w:rsidRPr="0086760E" w14:paraId="3E551027" w14:textId="77777777">
                        <w:tc>
                          <w:tcPr>
                            <w:tcW w:w="817" w:type="dxa"/>
                            <w:shd w:val="clear" w:color="auto" w:fill="auto"/>
                          </w:tcPr>
                          <w:p w14:paraId="3E551022" w14:textId="77777777" w:rsidR="006033B4" w:rsidRPr="0086760E" w:rsidRDefault="006033B4" w:rsidP="00F80ECB">
                            <w:pPr>
                              <w:rPr>
                                <w:szCs w:val="22"/>
                              </w:rPr>
                            </w:pPr>
                          </w:p>
                        </w:tc>
                        <w:tc>
                          <w:tcPr>
                            <w:tcW w:w="2693" w:type="dxa"/>
                            <w:shd w:val="clear" w:color="auto" w:fill="auto"/>
                          </w:tcPr>
                          <w:p w14:paraId="3E551023" w14:textId="77777777" w:rsidR="006033B4" w:rsidRPr="0086760E" w:rsidRDefault="006033B4" w:rsidP="00F80ECB">
                            <w:pPr>
                              <w:rPr>
                                <w:szCs w:val="22"/>
                              </w:rPr>
                            </w:pPr>
                          </w:p>
                        </w:tc>
                        <w:tc>
                          <w:tcPr>
                            <w:tcW w:w="851" w:type="dxa"/>
                            <w:tcBorders>
                              <w:bottom w:val="single" w:sz="4" w:space="0" w:color="auto"/>
                            </w:tcBorders>
                            <w:shd w:val="clear" w:color="auto" w:fill="auto"/>
                          </w:tcPr>
                          <w:p w14:paraId="3E551024" w14:textId="77777777" w:rsidR="006033B4" w:rsidRPr="0086760E" w:rsidRDefault="006033B4" w:rsidP="00F80ECB">
                            <w:pPr>
                              <w:rPr>
                                <w:szCs w:val="22"/>
                              </w:rPr>
                            </w:pPr>
                            <w:r w:rsidRPr="0086760E">
                              <w:rPr>
                                <w:szCs w:val="22"/>
                                <w:lang w:val="de-DE"/>
                              </w:rPr>
                              <w:t>N</w:t>
                            </w:r>
                          </w:p>
                        </w:tc>
                        <w:tc>
                          <w:tcPr>
                            <w:tcW w:w="709" w:type="dxa"/>
                            <w:tcBorders>
                              <w:bottom w:val="single" w:sz="4" w:space="0" w:color="auto"/>
                            </w:tcBorders>
                            <w:shd w:val="clear" w:color="auto" w:fill="auto"/>
                          </w:tcPr>
                          <w:p w14:paraId="3E551025" w14:textId="77777777" w:rsidR="006033B4" w:rsidRPr="0086760E" w:rsidRDefault="006033B4" w:rsidP="00F80ECB">
                            <w:pPr>
                              <w:rPr>
                                <w:szCs w:val="22"/>
                              </w:rPr>
                            </w:pPr>
                            <w:r w:rsidRPr="0086760E">
                              <w:rPr>
                                <w:szCs w:val="22"/>
                                <w:lang w:val="bg-BG"/>
                              </w:rPr>
                              <w:t>Съб</w:t>
                            </w:r>
                          </w:p>
                        </w:tc>
                        <w:tc>
                          <w:tcPr>
                            <w:tcW w:w="850" w:type="dxa"/>
                            <w:tcBorders>
                              <w:bottom w:val="single" w:sz="4" w:space="0" w:color="auto"/>
                            </w:tcBorders>
                            <w:shd w:val="clear" w:color="auto" w:fill="auto"/>
                          </w:tcPr>
                          <w:p w14:paraId="3E551026" w14:textId="77777777" w:rsidR="006033B4" w:rsidRPr="0086760E" w:rsidRDefault="006033B4" w:rsidP="00F80ECB">
                            <w:pPr>
                              <w:rPr>
                                <w:szCs w:val="22"/>
                              </w:rPr>
                            </w:pPr>
                            <w:r w:rsidRPr="0086760E">
                              <w:rPr>
                                <w:szCs w:val="22"/>
                                <w:lang w:val="bg-BG"/>
                              </w:rPr>
                              <w:t>Цен</w:t>
                            </w:r>
                          </w:p>
                        </w:tc>
                      </w:tr>
                      <w:tr w:rsidR="006033B4" w:rsidRPr="0086760E" w14:paraId="3E55102D" w14:textId="77777777">
                        <w:tc>
                          <w:tcPr>
                            <w:tcW w:w="817" w:type="dxa"/>
                            <w:shd w:val="clear" w:color="auto" w:fill="auto"/>
                          </w:tcPr>
                          <w:p w14:paraId="3E551028" w14:textId="77777777" w:rsidR="006033B4" w:rsidRPr="0086760E" w:rsidRDefault="006033B4" w:rsidP="00F80ECB">
                            <w:pPr>
                              <w:rPr>
                                <w:szCs w:val="22"/>
                              </w:rPr>
                            </w:pPr>
                            <w:r w:rsidRPr="0086760E">
                              <w:rPr>
                                <w:b/>
                                <w:szCs w:val="22"/>
                              </w:rPr>
                              <w:t>——</w:t>
                            </w:r>
                          </w:p>
                        </w:tc>
                        <w:tc>
                          <w:tcPr>
                            <w:tcW w:w="2693" w:type="dxa"/>
                            <w:shd w:val="clear" w:color="auto" w:fill="auto"/>
                          </w:tcPr>
                          <w:p w14:paraId="3E551029" w14:textId="77777777" w:rsidR="006033B4" w:rsidRPr="0086760E" w:rsidRDefault="006033B4" w:rsidP="00F80ECB">
                            <w:pPr>
                              <w:rPr>
                                <w:szCs w:val="22"/>
                              </w:rPr>
                            </w:pPr>
                            <w:r w:rsidRPr="0086760E">
                              <w:rPr>
                                <w:szCs w:val="22"/>
                              </w:rPr>
                              <w:t xml:space="preserve">1) </w:t>
                            </w:r>
                            <w:r w:rsidRPr="0086760E">
                              <w:rPr>
                                <w:szCs w:val="22"/>
                                <w:lang w:val="bg-BG"/>
                              </w:rPr>
                              <w:t>Иматиниб</w:t>
                            </w:r>
                            <w:r w:rsidRPr="0086760E">
                              <w:rPr>
                                <w:szCs w:val="22"/>
                              </w:rPr>
                              <w:t xml:space="preserve"> 12 </w:t>
                            </w:r>
                            <w:r w:rsidRPr="0086760E">
                              <w:rPr>
                                <w:szCs w:val="22"/>
                                <w:lang w:val="bg-BG"/>
                              </w:rPr>
                              <w:t>Месеца</w:t>
                            </w:r>
                            <w:r w:rsidRPr="0086760E">
                              <w:rPr>
                                <w:szCs w:val="22"/>
                              </w:rPr>
                              <w:t>:</w:t>
                            </w:r>
                          </w:p>
                        </w:tc>
                        <w:tc>
                          <w:tcPr>
                            <w:tcW w:w="851" w:type="dxa"/>
                            <w:tcBorders>
                              <w:top w:val="single" w:sz="4" w:space="0" w:color="auto"/>
                            </w:tcBorders>
                            <w:shd w:val="clear" w:color="auto" w:fill="auto"/>
                          </w:tcPr>
                          <w:p w14:paraId="3E55102A" w14:textId="77777777" w:rsidR="006033B4" w:rsidRPr="0086760E" w:rsidRDefault="006033B4" w:rsidP="00F80ECB">
                            <w:pPr>
                              <w:rPr>
                                <w:szCs w:val="22"/>
                              </w:rPr>
                            </w:pPr>
                            <w:r w:rsidRPr="0086760E">
                              <w:rPr>
                                <w:szCs w:val="22"/>
                              </w:rPr>
                              <w:t>199</w:t>
                            </w:r>
                          </w:p>
                        </w:tc>
                        <w:tc>
                          <w:tcPr>
                            <w:tcW w:w="709" w:type="dxa"/>
                            <w:tcBorders>
                              <w:top w:val="single" w:sz="4" w:space="0" w:color="auto"/>
                            </w:tcBorders>
                            <w:shd w:val="clear" w:color="auto" w:fill="auto"/>
                          </w:tcPr>
                          <w:p w14:paraId="3E55102B" w14:textId="77777777" w:rsidR="006033B4" w:rsidRPr="0086760E" w:rsidRDefault="006033B4" w:rsidP="00F80ECB">
                            <w:pPr>
                              <w:rPr>
                                <w:szCs w:val="22"/>
                              </w:rPr>
                            </w:pPr>
                            <w:r w:rsidRPr="0086760E">
                              <w:rPr>
                                <w:szCs w:val="22"/>
                              </w:rPr>
                              <w:t>25</w:t>
                            </w:r>
                          </w:p>
                        </w:tc>
                        <w:tc>
                          <w:tcPr>
                            <w:tcW w:w="850" w:type="dxa"/>
                            <w:tcBorders>
                              <w:top w:val="single" w:sz="4" w:space="0" w:color="auto"/>
                            </w:tcBorders>
                            <w:shd w:val="clear" w:color="auto" w:fill="auto"/>
                          </w:tcPr>
                          <w:p w14:paraId="3E55102C" w14:textId="77777777" w:rsidR="006033B4" w:rsidRPr="0086760E" w:rsidRDefault="006033B4" w:rsidP="00F80ECB">
                            <w:pPr>
                              <w:rPr>
                                <w:szCs w:val="22"/>
                              </w:rPr>
                            </w:pPr>
                            <w:r w:rsidRPr="0086760E">
                              <w:rPr>
                                <w:szCs w:val="22"/>
                              </w:rPr>
                              <w:t>174</w:t>
                            </w:r>
                          </w:p>
                        </w:tc>
                      </w:tr>
                      <w:tr w:rsidR="006033B4" w:rsidRPr="0086760E" w14:paraId="3E551033" w14:textId="77777777">
                        <w:tc>
                          <w:tcPr>
                            <w:tcW w:w="817" w:type="dxa"/>
                            <w:shd w:val="clear" w:color="auto" w:fill="auto"/>
                          </w:tcPr>
                          <w:p w14:paraId="3E55102E" w14:textId="77777777" w:rsidR="006033B4" w:rsidRPr="0086760E" w:rsidRDefault="006033B4" w:rsidP="00F80ECB">
                            <w:pPr>
                              <w:rPr>
                                <w:szCs w:val="22"/>
                              </w:rPr>
                            </w:pPr>
                            <w:r w:rsidRPr="0086760E">
                              <w:rPr>
                                <w:szCs w:val="22"/>
                              </w:rPr>
                              <w:t>-----</w:t>
                            </w:r>
                          </w:p>
                        </w:tc>
                        <w:tc>
                          <w:tcPr>
                            <w:tcW w:w="2693" w:type="dxa"/>
                            <w:shd w:val="clear" w:color="auto" w:fill="auto"/>
                          </w:tcPr>
                          <w:p w14:paraId="3E55102F" w14:textId="77777777" w:rsidR="006033B4" w:rsidRPr="0086760E" w:rsidRDefault="006033B4" w:rsidP="00F80ECB">
                            <w:pPr>
                              <w:rPr>
                                <w:szCs w:val="22"/>
                              </w:rPr>
                            </w:pPr>
                            <w:r w:rsidRPr="0086760E">
                              <w:rPr>
                                <w:szCs w:val="22"/>
                              </w:rPr>
                              <w:t xml:space="preserve">(2) </w:t>
                            </w:r>
                            <w:r w:rsidRPr="0086760E">
                              <w:rPr>
                                <w:szCs w:val="22"/>
                                <w:lang w:val="bg-BG"/>
                              </w:rPr>
                              <w:t>Иматиниб</w:t>
                            </w:r>
                            <w:r w:rsidRPr="0086760E">
                              <w:rPr>
                                <w:szCs w:val="22"/>
                              </w:rPr>
                              <w:t xml:space="preserve"> 36 </w:t>
                            </w:r>
                            <w:r w:rsidRPr="0086760E">
                              <w:rPr>
                                <w:szCs w:val="22"/>
                                <w:lang w:val="bg-BG"/>
                              </w:rPr>
                              <w:t>Месеца</w:t>
                            </w:r>
                            <w:r w:rsidRPr="0086760E">
                              <w:rPr>
                                <w:szCs w:val="22"/>
                              </w:rPr>
                              <w:t>:</w:t>
                            </w:r>
                          </w:p>
                        </w:tc>
                        <w:tc>
                          <w:tcPr>
                            <w:tcW w:w="851" w:type="dxa"/>
                            <w:tcBorders>
                              <w:bottom w:val="single" w:sz="4" w:space="0" w:color="auto"/>
                            </w:tcBorders>
                            <w:shd w:val="clear" w:color="auto" w:fill="auto"/>
                          </w:tcPr>
                          <w:p w14:paraId="3E551030" w14:textId="77777777" w:rsidR="006033B4" w:rsidRPr="0086760E" w:rsidRDefault="006033B4" w:rsidP="00F80ECB">
                            <w:pPr>
                              <w:rPr>
                                <w:szCs w:val="22"/>
                              </w:rPr>
                            </w:pPr>
                            <w:r w:rsidRPr="0086760E">
                              <w:rPr>
                                <w:szCs w:val="22"/>
                              </w:rPr>
                              <w:t>198</w:t>
                            </w:r>
                          </w:p>
                        </w:tc>
                        <w:tc>
                          <w:tcPr>
                            <w:tcW w:w="709" w:type="dxa"/>
                            <w:tcBorders>
                              <w:bottom w:val="single" w:sz="4" w:space="0" w:color="auto"/>
                            </w:tcBorders>
                            <w:shd w:val="clear" w:color="auto" w:fill="auto"/>
                          </w:tcPr>
                          <w:p w14:paraId="3E551031" w14:textId="77777777" w:rsidR="006033B4" w:rsidRPr="0086760E" w:rsidRDefault="006033B4" w:rsidP="00F80ECB">
                            <w:pPr>
                              <w:rPr>
                                <w:szCs w:val="22"/>
                              </w:rPr>
                            </w:pPr>
                            <w:r w:rsidRPr="0086760E">
                              <w:rPr>
                                <w:szCs w:val="22"/>
                              </w:rPr>
                              <w:t>12</w:t>
                            </w:r>
                          </w:p>
                        </w:tc>
                        <w:tc>
                          <w:tcPr>
                            <w:tcW w:w="850" w:type="dxa"/>
                            <w:tcBorders>
                              <w:bottom w:val="single" w:sz="4" w:space="0" w:color="auto"/>
                            </w:tcBorders>
                            <w:shd w:val="clear" w:color="auto" w:fill="auto"/>
                          </w:tcPr>
                          <w:p w14:paraId="3E551032" w14:textId="77777777" w:rsidR="006033B4" w:rsidRPr="0086760E" w:rsidRDefault="006033B4" w:rsidP="00F80ECB">
                            <w:pPr>
                              <w:rPr>
                                <w:szCs w:val="22"/>
                              </w:rPr>
                            </w:pPr>
                            <w:r w:rsidRPr="0086760E">
                              <w:rPr>
                                <w:szCs w:val="22"/>
                              </w:rPr>
                              <w:t>186</w:t>
                            </w:r>
                          </w:p>
                        </w:tc>
                      </w:tr>
                      <w:tr w:rsidR="006033B4" w:rsidRPr="0086760E" w14:paraId="3E551039" w14:textId="77777777">
                        <w:tc>
                          <w:tcPr>
                            <w:tcW w:w="817" w:type="dxa"/>
                            <w:shd w:val="clear" w:color="auto" w:fill="auto"/>
                          </w:tcPr>
                          <w:p w14:paraId="3E551034" w14:textId="77777777" w:rsidR="006033B4" w:rsidRPr="0086760E" w:rsidRDefault="006033B4" w:rsidP="00F80ECB">
                            <w:pPr>
                              <w:rPr>
                                <w:szCs w:val="22"/>
                              </w:rPr>
                            </w:pPr>
                            <w:r w:rsidRPr="0086760E">
                              <w:rPr>
                                <w:szCs w:val="22"/>
                              </w:rPr>
                              <w:t>│││</w:t>
                            </w:r>
                          </w:p>
                        </w:tc>
                        <w:tc>
                          <w:tcPr>
                            <w:tcW w:w="2693" w:type="dxa"/>
                            <w:shd w:val="clear" w:color="auto" w:fill="auto"/>
                          </w:tcPr>
                          <w:p w14:paraId="3E551035" w14:textId="77777777" w:rsidR="006033B4" w:rsidRPr="0086760E" w:rsidRDefault="006033B4" w:rsidP="00F80ECB">
                            <w:pPr>
                              <w:rPr>
                                <w:szCs w:val="22"/>
                              </w:rPr>
                            </w:pPr>
                            <w:r w:rsidRPr="0086760E">
                              <w:rPr>
                                <w:szCs w:val="22"/>
                                <w:lang w:val="bg-BG"/>
                              </w:rPr>
                              <w:t>Цензурирани наблюдения</w:t>
                            </w:r>
                          </w:p>
                        </w:tc>
                        <w:tc>
                          <w:tcPr>
                            <w:tcW w:w="851" w:type="dxa"/>
                            <w:tcBorders>
                              <w:top w:val="single" w:sz="4" w:space="0" w:color="auto"/>
                            </w:tcBorders>
                            <w:shd w:val="clear" w:color="auto" w:fill="auto"/>
                          </w:tcPr>
                          <w:p w14:paraId="3E551036" w14:textId="77777777" w:rsidR="006033B4" w:rsidRPr="0086760E" w:rsidRDefault="006033B4" w:rsidP="00F80ECB">
                            <w:pPr>
                              <w:rPr>
                                <w:szCs w:val="22"/>
                              </w:rPr>
                            </w:pPr>
                          </w:p>
                        </w:tc>
                        <w:tc>
                          <w:tcPr>
                            <w:tcW w:w="709" w:type="dxa"/>
                            <w:tcBorders>
                              <w:top w:val="single" w:sz="4" w:space="0" w:color="auto"/>
                            </w:tcBorders>
                            <w:shd w:val="clear" w:color="auto" w:fill="auto"/>
                          </w:tcPr>
                          <w:p w14:paraId="3E551037" w14:textId="77777777" w:rsidR="006033B4" w:rsidRPr="0086760E" w:rsidRDefault="006033B4" w:rsidP="00F80ECB">
                            <w:pPr>
                              <w:rPr>
                                <w:szCs w:val="22"/>
                              </w:rPr>
                            </w:pPr>
                          </w:p>
                        </w:tc>
                        <w:tc>
                          <w:tcPr>
                            <w:tcW w:w="850" w:type="dxa"/>
                            <w:tcBorders>
                              <w:top w:val="single" w:sz="4" w:space="0" w:color="auto"/>
                            </w:tcBorders>
                            <w:shd w:val="clear" w:color="auto" w:fill="auto"/>
                          </w:tcPr>
                          <w:p w14:paraId="3E551038" w14:textId="77777777" w:rsidR="006033B4" w:rsidRPr="0086760E" w:rsidRDefault="006033B4" w:rsidP="00F80ECB">
                            <w:pPr>
                              <w:rPr>
                                <w:szCs w:val="22"/>
                              </w:rPr>
                            </w:pPr>
                          </w:p>
                        </w:tc>
                      </w:tr>
                    </w:tbl>
                    <w:p w14:paraId="3E55103A" w14:textId="77777777" w:rsidR="006033B4" w:rsidRPr="00A33DBA" w:rsidRDefault="006033B4" w:rsidP="00A83B63">
                      <w:pPr>
                        <w:rPr>
                          <w:rFonts w:ascii="Arial" w:hAnsi="Arial" w:cs="Arial"/>
                          <w:sz w:val="20"/>
                        </w:rPr>
                      </w:pPr>
                    </w:p>
                  </w:txbxContent>
                </v:textbox>
              </v:shape>
            </w:pict>
          </mc:Fallback>
        </mc:AlternateContent>
      </w:r>
      <w:r w:rsidRPr="00FE6AC6">
        <w:rPr>
          <w:noProof/>
        </w:rPr>
        <w:drawing>
          <wp:inline distT="0" distB="0" distL="0" distR="0" wp14:anchorId="3E550FD4" wp14:editId="3E550FD5">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3E550023" w14:textId="77777777" w:rsidR="00A83B63" w:rsidRPr="00FE6AC6" w:rsidRDefault="00A83B63" w:rsidP="0063575E">
      <w:pPr>
        <w:pStyle w:val="Text"/>
        <w:keepNext/>
        <w:keepLines/>
        <w:widowControl w:val="0"/>
        <w:spacing w:before="0"/>
        <w:jc w:val="left"/>
        <w:rPr>
          <w:rFonts w:eastAsia="MS Mincho"/>
          <w:color w:val="000000"/>
          <w:sz w:val="22"/>
          <w:szCs w:val="22"/>
          <w:lang w:eastAsia="ja-JP"/>
        </w:rPr>
      </w:pPr>
    </w:p>
    <w:p w14:paraId="3E550024" w14:textId="77777777" w:rsidR="00A83B63" w:rsidRPr="00FE6AC6" w:rsidRDefault="00A83B63" w:rsidP="0063575E">
      <w:pPr>
        <w:pStyle w:val="Text"/>
        <w:keepNext/>
        <w:keepLines/>
        <w:widowControl w:val="0"/>
        <w:spacing w:before="0"/>
        <w:jc w:val="left"/>
        <w:rPr>
          <w:rFonts w:eastAsia="MS Mincho"/>
          <w:color w:val="000000"/>
          <w:sz w:val="22"/>
          <w:szCs w:val="22"/>
          <w:lang w:eastAsia="ja-JP"/>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A83B63" w:rsidRPr="00FE6AC6" w14:paraId="3E550026" w14:textId="77777777">
        <w:tc>
          <w:tcPr>
            <w:tcW w:w="10632" w:type="dxa"/>
            <w:gridSpan w:val="16"/>
            <w:shd w:val="clear" w:color="auto" w:fill="auto"/>
          </w:tcPr>
          <w:p w14:paraId="3E550025" w14:textId="77777777" w:rsidR="00A83B63" w:rsidRPr="00FE6AC6" w:rsidRDefault="00A932FA" w:rsidP="0063575E">
            <w:pPr>
              <w:keepNext/>
              <w:keepLines/>
              <w:widowControl w:val="0"/>
              <w:spacing w:line="240" w:lineRule="auto"/>
              <w:ind w:left="-27"/>
              <w:rPr>
                <w:sz w:val="16"/>
                <w:szCs w:val="16"/>
              </w:rPr>
            </w:pPr>
            <w:r w:rsidRPr="00FE6AC6">
              <w:rPr>
                <w:lang w:val="bg-BG"/>
              </w:rPr>
              <w:t>Изложени на риск: Събития</w:t>
            </w:r>
          </w:p>
        </w:tc>
      </w:tr>
      <w:tr w:rsidR="00A83B63" w:rsidRPr="00FE6AC6" w14:paraId="3E550037" w14:textId="77777777">
        <w:tc>
          <w:tcPr>
            <w:tcW w:w="450" w:type="dxa"/>
            <w:shd w:val="clear" w:color="auto" w:fill="auto"/>
          </w:tcPr>
          <w:p w14:paraId="3E550027" w14:textId="77777777" w:rsidR="00A83B63" w:rsidRPr="00FE6AC6" w:rsidRDefault="00A83B63" w:rsidP="0063575E">
            <w:pPr>
              <w:keepNext/>
              <w:keepLines/>
              <w:widowControl w:val="0"/>
              <w:spacing w:line="240" w:lineRule="auto"/>
              <w:rPr>
                <w:sz w:val="18"/>
              </w:rPr>
            </w:pPr>
            <w:r w:rsidRPr="00FE6AC6">
              <w:rPr>
                <w:sz w:val="18"/>
              </w:rPr>
              <w:t>(1)</w:t>
            </w:r>
          </w:p>
        </w:tc>
        <w:tc>
          <w:tcPr>
            <w:tcW w:w="687" w:type="dxa"/>
            <w:shd w:val="clear" w:color="auto" w:fill="auto"/>
          </w:tcPr>
          <w:p w14:paraId="3E550028" w14:textId="77777777" w:rsidR="00A83B63" w:rsidRPr="00FE6AC6" w:rsidRDefault="00A83B63" w:rsidP="0063575E">
            <w:pPr>
              <w:keepNext/>
              <w:keepLines/>
              <w:widowControl w:val="0"/>
              <w:spacing w:line="240" w:lineRule="auto"/>
              <w:ind w:left="-45"/>
              <w:rPr>
                <w:sz w:val="18"/>
              </w:rPr>
            </w:pPr>
            <w:r w:rsidRPr="00FE6AC6">
              <w:rPr>
                <w:sz w:val="18"/>
              </w:rPr>
              <w:t>199:0</w:t>
            </w:r>
          </w:p>
        </w:tc>
        <w:tc>
          <w:tcPr>
            <w:tcW w:w="670" w:type="dxa"/>
            <w:shd w:val="clear" w:color="auto" w:fill="auto"/>
          </w:tcPr>
          <w:p w14:paraId="3E550029" w14:textId="77777777" w:rsidR="00A83B63" w:rsidRPr="00FE6AC6" w:rsidRDefault="00A83B63" w:rsidP="0063575E">
            <w:pPr>
              <w:keepNext/>
              <w:keepLines/>
              <w:widowControl w:val="0"/>
              <w:spacing w:line="240" w:lineRule="auto"/>
              <w:ind w:left="-45"/>
              <w:rPr>
                <w:sz w:val="18"/>
              </w:rPr>
            </w:pPr>
            <w:r w:rsidRPr="00FE6AC6">
              <w:rPr>
                <w:sz w:val="18"/>
              </w:rPr>
              <w:t>190:2</w:t>
            </w:r>
          </w:p>
        </w:tc>
        <w:tc>
          <w:tcPr>
            <w:tcW w:w="710" w:type="dxa"/>
            <w:shd w:val="clear" w:color="auto" w:fill="auto"/>
          </w:tcPr>
          <w:p w14:paraId="3E55002A" w14:textId="77777777" w:rsidR="00A83B63" w:rsidRPr="00FE6AC6" w:rsidRDefault="00A83B63" w:rsidP="0063575E">
            <w:pPr>
              <w:keepNext/>
              <w:keepLines/>
              <w:widowControl w:val="0"/>
              <w:spacing w:line="240" w:lineRule="auto"/>
              <w:ind w:left="-45"/>
              <w:rPr>
                <w:sz w:val="18"/>
              </w:rPr>
            </w:pPr>
            <w:r w:rsidRPr="00FE6AC6">
              <w:rPr>
                <w:sz w:val="18"/>
              </w:rPr>
              <w:t>188:2</w:t>
            </w:r>
          </w:p>
        </w:tc>
        <w:tc>
          <w:tcPr>
            <w:tcW w:w="717" w:type="dxa"/>
            <w:shd w:val="clear" w:color="auto" w:fill="auto"/>
          </w:tcPr>
          <w:p w14:paraId="3E55002B" w14:textId="77777777" w:rsidR="00A83B63" w:rsidRPr="00FE6AC6" w:rsidRDefault="00A83B63" w:rsidP="0063575E">
            <w:pPr>
              <w:keepNext/>
              <w:keepLines/>
              <w:widowControl w:val="0"/>
              <w:spacing w:line="240" w:lineRule="auto"/>
              <w:ind w:left="-45"/>
              <w:rPr>
                <w:sz w:val="18"/>
              </w:rPr>
            </w:pPr>
            <w:r w:rsidRPr="00FE6AC6">
              <w:rPr>
                <w:sz w:val="18"/>
              </w:rPr>
              <w:t>183:6</w:t>
            </w:r>
          </w:p>
        </w:tc>
        <w:tc>
          <w:tcPr>
            <w:tcW w:w="691" w:type="dxa"/>
            <w:shd w:val="clear" w:color="auto" w:fill="auto"/>
          </w:tcPr>
          <w:p w14:paraId="3E55002C" w14:textId="77777777" w:rsidR="00A83B63" w:rsidRPr="00FE6AC6" w:rsidRDefault="00A83B63" w:rsidP="0063575E">
            <w:pPr>
              <w:keepNext/>
              <w:keepLines/>
              <w:widowControl w:val="0"/>
              <w:spacing w:line="240" w:lineRule="auto"/>
              <w:ind w:left="-45"/>
              <w:rPr>
                <w:sz w:val="18"/>
              </w:rPr>
            </w:pPr>
            <w:r w:rsidRPr="00FE6AC6">
              <w:rPr>
                <w:sz w:val="18"/>
              </w:rPr>
              <w:t>176:8</w:t>
            </w:r>
          </w:p>
        </w:tc>
        <w:tc>
          <w:tcPr>
            <w:tcW w:w="770" w:type="dxa"/>
            <w:shd w:val="clear" w:color="auto" w:fill="auto"/>
          </w:tcPr>
          <w:p w14:paraId="3E55002D" w14:textId="77777777" w:rsidR="00A83B63" w:rsidRPr="00FE6AC6" w:rsidRDefault="00A83B63" w:rsidP="0063575E">
            <w:pPr>
              <w:keepNext/>
              <w:keepLines/>
              <w:widowControl w:val="0"/>
              <w:spacing w:line="240" w:lineRule="auto"/>
              <w:ind w:left="-45"/>
              <w:rPr>
                <w:sz w:val="18"/>
              </w:rPr>
            </w:pPr>
            <w:r w:rsidRPr="00FE6AC6">
              <w:rPr>
                <w:sz w:val="18"/>
              </w:rPr>
              <w:t>156:10</w:t>
            </w:r>
          </w:p>
        </w:tc>
        <w:tc>
          <w:tcPr>
            <w:tcW w:w="779" w:type="dxa"/>
            <w:shd w:val="clear" w:color="auto" w:fill="auto"/>
          </w:tcPr>
          <w:p w14:paraId="3E55002E" w14:textId="77777777" w:rsidR="00A83B63" w:rsidRPr="00FE6AC6" w:rsidRDefault="00A83B63" w:rsidP="0063575E">
            <w:pPr>
              <w:keepNext/>
              <w:keepLines/>
              <w:widowControl w:val="0"/>
              <w:spacing w:line="240" w:lineRule="auto"/>
              <w:ind w:left="-45"/>
              <w:rPr>
                <w:sz w:val="18"/>
              </w:rPr>
            </w:pPr>
            <w:r w:rsidRPr="00FE6AC6">
              <w:rPr>
                <w:sz w:val="18"/>
              </w:rPr>
              <w:t>140:11</w:t>
            </w:r>
          </w:p>
        </w:tc>
        <w:tc>
          <w:tcPr>
            <w:tcW w:w="794" w:type="dxa"/>
            <w:shd w:val="clear" w:color="auto" w:fill="auto"/>
          </w:tcPr>
          <w:p w14:paraId="3E55002F" w14:textId="77777777" w:rsidR="00A83B63" w:rsidRPr="00FE6AC6" w:rsidRDefault="00A83B63" w:rsidP="0063575E">
            <w:pPr>
              <w:keepNext/>
              <w:keepLines/>
              <w:widowControl w:val="0"/>
              <w:spacing w:line="240" w:lineRule="auto"/>
              <w:ind w:left="-45"/>
              <w:rPr>
                <w:sz w:val="18"/>
              </w:rPr>
            </w:pPr>
            <w:r w:rsidRPr="00FE6AC6">
              <w:rPr>
                <w:sz w:val="18"/>
              </w:rPr>
              <w:t>105:14</w:t>
            </w:r>
          </w:p>
        </w:tc>
        <w:tc>
          <w:tcPr>
            <w:tcW w:w="653" w:type="dxa"/>
            <w:shd w:val="clear" w:color="auto" w:fill="auto"/>
          </w:tcPr>
          <w:p w14:paraId="3E550030" w14:textId="77777777" w:rsidR="00A83B63" w:rsidRPr="00FE6AC6" w:rsidRDefault="00A83B63" w:rsidP="0063575E">
            <w:pPr>
              <w:keepNext/>
              <w:keepLines/>
              <w:widowControl w:val="0"/>
              <w:spacing w:line="240" w:lineRule="auto"/>
              <w:ind w:left="-45"/>
              <w:rPr>
                <w:sz w:val="18"/>
              </w:rPr>
            </w:pPr>
            <w:r w:rsidRPr="00FE6AC6">
              <w:rPr>
                <w:sz w:val="18"/>
              </w:rPr>
              <w:t>87:18</w:t>
            </w:r>
          </w:p>
        </w:tc>
        <w:tc>
          <w:tcPr>
            <w:tcW w:w="630" w:type="dxa"/>
            <w:shd w:val="clear" w:color="auto" w:fill="auto"/>
          </w:tcPr>
          <w:p w14:paraId="3E550031" w14:textId="77777777" w:rsidR="00A83B63" w:rsidRPr="00FE6AC6" w:rsidRDefault="00A83B63" w:rsidP="0063575E">
            <w:pPr>
              <w:keepNext/>
              <w:keepLines/>
              <w:widowControl w:val="0"/>
              <w:spacing w:line="240" w:lineRule="auto"/>
              <w:ind w:left="-45"/>
              <w:rPr>
                <w:sz w:val="18"/>
              </w:rPr>
            </w:pPr>
            <w:r w:rsidRPr="00FE6AC6">
              <w:rPr>
                <w:sz w:val="18"/>
              </w:rPr>
              <w:t>64:22</w:t>
            </w:r>
          </w:p>
        </w:tc>
        <w:tc>
          <w:tcPr>
            <w:tcW w:w="643" w:type="dxa"/>
            <w:shd w:val="clear" w:color="auto" w:fill="auto"/>
          </w:tcPr>
          <w:p w14:paraId="3E550032" w14:textId="77777777" w:rsidR="00A83B63" w:rsidRPr="00FE6AC6" w:rsidRDefault="00A83B63" w:rsidP="0063575E">
            <w:pPr>
              <w:keepNext/>
              <w:keepLines/>
              <w:widowControl w:val="0"/>
              <w:spacing w:line="240" w:lineRule="auto"/>
              <w:ind w:left="-45"/>
              <w:rPr>
                <w:sz w:val="18"/>
              </w:rPr>
            </w:pPr>
            <w:r w:rsidRPr="00FE6AC6">
              <w:rPr>
                <w:sz w:val="18"/>
              </w:rPr>
              <w:t>46:23</w:t>
            </w:r>
          </w:p>
        </w:tc>
        <w:tc>
          <w:tcPr>
            <w:tcW w:w="670" w:type="dxa"/>
            <w:shd w:val="clear" w:color="auto" w:fill="auto"/>
          </w:tcPr>
          <w:p w14:paraId="3E550033" w14:textId="77777777" w:rsidR="00A83B63" w:rsidRPr="00FE6AC6" w:rsidRDefault="00A83B63" w:rsidP="0063575E">
            <w:pPr>
              <w:keepNext/>
              <w:keepLines/>
              <w:widowControl w:val="0"/>
              <w:spacing w:line="240" w:lineRule="auto"/>
              <w:ind w:left="-45"/>
              <w:rPr>
                <w:sz w:val="18"/>
              </w:rPr>
            </w:pPr>
            <w:r w:rsidRPr="00FE6AC6">
              <w:rPr>
                <w:sz w:val="18"/>
              </w:rPr>
              <w:t>27:25</w:t>
            </w:r>
          </w:p>
        </w:tc>
        <w:tc>
          <w:tcPr>
            <w:tcW w:w="683" w:type="dxa"/>
            <w:shd w:val="clear" w:color="auto" w:fill="auto"/>
          </w:tcPr>
          <w:p w14:paraId="3E550034" w14:textId="77777777" w:rsidR="00A83B63" w:rsidRPr="00FE6AC6" w:rsidRDefault="00A83B63" w:rsidP="0063575E">
            <w:pPr>
              <w:keepNext/>
              <w:keepLines/>
              <w:widowControl w:val="0"/>
              <w:spacing w:line="240" w:lineRule="auto"/>
              <w:ind w:left="-45"/>
              <w:rPr>
                <w:sz w:val="18"/>
              </w:rPr>
            </w:pPr>
            <w:r w:rsidRPr="00FE6AC6">
              <w:rPr>
                <w:sz w:val="18"/>
              </w:rPr>
              <w:t>20:25</w:t>
            </w:r>
          </w:p>
        </w:tc>
        <w:tc>
          <w:tcPr>
            <w:tcW w:w="558" w:type="dxa"/>
            <w:shd w:val="clear" w:color="auto" w:fill="auto"/>
          </w:tcPr>
          <w:p w14:paraId="3E550035" w14:textId="77777777" w:rsidR="00A83B63" w:rsidRPr="00FE6AC6" w:rsidRDefault="00A83B63" w:rsidP="0063575E">
            <w:pPr>
              <w:keepNext/>
              <w:keepLines/>
              <w:widowControl w:val="0"/>
              <w:spacing w:line="240" w:lineRule="auto"/>
              <w:ind w:left="-45"/>
              <w:rPr>
                <w:sz w:val="18"/>
              </w:rPr>
            </w:pPr>
            <w:r w:rsidRPr="00FE6AC6">
              <w:rPr>
                <w:sz w:val="18"/>
              </w:rPr>
              <w:t>2:25</w:t>
            </w:r>
          </w:p>
        </w:tc>
        <w:tc>
          <w:tcPr>
            <w:tcW w:w="527" w:type="dxa"/>
            <w:shd w:val="clear" w:color="auto" w:fill="auto"/>
          </w:tcPr>
          <w:p w14:paraId="3E550036" w14:textId="77777777" w:rsidR="00A83B63" w:rsidRPr="00FE6AC6" w:rsidRDefault="00A83B63" w:rsidP="0063575E">
            <w:pPr>
              <w:keepNext/>
              <w:keepLines/>
              <w:widowControl w:val="0"/>
              <w:spacing w:line="240" w:lineRule="auto"/>
              <w:ind w:left="-45"/>
              <w:rPr>
                <w:sz w:val="18"/>
              </w:rPr>
            </w:pPr>
            <w:r w:rsidRPr="00FE6AC6">
              <w:rPr>
                <w:sz w:val="18"/>
              </w:rPr>
              <w:t>0:25</w:t>
            </w:r>
          </w:p>
        </w:tc>
      </w:tr>
      <w:tr w:rsidR="00A83B63" w:rsidRPr="00FE6AC6" w14:paraId="3E550048" w14:textId="77777777">
        <w:tc>
          <w:tcPr>
            <w:tcW w:w="450" w:type="dxa"/>
            <w:shd w:val="clear" w:color="auto" w:fill="auto"/>
          </w:tcPr>
          <w:p w14:paraId="3E550038" w14:textId="77777777" w:rsidR="00A83B63" w:rsidRPr="00FE6AC6" w:rsidRDefault="00A83B63" w:rsidP="0063575E">
            <w:pPr>
              <w:keepNext/>
              <w:keepLines/>
              <w:widowControl w:val="0"/>
              <w:spacing w:line="240" w:lineRule="auto"/>
              <w:rPr>
                <w:sz w:val="18"/>
              </w:rPr>
            </w:pPr>
            <w:r w:rsidRPr="00FE6AC6">
              <w:rPr>
                <w:sz w:val="18"/>
              </w:rPr>
              <w:t>(2)</w:t>
            </w:r>
          </w:p>
        </w:tc>
        <w:tc>
          <w:tcPr>
            <w:tcW w:w="687" w:type="dxa"/>
            <w:shd w:val="clear" w:color="auto" w:fill="auto"/>
          </w:tcPr>
          <w:p w14:paraId="3E550039" w14:textId="77777777" w:rsidR="00A83B63" w:rsidRPr="00FE6AC6" w:rsidRDefault="00A83B63" w:rsidP="0063575E">
            <w:pPr>
              <w:keepNext/>
              <w:keepLines/>
              <w:widowControl w:val="0"/>
              <w:spacing w:line="240" w:lineRule="auto"/>
              <w:ind w:left="-45"/>
              <w:rPr>
                <w:sz w:val="18"/>
              </w:rPr>
            </w:pPr>
            <w:r w:rsidRPr="00FE6AC6">
              <w:rPr>
                <w:sz w:val="18"/>
              </w:rPr>
              <w:t>198:0</w:t>
            </w:r>
          </w:p>
        </w:tc>
        <w:tc>
          <w:tcPr>
            <w:tcW w:w="670" w:type="dxa"/>
            <w:shd w:val="clear" w:color="auto" w:fill="auto"/>
          </w:tcPr>
          <w:p w14:paraId="3E55003A" w14:textId="77777777" w:rsidR="00A83B63" w:rsidRPr="00FE6AC6" w:rsidRDefault="00A83B63" w:rsidP="0063575E">
            <w:pPr>
              <w:keepNext/>
              <w:keepLines/>
              <w:widowControl w:val="0"/>
              <w:spacing w:line="240" w:lineRule="auto"/>
              <w:ind w:left="-45"/>
              <w:rPr>
                <w:sz w:val="18"/>
              </w:rPr>
            </w:pPr>
            <w:r w:rsidRPr="00FE6AC6">
              <w:rPr>
                <w:sz w:val="18"/>
              </w:rPr>
              <w:t>196:0</w:t>
            </w:r>
          </w:p>
        </w:tc>
        <w:tc>
          <w:tcPr>
            <w:tcW w:w="710" w:type="dxa"/>
            <w:shd w:val="clear" w:color="auto" w:fill="auto"/>
          </w:tcPr>
          <w:p w14:paraId="3E55003B" w14:textId="77777777" w:rsidR="00A83B63" w:rsidRPr="00FE6AC6" w:rsidRDefault="00A83B63" w:rsidP="0063575E">
            <w:pPr>
              <w:keepNext/>
              <w:keepLines/>
              <w:widowControl w:val="0"/>
              <w:spacing w:line="240" w:lineRule="auto"/>
              <w:ind w:left="-45"/>
              <w:rPr>
                <w:sz w:val="18"/>
              </w:rPr>
            </w:pPr>
            <w:r w:rsidRPr="00FE6AC6">
              <w:rPr>
                <w:sz w:val="18"/>
              </w:rPr>
              <w:t>192:0</w:t>
            </w:r>
          </w:p>
        </w:tc>
        <w:tc>
          <w:tcPr>
            <w:tcW w:w="717" w:type="dxa"/>
            <w:shd w:val="clear" w:color="auto" w:fill="auto"/>
          </w:tcPr>
          <w:p w14:paraId="3E55003C" w14:textId="77777777" w:rsidR="00A83B63" w:rsidRPr="00FE6AC6" w:rsidRDefault="00A83B63" w:rsidP="0063575E">
            <w:pPr>
              <w:keepNext/>
              <w:keepLines/>
              <w:widowControl w:val="0"/>
              <w:spacing w:line="240" w:lineRule="auto"/>
              <w:ind w:left="-45"/>
              <w:rPr>
                <w:sz w:val="18"/>
              </w:rPr>
            </w:pPr>
            <w:r w:rsidRPr="00FE6AC6">
              <w:rPr>
                <w:sz w:val="18"/>
              </w:rPr>
              <w:t>187:4</w:t>
            </w:r>
          </w:p>
        </w:tc>
        <w:tc>
          <w:tcPr>
            <w:tcW w:w="691" w:type="dxa"/>
            <w:shd w:val="clear" w:color="auto" w:fill="auto"/>
          </w:tcPr>
          <w:p w14:paraId="3E55003D" w14:textId="77777777" w:rsidR="00A83B63" w:rsidRPr="00FE6AC6" w:rsidRDefault="00A83B63" w:rsidP="0063575E">
            <w:pPr>
              <w:keepNext/>
              <w:keepLines/>
              <w:widowControl w:val="0"/>
              <w:spacing w:line="240" w:lineRule="auto"/>
              <w:ind w:left="-45"/>
              <w:rPr>
                <w:sz w:val="18"/>
              </w:rPr>
            </w:pPr>
            <w:r w:rsidRPr="00FE6AC6">
              <w:rPr>
                <w:sz w:val="18"/>
              </w:rPr>
              <w:t>184:5</w:t>
            </w:r>
          </w:p>
        </w:tc>
        <w:tc>
          <w:tcPr>
            <w:tcW w:w="770" w:type="dxa"/>
            <w:shd w:val="clear" w:color="auto" w:fill="auto"/>
          </w:tcPr>
          <w:p w14:paraId="3E55003E" w14:textId="77777777" w:rsidR="00A83B63" w:rsidRPr="00FE6AC6" w:rsidRDefault="00A83B63" w:rsidP="0063575E">
            <w:pPr>
              <w:keepNext/>
              <w:keepLines/>
              <w:widowControl w:val="0"/>
              <w:spacing w:line="240" w:lineRule="auto"/>
              <w:ind w:left="-45"/>
              <w:rPr>
                <w:sz w:val="18"/>
              </w:rPr>
            </w:pPr>
            <w:r w:rsidRPr="00FE6AC6">
              <w:rPr>
                <w:sz w:val="18"/>
              </w:rPr>
              <w:t>164:7</w:t>
            </w:r>
          </w:p>
        </w:tc>
        <w:tc>
          <w:tcPr>
            <w:tcW w:w="779" w:type="dxa"/>
            <w:shd w:val="clear" w:color="auto" w:fill="auto"/>
          </w:tcPr>
          <w:p w14:paraId="3E55003F" w14:textId="77777777" w:rsidR="00A83B63" w:rsidRPr="00FE6AC6" w:rsidRDefault="00A83B63" w:rsidP="0063575E">
            <w:pPr>
              <w:keepNext/>
              <w:keepLines/>
              <w:widowControl w:val="0"/>
              <w:spacing w:line="240" w:lineRule="auto"/>
              <w:ind w:left="-45"/>
              <w:rPr>
                <w:sz w:val="18"/>
              </w:rPr>
            </w:pPr>
            <w:r w:rsidRPr="00FE6AC6">
              <w:rPr>
                <w:sz w:val="18"/>
              </w:rPr>
              <w:t>152:7</w:t>
            </w:r>
          </w:p>
        </w:tc>
        <w:tc>
          <w:tcPr>
            <w:tcW w:w="794" w:type="dxa"/>
            <w:shd w:val="clear" w:color="auto" w:fill="auto"/>
          </w:tcPr>
          <w:p w14:paraId="3E550040" w14:textId="77777777" w:rsidR="00A83B63" w:rsidRPr="00FE6AC6" w:rsidRDefault="00A83B63" w:rsidP="0063575E">
            <w:pPr>
              <w:keepNext/>
              <w:keepLines/>
              <w:widowControl w:val="0"/>
              <w:spacing w:line="240" w:lineRule="auto"/>
              <w:ind w:left="-45"/>
              <w:rPr>
                <w:sz w:val="18"/>
              </w:rPr>
            </w:pPr>
            <w:r w:rsidRPr="00FE6AC6">
              <w:rPr>
                <w:sz w:val="18"/>
              </w:rPr>
              <w:t>119:8</w:t>
            </w:r>
          </w:p>
        </w:tc>
        <w:tc>
          <w:tcPr>
            <w:tcW w:w="653" w:type="dxa"/>
            <w:shd w:val="clear" w:color="auto" w:fill="auto"/>
          </w:tcPr>
          <w:p w14:paraId="3E550041" w14:textId="77777777" w:rsidR="00A83B63" w:rsidRPr="00FE6AC6" w:rsidRDefault="00A83B63" w:rsidP="0063575E">
            <w:pPr>
              <w:keepNext/>
              <w:keepLines/>
              <w:widowControl w:val="0"/>
              <w:spacing w:line="240" w:lineRule="auto"/>
              <w:ind w:left="-45"/>
              <w:rPr>
                <w:sz w:val="18"/>
              </w:rPr>
            </w:pPr>
            <w:r w:rsidRPr="00FE6AC6">
              <w:rPr>
                <w:sz w:val="18"/>
              </w:rPr>
              <w:t>100:8</w:t>
            </w:r>
          </w:p>
        </w:tc>
        <w:tc>
          <w:tcPr>
            <w:tcW w:w="630" w:type="dxa"/>
            <w:shd w:val="clear" w:color="auto" w:fill="auto"/>
          </w:tcPr>
          <w:p w14:paraId="3E550042" w14:textId="77777777" w:rsidR="00A83B63" w:rsidRPr="00FE6AC6" w:rsidRDefault="00A83B63" w:rsidP="0063575E">
            <w:pPr>
              <w:keepNext/>
              <w:keepLines/>
              <w:widowControl w:val="0"/>
              <w:spacing w:line="240" w:lineRule="auto"/>
              <w:ind w:left="-45"/>
              <w:rPr>
                <w:sz w:val="18"/>
              </w:rPr>
            </w:pPr>
            <w:r w:rsidRPr="00FE6AC6">
              <w:rPr>
                <w:sz w:val="18"/>
              </w:rPr>
              <w:t>76:10</w:t>
            </w:r>
          </w:p>
        </w:tc>
        <w:tc>
          <w:tcPr>
            <w:tcW w:w="643" w:type="dxa"/>
            <w:shd w:val="clear" w:color="auto" w:fill="auto"/>
          </w:tcPr>
          <w:p w14:paraId="3E550043" w14:textId="77777777" w:rsidR="00A83B63" w:rsidRPr="00FE6AC6" w:rsidRDefault="00A83B63" w:rsidP="0063575E">
            <w:pPr>
              <w:keepNext/>
              <w:keepLines/>
              <w:widowControl w:val="0"/>
              <w:spacing w:line="240" w:lineRule="auto"/>
              <w:ind w:left="-45"/>
              <w:rPr>
                <w:sz w:val="18"/>
              </w:rPr>
            </w:pPr>
            <w:r w:rsidRPr="00FE6AC6">
              <w:rPr>
                <w:sz w:val="18"/>
              </w:rPr>
              <w:t>56:11</w:t>
            </w:r>
          </w:p>
        </w:tc>
        <w:tc>
          <w:tcPr>
            <w:tcW w:w="670" w:type="dxa"/>
            <w:shd w:val="clear" w:color="auto" w:fill="auto"/>
          </w:tcPr>
          <w:p w14:paraId="3E550044" w14:textId="77777777" w:rsidR="00A83B63" w:rsidRPr="00FE6AC6" w:rsidRDefault="00A83B63" w:rsidP="0063575E">
            <w:pPr>
              <w:keepNext/>
              <w:keepLines/>
              <w:widowControl w:val="0"/>
              <w:spacing w:line="240" w:lineRule="auto"/>
              <w:ind w:left="-45"/>
              <w:rPr>
                <w:sz w:val="18"/>
              </w:rPr>
            </w:pPr>
            <w:r w:rsidRPr="00FE6AC6">
              <w:rPr>
                <w:sz w:val="18"/>
              </w:rPr>
              <w:t>31:11</w:t>
            </w:r>
          </w:p>
        </w:tc>
        <w:tc>
          <w:tcPr>
            <w:tcW w:w="683" w:type="dxa"/>
            <w:shd w:val="clear" w:color="auto" w:fill="auto"/>
          </w:tcPr>
          <w:p w14:paraId="3E550045" w14:textId="77777777" w:rsidR="00A83B63" w:rsidRPr="00FE6AC6" w:rsidRDefault="00A83B63" w:rsidP="0063575E">
            <w:pPr>
              <w:keepNext/>
              <w:keepLines/>
              <w:widowControl w:val="0"/>
              <w:spacing w:line="240" w:lineRule="auto"/>
              <w:ind w:left="-45"/>
              <w:rPr>
                <w:sz w:val="18"/>
              </w:rPr>
            </w:pPr>
            <w:r w:rsidRPr="00FE6AC6">
              <w:rPr>
                <w:sz w:val="18"/>
              </w:rPr>
              <w:t>13:12</w:t>
            </w:r>
          </w:p>
        </w:tc>
        <w:tc>
          <w:tcPr>
            <w:tcW w:w="558" w:type="dxa"/>
            <w:shd w:val="clear" w:color="auto" w:fill="auto"/>
          </w:tcPr>
          <w:p w14:paraId="3E550046" w14:textId="77777777" w:rsidR="00A83B63" w:rsidRPr="00FE6AC6" w:rsidRDefault="00B07B23" w:rsidP="0063575E">
            <w:pPr>
              <w:keepNext/>
              <w:keepLines/>
              <w:widowControl w:val="0"/>
              <w:spacing w:line="240" w:lineRule="auto"/>
              <w:ind w:left="-45"/>
              <w:rPr>
                <w:sz w:val="18"/>
              </w:rPr>
            </w:pPr>
            <w:r w:rsidRPr="00FE6AC6">
              <w:rPr>
                <w:sz w:val="18"/>
              </w:rPr>
              <w:t>0</w:t>
            </w:r>
            <w:r w:rsidR="00A83B63" w:rsidRPr="00FE6AC6">
              <w:rPr>
                <w:sz w:val="18"/>
              </w:rPr>
              <w:t>:12</w:t>
            </w:r>
          </w:p>
        </w:tc>
        <w:tc>
          <w:tcPr>
            <w:tcW w:w="527" w:type="dxa"/>
            <w:shd w:val="clear" w:color="auto" w:fill="auto"/>
          </w:tcPr>
          <w:p w14:paraId="3E550047" w14:textId="77777777" w:rsidR="00A83B63" w:rsidRPr="00FE6AC6" w:rsidRDefault="00A83B63" w:rsidP="0063575E">
            <w:pPr>
              <w:keepNext/>
              <w:keepLines/>
              <w:widowControl w:val="0"/>
              <w:spacing w:line="240" w:lineRule="auto"/>
              <w:ind w:left="-45"/>
              <w:rPr>
                <w:sz w:val="18"/>
              </w:rPr>
            </w:pPr>
          </w:p>
        </w:tc>
      </w:tr>
    </w:tbl>
    <w:p w14:paraId="3E550049" w14:textId="77777777" w:rsidR="00A83B63" w:rsidRPr="00FE6AC6" w:rsidRDefault="00A83B63" w:rsidP="0063575E">
      <w:pPr>
        <w:widowControl w:val="0"/>
        <w:spacing w:line="240" w:lineRule="auto"/>
        <w:rPr>
          <w:noProof/>
          <w:sz w:val="20"/>
        </w:rPr>
      </w:pPr>
    </w:p>
    <w:p w14:paraId="3E55004A" w14:textId="77777777" w:rsidR="0070617A" w:rsidRPr="00FE6AC6" w:rsidRDefault="0070617A" w:rsidP="0063575E">
      <w:pPr>
        <w:pStyle w:val="Text"/>
        <w:widowControl w:val="0"/>
        <w:spacing w:before="0"/>
        <w:jc w:val="left"/>
        <w:rPr>
          <w:rStyle w:val="CommentReference"/>
          <w:sz w:val="22"/>
          <w:szCs w:val="22"/>
        </w:rPr>
      </w:pPr>
      <w:r w:rsidRPr="00FE6AC6">
        <w:rPr>
          <w:rFonts w:eastAsia="MS Mincho"/>
          <w:sz w:val="22"/>
          <w:szCs w:val="22"/>
          <w:lang w:val="bg-BG" w:eastAsia="ja-JP"/>
        </w:rPr>
        <w:t xml:space="preserve">Няма контролирани клинични изпитвания при педиатрични пациенти с </w:t>
      </w:r>
      <w:r w:rsidRPr="00FE6AC6">
        <w:rPr>
          <w:rFonts w:eastAsia="MS Mincho"/>
          <w:sz w:val="22"/>
          <w:szCs w:val="22"/>
          <w:lang w:eastAsia="ja-JP"/>
        </w:rPr>
        <w:t xml:space="preserve">c-Kit </w:t>
      </w:r>
      <w:r w:rsidRPr="00FE6AC6">
        <w:rPr>
          <w:rFonts w:eastAsia="MS Mincho"/>
          <w:sz w:val="22"/>
          <w:szCs w:val="22"/>
          <w:lang w:val="bg-BG" w:eastAsia="ja-JP"/>
        </w:rPr>
        <w:t>позитивен ГИСТ.</w:t>
      </w:r>
      <w:r w:rsidRPr="00FE6AC6">
        <w:rPr>
          <w:rFonts w:eastAsia="MS Mincho"/>
          <w:sz w:val="22"/>
          <w:szCs w:val="22"/>
          <w:lang w:eastAsia="ja-JP"/>
        </w:rPr>
        <w:t xml:space="preserve"> </w:t>
      </w:r>
      <w:r w:rsidRPr="00FE6AC6">
        <w:rPr>
          <w:rFonts w:eastAsia="MS Mincho"/>
          <w:sz w:val="22"/>
          <w:szCs w:val="22"/>
          <w:lang w:val="bg-BG" w:eastAsia="ja-JP"/>
        </w:rPr>
        <w:t xml:space="preserve">В 7 публикации се съобщава за </w:t>
      </w:r>
      <w:r w:rsidRPr="00FE6AC6">
        <w:rPr>
          <w:rFonts w:eastAsia="MS Mincho"/>
          <w:sz w:val="22"/>
          <w:szCs w:val="22"/>
          <w:lang w:eastAsia="ja-JP"/>
        </w:rPr>
        <w:t>17</w:t>
      </w:r>
      <w:r w:rsidRPr="00FE6AC6">
        <w:rPr>
          <w:color w:val="000000"/>
          <w:sz w:val="22"/>
          <w:szCs w:val="22"/>
        </w:rPr>
        <w:t> </w:t>
      </w:r>
      <w:r w:rsidRPr="00FE6AC6">
        <w:rPr>
          <w:color w:val="000000"/>
          <w:sz w:val="22"/>
          <w:szCs w:val="22"/>
          <w:lang w:val="bg-BG"/>
        </w:rPr>
        <w:t>пациенти с ГИСТ (с</w:t>
      </w:r>
      <w:r w:rsidR="00F77CF0" w:rsidRPr="00FE6AC6">
        <w:rPr>
          <w:color w:val="000000"/>
          <w:sz w:val="22"/>
          <w:szCs w:val="22"/>
          <w:lang w:val="bg-BG"/>
        </w:rPr>
        <w:t>ъс</w:t>
      </w:r>
      <w:r w:rsidRPr="00FE6AC6">
        <w:rPr>
          <w:color w:val="000000"/>
          <w:sz w:val="22"/>
          <w:szCs w:val="22"/>
          <w:lang w:val="bg-BG"/>
        </w:rPr>
        <w:t xml:space="preserve"> или без </w:t>
      </w:r>
      <w:r w:rsidRPr="00FE6AC6">
        <w:rPr>
          <w:color w:val="000000"/>
          <w:sz w:val="22"/>
          <w:szCs w:val="22"/>
        </w:rPr>
        <w:t xml:space="preserve">Kit </w:t>
      </w:r>
      <w:r w:rsidRPr="00FE6AC6">
        <w:rPr>
          <w:color w:val="000000"/>
          <w:sz w:val="22"/>
          <w:szCs w:val="22"/>
          <w:lang w:val="bg-BG"/>
        </w:rPr>
        <w:t xml:space="preserve">и </w:t>
      </w:r>
      <w:r w:rsidRPr="00FE6AC6">
        <w:rPr>
          <w:color w:val="000000"/>
          <w:sz w:val="22"/>
          <w:szCs w:val="22"/>
        </w:rPr>
        <w:t xml:space="preserve">PDGFR </w:t>
      </w:r>
      <w:r w:rsidRPr="00FE6AC6">
        <w:rPr>
          <w:color w:val="000000"/>
          <w:sz w:val="22"/>
          <w:szCs w:val="22"/>
          <w:lang w:val="bg-BG"/>
        </w:rPr>
        <w:t>мутации)</w:t>
      </w:r>
      <w:r w:rsidRPr="00FE6AC6">
        <w:rPr>
          <w:rFonts w:eastAsia="MS Mincho"/>
          <w:sz w:val="22"/>
          <w:szCs w:val="22"/>
          <w:lang w:eastAsia="ja-JP"/>
        </w:rPr>
        <w:t xml:space="preserve">. </w:t>
      </w:r>
      <w:r w:rsidRPr="00FE6AC6">
        <w:rPr>
          <w:rFonts w:eastAsia="MS Mincho"/>
          <w:sz w:val="22"/>
          <w:szCs w:val="22"/>
          <w:lang w:val="bg-BG" w:eastAsia="ja-JP"/>
        </w:rPr>
        <w:t xml:space="preserve">Възрастта на тези пациенти варира от </w:t>
      </w:r>
      <w:r w:rsidRPr="00FE6AC6">
        <w:rPr>
          <w:rFonts w:eastAsia="MS Mincho"/>
          <w:sz w:val="22"/>
          <w:szCs w:val="22"/>
          <w:lang w:eastAsia="ja-JP"/>
        </w:rPr>
        <w:t xml:space="preserve">8 </w:t>
      </w:r>
      <w:r w:rsidRPr="00FE6AC6">
        <w:rPr>
          <w:rFonts w:eastAsia="MS Mincho"/>
          <w:sz w:val="22"/>
          <w:szCs w:val="22"/>
          <w:lang w:val="bg-BG" w:eastAsia="ja-JP"/>
        </w:rPr>
        <w:t>до</w:t>
      </w:r>
      <w:r w:rsidRPr="00FE6AC6">
        <w:rPr>
          <w:rFonts w:eastAsia="MS Mincho"/>
          <w:sz w:val="22"/>
          <w:szCs w:val="22"/>
          <w:lang w:eastAsia="ja-JP"/>
        </w:rPr>
        <w:t xml:space="preserve"> 18</w:t>
      </w:r>
      <w:r w:rsidRPr="00FE6AC6">
        <w:rPr>
          <w:color w:val="000000"/>
          <w:sz w:val="22"/>
          <w:szCs w:val="22"/>
        </w:rPr>
        <w:t> </w:t>
      </w:r>
      <w:r w:rsidRPr="00FE6AC6">
        <w:rPr>
          <w:color w:val="000000"/>
          <w:sz w:val="22"/>
          <w:szCs w:val="22"/>
          <w:lang w:val="bg-BG"/>
        </w:rPr>
        <w:t xml:space="preserve">години, иматиниб </w:t>
      </w:r>
      <w:r w:rsidR="00D65D1D" w:rsidRPr="00FE6AC6">
        <w:rPr>
          <w:color w:val="000000"/>
          <w:sz w:val="22"/>
          <w:szCs w:val="22"/>
          <w:lang w:val="bg-BG"/>
        </w:rPr>
        <w:t xml:space="preserve">е прилаган както като адювантна терапия, така и при метастатични тумори в дози в интервала от </w:t>
      </w:r>
      <w:r w:rsidRPr="00FE6AC6">
        <w:rPr>
          <w:rFonts w:eastAsia="MS Mincho"/>
          <w:sz w:val="22"/>
          <w:szCs w:val="22"/>
          <w:lang w:eastAsia="ja-JP"/>
        </w:rPr>
        <w:t xml:space="preserve">300 </w:t>
      </w:r>
      <w:r w:rsidR="00D65D1D" w:rsidRPr="00FE6AC6">
        <w:rPr>
          <w:rFonts w:eastAsia="MS Mincho"/>
          <w:sz w:val="22"/>
          <w:szCs w:val="22"/>
          <w:lang w:val="bg-BG" w:eastAsia="ja-JP"/>
        </w:rPr>
        <w:t>до</w:t>
      </w:r>
      <w:r w:rsidRPr="00FE6AC6">
        <w:rPr>
          <w:rFonts w:eastAsia="MS Mincho"/>
          <w:sz w:val="22"/>
          <w:szCs w:val="22"/>
          <w:lang w:eastAsia="ja-JP"/>
        </w:rPr>
        <w:t xml:space="preserve"> 800</w:t>
      </w:r>
      <w:r w:rsidRPr="00FE6AC6">
        <w:rPr>
          <w:color w:val="000000"/>
          <w:sz w:val="22"/>
          <w:szCs w:val="22"/>
        </w:rPr>
        <w:t> </w:t>
      </w:r>
      <w:r w:rsidRPr="00FE6AC6">
        <w:rPr>
          <w:rFonts w:eastAsia="MS Mincho"/>
          <w:sz w:val="22"/>
          <w:szCs w:val="22"/>
          <w:lang w:eastAsia="ja-JP"/>
        </w:rPr>
        <w:t xml:space="preserve">mg </w:t>
      </w:r>
      <w:r w:rsidR="00D65D1D" w:rsidRPr="00FE6AC6">
        <w:rPr>
          <w:rFonts w:eastAsia="MS Mincho"/>
          <w:sz w:val="22"/>
          <w:szCs w:val="22"/>
          <w:lang w:val="bg-BG" w:eastAsia="ja-JP"/>
        </w:rPr>
        <w:t>дневно</w:t>
      </w:r>
      <w:r w:rsidRPr="00FE6AC6">
        <w:rPr>
          <w:rFonts w:eastAsia="MS Mincho"/>
          <w:sz w:val="22"/>
          <w:szCs w:val="22"/>
          <w:lang w:eastAsia="ja-JP"/>
        </w:rPr>
        <w:t xml:space="preserve">. </w:t>
      </w:r>
      <w:r w:rsidR="00D65D1D" w:rsidRPr="00FE6AC6">
        <w:rPr>
          <w:rFonts w:eastAsia="MS Mincho"/>
          <w:sz w:val="22"/>
          <w:szCs w:val="22"/>
          <w:lang w:val="bg-BG" w:eastAsia="ja-JP"/>
        </w:rPr>
        <w:t xml:space="preserve">При повечето от педиатричните пациенти, лекувани за ГИСТ липсват данни, които да потвърждават </w:t>
      </w:r>
      <w:r w:rsidRPr="00FE6AC6">
        <w:rPr>
          <w:rFonts w:eastAsia="MS Mincho"/>
          <w:sz w:val="22"/>
          <w:szCs w:val="22"/>
          <w:lang w:eastAsia="ja-JP"/>
        </w:rPr>
        <w:t xml:space="preserve">c-kit </w:t>
      </w:r>
      <w:r w:rsidR="00D65D1D" w:rsidRPr="00FE6AC6">
        <w:rPr>
          <w:rFonts w:eastAsia="MS Mincho"/>
          <w:sz w:val="22"/>
          <w:szCs w:val="22"/>
          <w:lang w:val="bg-BG" w:eastAsia="ja-JP"/>
        </w:rPr>
        <w:t>или</w:t>
      </w:r>
      <w:r w:rsidRPr="00FE6AC6">
        <w:rPr>
          <w:rFonts w:eastAsia="MS Mincho"/>
          <w:sz w:val="22"/>
          <w:szCs w:val="22"/>
          <w:lang w:eastAsia="ja-JP"/>
        </w:rPr>
        <w:t xml:space="preserve"> PDGFR </w:t>
      </w:r>
      <w:r w:rsidR="00D65D1D" w:rsidRPr="00FE6AC6">
        <w:rPr>
          <w:rFonts w:eastAsia="MS Mincho"/>
          <w:sz w:val="22"/>
          <w:szCs w:val="22"/>
          <w:lang w:val="bg-BG" w:eastAsia="ja-JP"/>
        </w:rPr>
        <w:t>мутации, което може да доведе до противоречиви клинични резултати</w:t>
      </w:r>
      <w:r w:rsidRPr="00FE6AC6">
        <w:rPr>
          <w:rFonts w:eastAsia="MS Mincho"/>
          <w:sz w:val="22"/>
          <w:szCs w:val="22"/>
          <w:lang w:eastAsia="ja-JP"/>
        </w:rPr>
        <w:t>.</w:t>
      </w:r>
    </w:p>
    <w:p w14:paraId="3E55004B" w14:textId="77777777" w:rsidR="0070617A" w:rsidRPr="00FE6AC6" w:rsidRDefault="0070617A" w:rsidP="0063575E">
      <w:pPr>
        <w:widowControl w:val="0"/>
        <w:spacing w:line="240" w:lineRule="auto"/>
        <w:rPr>
          <w:color w:val="000000"/>
          <w:u w:val="single"/>
          <w:lang w:val="bg-BG"/>
        </w:rPr>
      </w:pPr>
    </w:p>
    <w:p w14:paraId="3E55004C"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Клинични проучвания при ДФСП</w:t>
      </w:r>
    </w:p>
    <w:p w14:paraId="3E55004D" w14:textId="77777777" w:rsidR="001636FA" w:rsidRPr="00FE6AC6" w:rsidRDefault="001636FA" w:rsidP="0063575E">
      <w:pPr>
        <w:widowControl w:val="0"/>
        <w:spacing w:line="240" w:lineRule="auto"/>
        <w:rPr>
          <w:color w:val="000000"/>
          <w:lang w:val="bg-BG" w:eastAsia="ja-JP"/>
        </w:rPr>
      </w:pPr>
      <w:r w:rsidRPr="00FE6AC6">
        <w:rPr>
          <w:color w:val="000000"/>
          <w:lang w:val="bg-BG"/>
        </w:rPr>
        <w:t>Проведено е едно фаза </w:t>
      </w:r>
      <w:r w:rsidRPr="00FE6AC6">
        <w:rPr>
          <w:color w:val="000000"/>
          <w:lang w:val="en-US"/>
        </w:rPr>
        <w:t>II</w:t>
      </w:r>
      <w:r w:rsidRPr="00FE6AC6">
        <w:rPr>
          <w:color w:val="000000"/>
          <w:lang w:val="bg-BG"/>
        </w:rPr>
        <w:t xml:space="preserve">, отворено, мултицентрово клинични проучване </w:t>
      </w:r>
      <w:r w:rsidRPr="00FE6AC6">
        <w:rPr>
          <w:color w:val="000000"/>
          <w:lang w:val="bg-BG" w:eastAsia="ja-JP"/>
        </w:rPr>
        <w:t xml:space="preserve">(проучване </w:t>
      </w:r>
      <w:r w:rsidRPr="00FE6AC6">
        <w:rPr>
          <w:color w:val="000000"/>
          <w:lang w:eastAsia="ja-JP"/>
        </w:rPr>
        <w:t>B</w:t>
      </w:r>
      <w:r w:rsidRPr="00FE6AC6">
        <w:rPr>
          <w:color w:val="000000"/>
          <w:lang w:val="bg-BG" w:eastAsia="ja-JP"/>
        </w:rPr>
        <w:t xml:space="preserve">2225) включващо 12 пациента с ДФСП, лекувани с </w:t>
      </w:r>
      <w:r w:rsidRPr="00FE6AC6">
        <w:rPr>
          <w:color w:val="000000"/>
          <w:lang w:eastAsia="ja-JP"/>
        </w:rPr>
        <w:t>Glivec</w:t>
      </w:r>
      <w:r w:rsidRPr="00FE6AC6">
        <w:rPr>
          <w:color w:val="000000"/>
          <w:lang w:val="bg-BG" w:eastAsia="ja-JP"/>
        </w:rPr>
        <w:t> 800 </w:t>
      </w:r>
      <w:r w:rsidRPr="00FE6AC6">
        <w:rPr>
          <w:color w:val="000000"/>
          <w:lang w:eastAsia="ja-JP"/>
        </w:rPr>
        <w:t>mg</w:t>
      </w:r>
      <w:r w:rsidRPr="00FE6AC6">
        <w:rPr>
          <w:color w:val="000000"/>
          <w:lang w:val="bg-BG" w:eastAsia="ja-JP"/>
        </w:rPr>
        <w:t xml:space="preserve"> дневно. Възрастта на пациентите с ДФСП варира от 23 до 75 години; ДФСП е </w:t>
      </w:r>
      <w:r w:rsidR="00C10E9C" w:rsidRPr="00FE6AC6">
        <w:rPr>
          <w:color w:val="000000"/>
          <w:lang w:val="bg-BG" w:eastAsia="ja-JP"/>
        </w:rPr>
        <w:t xml:space="preserve">била </w:t>
      </w:r>
      <w:r w:rsidRPr="00FE6AC6">
        <w:rPr>
          <w:color w:val="000000"/>
          <w:lang w:val="bg-BG" w:eastAsia="ja-JP"/>
        </w:rPr>
        <w:t>метастатична, локално ре</w:t>
      </w:r>
      <w:r w:rsidR="00C10E9C" w:rsidRPr="00FE6AC6">
        <w:rPr>
          <w:color w:val="000000"/>
          <w:lang w:val="bg-BG" w:eastAsia="ja-JP"/>
        </w:rPr>
        <w:t>цидивирала</w:t>
      </w:r>
      <w:r w:rsidRPr="00FE6AC6">
        <w:rPr>
          <w:color w:val="000000"/>
          <w:lang w:val="bg-BG" w:eastAsia="ja-JP"/>
        </w:rPr>
        <w:t xml:space="preserve"> след първоначална резекционна хирургия и не се счита</w:t>
      </w:r>
      <w:r w:rsidR="00C10E9C" w:rsidRPr="00FE6AC6">
        <w:rPr>
          <w:color w:val="000000"/>
          <w:lang w:val="bg-BG" w:eastAsia="ja-JP"/>
        </w:rPr>
        <w:t>, че ще се поддаде на</w:t>
      </w:r>
      <w:r w:rsidRPr="00FE6AC6">
        <w:rPr>
          <w:color w:val="000000"/>
          <w:lang w:val="bg-BG" w:eastAsia="ja-JP"/>
        </w:rPr>
        <w:t xml:space="preserve"> по-нататъшна резекционна хирургия по време на включване в проучването. Първичното доказателство за ефикасност се основава на степента на обективен отговор. От 12 включени пациенти, 9 отговарят, един пълно и 8 частично. Три от частично отговорилите</w:t>
      </w:r>
      <w:r w:rsidR="00C10E9C" w:rsidRPr="00FE6AC6">
        <w:rPr>
          <w:color w:val="000000"/>
          <w:lang w:val="bg-BG" w:eastAsia="ja-JP"/>
        </w:rPr>
        <w:t>,</w:t>
      </w:r>
      <w:r w:rsidRPr="00FE6AC6">
        <w:rPr>
          <w:color w:val="000000"/>
          <w:lang w:val="bg-BG" w:eastAsia="ja-JP"/>
        </w:rPr>
        <w:t xml:space="preserve"> впоследствие са се освободили от заболяването чрез хирурги</w:t>
      </w:r>
      <w:r w:rsidR="00C10E9C" w:rsidRPr="00FE6AC6">
        <w:rPr>
          <w:color w:val="000000"/>
          <w:lang w:val="bg-BG" w:eastAsia="ja-JP"/>
        </w:rPr>
        <w:t>чно лечение</w:t>
      </w:r>
      <w:r w:rsidRPr="00FE6AC6">
        <w:rPr>
          <w:color w:val="000000"/>
          <w:lang w:val="bg-BG" w:eastAsia="ja-JP"/>
        </w:rPr>
        <w:t xml:space="preserve">. Средната продължителност на лечението в проучването </w:t>
      </w:r>
      <w:r w:rsidRPr="00FE6AC6">
        <w:rPr>
          <w:color w:val="000000"/>
          <w:lang w:eastAsia="ja-JP"/>
        </w:rPr>
        <w:t>B</w:t>
      </w:r>
      <w:r w:rsidRPr="00FE6AC6">
        <w:rPr>
          <w:color w:val="000000"/>
          <w:lang w:val="bg-BG" w:eastAsia="ja-JP"/>
        </w:rPr>
        <w:t xml:space="preserve">2225 е 6,2 месеца, с максимална продължителност от 24,3 месеца. В 5 публикувани доклада за случаи са съобщени 6 допълнителни пациента с ДФСП, лекувани с </w:t>
      </w:r>
      <w:r w:rsidRPr="00FE6AC6">
        <w:rPr>
          <w:color w:val="000000"/>
          <w:lang w:eastAsia="ja-JP"/>
        </w:rPr>
        <w:t>Glivec</w:t>
      </w:r>
      <w:r w:rsidRPr="00FE6AC6">
        <w:rPr>
          <w:color w:val="000000"/>
          <w:lang w:val="bg-BG" w:eastAsia="ja-JP"/>
        </w:rPr>
        <w:t>, като тяхната възраст варира от 18 месеца до 49 години. Възрастните пациенти, съобщ</w:t>
      </w:r>
      <w:r w:rsidR="001F5FA0" w:rsidRPr="00FE6AC6">
        <w:rPr>
          <w:color w:val="000000"/>
          <w:lang w:val="bg-BG" w:eastAsia="ja-JP"/>
        </w:rPr>
        <w:t>е</w:t>
      </w:r>
      <w:r w:rsidRPr="00FE6AC6">
        <w:rPr>
          <w:color w:val="000000"/>
          <w:lang w:val="bg-BG" w:eastAsia="ja-JP"/>
        </w:rPr>
        <w:t>ни в публикуваната литература, са лекувани с 400 </w:t>
      </w:r>
      <w:r w:rsidRPr="00FE6AC6">
        <w:rPr>
          <w:color w:val="000000"/>
          <w:lang w:eastAsia="ja-JP"/>
        </w:rPr>
        <w:t>mg</w:t>
      </w:r>
      <w:r w:rsidRPr="00FE6AC6">
        <w:rPr>
          <w:color w:val="000000"/>
          <w:lang w:val="bg-BG" w:eastAsia="ja-JP"/>
        </w:rPr>
        <w:t xml:space="preserve"> (4 случая) или 800 </w:t>
      </w:r>
      <w:r w:rsidRPr="00FE6AC6">
        <w:rPr>
          <w:color w:val="000000"/>
          <w:lang w:eastAsia="ja-JP"/>
        </w:rPr>
        <w:t>mg</w:t>
      </w:r>
      <w:r w:rsidRPr="00FE6AC6">
        <w:rPr>
          <w:color w:val="000000"/>
          <w:lang w:val="bg-BG" w:eastAsia="ja-JP"/>
        </w:rPr>
        <w:t xml:space="preserve"> (1 случай) </w:t>
      </w:r>
      <w:r w:rsidRPr="00FE6AC6">
        <w:rPr>
          <w:color w:val="000000"/>
          <w:lang w:eastAsia="ja-JP"/>
        </w:rPr>
        <w:t>Glivec</w:t>
      </w:r>
      <w:r w:rsidRPr="00FE6AC6">
        <w:rPr>
          <w:color w:val="000000"/>
          <w:lang w:val="bg-BG" w:eastAsia="ja-JP"/>
        </w:rPr>
        <w:t xml:space="preserve"> дневно.</w:t>
      </w:r>
      <w:r w:rsidR="0039333E" w:rsidRPr="00FE6AC6">
        <w:rPr>
          <w:color w:val="000000"/>
          <w:lang w:val="bg-BG" w:eastAsia="ja-JP"/>
        </w:rPr>
        <w:t xml:space="preserve"> </w:t>
      </w:r>
      <w:r w:rsidR="000F52E8" w:rsidRPr="00FE6AC6">
        <w:rPr>
          <w:color w:val="000000"/>
          <w:lang w:val="bg-BG" w:eastAsia="ja-JP"/>
        </w:rPr>
        <w:t>Пет (</w:t>
      </w:r>
      <w:r w:rsidRPr="00FE6AC6">
        <w:rPr>
          <w:color w:val="000000"/>
          <w:lang w:val="bg-BG" w:eastAsia="ja-JP"/>
        </w:rPr>
        <w:t>5</w:t>
      </w:r>
      <w:r w:rsidR="000F52E8" w:rsidRPr="00FE6AC6">
        <w:rPr>
          <w:color w:val="000000"/>
          <w:lang w:val="bg-BG" w:eastAsia="ja-JP"/>
        </w:rPr>
        <w:t>)</w:t>
      </w:r>
      <w:r w:rsidRPr="00FE6AC6">
        <w:rPr>
          <w:color w:val="000000"/>
          <w:lang w:val="bg-BG" w:eastAsia="ja-JP"/>
        </w:rPr>
        <w:t> пациент</w:t>
      </w:r>
      <w:r w:rsidR="00601166" w:rsidRPr="00FE6AC6">
        <w:rPr>
          <w:color w:val="000000"/>
          <w:lang w:val="bg-BG" w:eastAsia="ja-JP"/>
        </w:rPr>
        <w:t>и</w:t>
      </w:r>
      <w:r w:rsidRPr="00FE6AC6">
        <w:rPr>
          <w:color w:val="000000"/>
          <w:lang w:val="bg-BG" w:eastAsia="ja-JP"/>
        </w:rPr>
        <w:t xml:space="preserve"> отговарят, 3 пълно и 2 частично. Средната продължителност на лечението в публикуваната литература варира между 4 седмици и повече от 20 месеца. Транслокацията </w:t>
      </w:r>
      <w:r w:rsidRPr="00FE6AC6">
        <w:rPr>
          <w:color w:val="000000"/>
          <w:lang w:eastAsia="ja-JP"/>
        </w:rPr>
        <w:t>t</w:t>
      </w:r>
      <w:r w:rsidRPr="00FE6AC6">
        <w:rPr>
          <w:color w:val="000000"/>
          <w:lang w:val="bg-BG" w:eastAsia="ja-JP"/>
        </w:rPr>
        <w:t>(17:22)[(</w:t>
      </w:r>
      <w:r w:rsidRPr="00FE6AC6">
        <w:rPr>
          <w:color w:val="000000"/>
          <w:lang w:eastAsia="ja-JP"/>
        </w:rPr>
        <w:t>q</w:t>
      </w:r>
      <w:r w:rsidRPr="00FE6AC6">
        <w:rPr>
          <w:color w:val="000000"/>
          <w:lang w:val="bg-BG" w:eastAsia="ja-JP"/>
        </w:rPr>
        <w:t>22:</w:t>
      </w:r>
      <w:r w:rsidRPr="00FE6AC6">
        <w:rPr>
          <w:color w:val="000000"/>
          <w:lang w:eastAsia="ja-JP"/>
        </w:rPr>
        <w:t>q</w:t>
      </w:r>
      <w:r w:rsidRPr="00FE6AC6">
        <w:rPr>
          <w:color w:val="000000"/>
          <w:lang w:val="bg-BG" w:eastAsia="ja-JP"/>
        </w:rPr>
        <w:t xml:space="preserve">13)], или нейния генен продукт се наблюдава при почти всички отговорили на лечението с </w:t>
      </w:r>
      <w:r w:rsidRPr="00FE6AC6">
        <w:rPr>
          <w:color w:val="000000"/>
          <w:lang w:eastAsia="ja-JP"/>
        </w:rPr>
        <w:t>Glivec</w:t>
      </w:r>
      <w:r w:rsidRPr="00FE6AC6">
        <w:rPr>
          <w:color w:val="000000"/>
          <w:lang w:val="bg-BG" w:eastAsia="ja-JP"/>
        </w:rPr>
        <w:t>.</w:t>
      </w:r>
    </w:p>
    <w:p w14:paraId="3E55004E" w14:textId="77777777" w:rsidR="0039333E" w:rsidRPr="00FE6AC6" w:rsidRDefault="0039333E" w:rsidP="0063575E">
      <w:pPr>
        <w:pStyle w:val="Text"/>
        <w:widowControl w:val="0"/>
        <w:spacing w:before="0"/>
        <w:jc w:val="left"/>
        <w:rPr>
          <w:color w:val="000000"/>
          <w:sz w:val="22"/>
          <w:szCs w:val="22"/>
          <w:lang w:val="bg-BG" w:eastAsia="ja-JP"/>
        </w:rPr>
      </w:pPr>
    </w:p>
    <w:p w14:paraId="3E55004F" w14:textId="77777777" w:rsidR="0039333E" w:rsidRPr="00FE6AC6" w:rsidRDefault="0039333E" w:rsidP="0063575E">
      <w:pPr>
        <w:pStyle w:val="Text"/>
        <w:widowControl w:val="0"/>
        <w:spacing w:before="0"/>
        <w:jc w:val="left"/>
        <w:rPr>
          <w:color w:val="000000"/>
          <w:sz w:val="22"/>
          <w:szCs w:val="22"/>
          <w:lang w:val="bg-BG" w:eastAsia="ja-JP"/>
        </w:rPr>
      </w:pPr>
      <w:r w:rsidRPr="00FE6AC6">
        <w:rPr>
          <w:color w:val="000000"/>
          <w:sz w:val="22"/>
          <w:szCs w:val="22"/>
          <w:lang w:val="bg-BG" w:eastAsia="ja-JP"/>
        </w:rPr>
        <w:t xml:space="preserve">Няма контролирани клинични изпитвания при педиатрични пациенти с ДФСП. В 3 публикации се съобщава за 5 пациенти с ДФСП и </w:t>
      </w:r>
      <w:r w:rsidRPr="00FE6AC6">
        <w:rPr>
          <w:color w:val="000000"/>
          <w:sz w:val="22"/>
          <w:szCs w:val="22"/>
        </w:rPr>
        <w:t>PDGFR</w:t>
      </w:r>
      <w:r w:rsidRPr="00FE6AC6">
        <w:rPr>
          <w:color w:val="000000"/>
          <w:sz w:val="22"/>
          <w:szCs w:val="22"/>
          <w:lang w:val="bg-BG"/>
        </w:rPr>
        <w:t xml:space="preserve"> генни </w:t>
      </w:r>
      <w:r w:rsidR="00F77CF0" w:rsidRPr="00FE6AC6">
        <w:rPr>
          <w:color w:val="000000"/>
          <w:sz w:val="22"/>
          <w:szCs w:val="22"/>
          <w:lang w:val="bg-BG"/>
        </w:rPr>
        <w:t>пренареждания</w:t>
      </w:r>
      <w:r w:rsidRPr="00FE6AC6">
        <w:rPr>
          <w:color w:val="000000"/>
          <w:sz w:val="22"/>
          <w:szCs w:val="22"/>
          <w:lang w:val="bg-BG" w:eastAsia="ja-JP"/>
        </w:rPr>
        <w:t>. Възрастта на тези пациенти варира от новородени до 14</w:t>
      </w:r>
      <w:r w:rsidRPr="00FE6AC6">
        <w:rPr>
          <w:color w:val="000000"/>
          <w:sz w:val="22"/>
          <w:szCs w:val="22"/>
        </w:rPr>
        <w:t> </w:t>
      </w:r>
      <w:r w:rsidRPr="00FE6AC6">
        <w:rPr>
          <w:color w:val="000000"/>
          <w:sz w:val="22"/>
          <w:szCs w:val="22"/>
          <w:lang w:val="bg-BG"/>
        </w:rPr>
        <w:t xml:space="preserve">години и иматиниб е прилаган в </w:t>
      </w:r>
      <w:r w:rsidR="00102DF7" w:rsidRPr="00FE6AC6">
        <w:rPr>
          <w:color w:val="000000"/>
          <w:sz w:val="22"/>
          <w:szCs w:val="22"/>
          <w:lang w:val="bg-BG"/>
        </w:rPr>
        <w:t xml:space="preserve">доза от </w:t>
      </w:r>
      <w:r w:rsidR="00102DF7" w:rsidRPr="00FE6AC6">
        <w:rPr>
          <w:color w:val="000000"/>
          <w:sz w:val="22"/>
          <w:szCs w:val="22"/>
          <w:lang w:val="bg-BG" w:eastAsia="ja-JP"/>
        </w:rPr>
        <w:t>50</w:t>
      </w:r>
      <w:r w:rsidR="00102DF7" w:rsidRPr="00FE6AC6">
        <w:rPr>
          <w:color w:val="000000"/>
          <w:sz w:val="22"/>
          <w:szCs w:val="22"/>
        </w:rPr>
        <w:t> </w:t>
      </w:r>
      <w:r w:rsidR="00102DF7" w:rsidRPr="00FE6AC6">
        <w:rPr>
          <w:color w:val="000000"/>
          <w:sz w:val="22"/>
          <w:szCs w:val="22"/>
          <w:lang w:eastAsia="ja-JP"/>
        </w:rPr>
        <w:t>mg</w:t>
      </w:r>
      <w:r w:rsidR="00102DF7" w:rsidRPr="00FE6AC6">
        <w:rPr>
          <w:color w:val="000000"/>
          <w:sz w:val="22"/>
          <w:szCs w:val="22"/>
          <w:lang w:val="bg-BG" w:eastAsia="ja-JP"/>
        </w:rPr>
        <w:t xml:space="preserve"> дневно</w:t>
      </w:r>
      <w:r w:rsidR="00102DF7" w:rsidRPr="00FE6AC6">
        <w:rPr>
          <w:color w:val="000000"/>
          <w:sz w:val="22"/>
          <w:szCs w:val="22"/>
          <w:lang w:val="bg-BG"/>
        </w:rPr>
        <w:t xml:space="preserve"> или в </w:t>
      </w:r>
      <w:r w:rsidRPr="00FE6AC6">
        <w:rPr>
          <w:color w:val="000000"/>
          <w:sz w:val="22"/>
          <w:szCs w:val="22"/>
          <w:lang w:val="bg-BG"/>
        </w:rPr>
        <w:t xml:space="preserve">дози в интервала от </w:t>
      </w:r>
      <w:r w:rsidRPr="00FE6AC6">
        <w:rPr>
          <w:color w:val="000000"/>
          <w:sz w:val="22"/>
          <w:szCs w:val="22"/>
          <w:lang w:val="bg-BG" w:eastAsia="ja-JP"/>
        </w:rPr>
        <w:t>400 до 520</w:t>
      </w:r>
      <w:r w:rsidRPr="00FE6AC6">
        <w:rPr>
          <w:color w:val="000000"/>
          <w:sz w:val="22"/>
          <w:szCs w:val="22"/>
        </w:rPr>
        <w:t> </w:t>
      </w:r>
      <w:r w:rsidRPr="00FE6AC6">
        <w:rPr>
          <w:color w:val="000000"/>
          <w:sz w:val="22"/>
          <w:szCs w:val="22"/>
          <w:lang w:eastAsia="ja-JP"/>
        </w:rPr>
        <w:t>mg</w:t>
      </w:r>
      <w:r w:rsidRPr="00FE6AC6">
        <w:rPr>
          <w:color w:val="000000"/>
          <w:sz w:val="22"/>
          <w:szCs w:val="22"/>
          <w:lang w:val="bg-BG" w:eastAsia="ja-JP"/>
        </w:rPr>
        <w:t>/</w:t>
      </w:r>
      <w:r w:rsidRPr="00FE6AC6">
        <w:rPr>
          <w:color w:val="000000"/>
          <w:sz w:val="22"/>
          <w:szCs w:val="22"/>
          <w:lang w:eastAsia="ja-JP"/>
        </w:rPr>
        <w:t>m</w:t>
      </w:r>
      <w:r w:rsidRPr="00FE6AC6">
        <w:rPr>
          <w:color w:val="000000"/>
          <w:sz w:val="22"/>
          <w:szCs w:val="22"/>
          <w:vertAlign w:val="superscript"/>
          <w:lang w:val="bg-BG" w:eastAsia="ja-JP"/>
        </w:rPr>
        <w:t>2</w:t>
      </w:r>
      <w:r w:rsidRPr="00FE6AC6">
        <w:rPr>
          <w:color w:val="000000"/>
          <w:sz w:val="22"/>
          <w:szCs w:val="22"/>
          <w:lang w:val="bg-BG" w:eastAsia="ja-JP"/>
        </w:rPr>
        <w:t xml:space="preserve"> дневно. При всички пациенти е постигнат частичен и/или пълен отговор.</w:t>
      </w:r>
    </w:p>
    <w:p w14:paraId="3E550050" w14:textId="77777777" w:rsidR="00DF756A" w:rsidRPr="00FE6AC6" w:rsidRDefault="00DF756A" w:rsidP="0063575E">
      <w:pPr>
        <w:widowControl w:val="0"/>
        <w:spacing w:line="240" w:lineRule="auto"/>
        <w:rPr>
          <w:color w:val="000000"/>
          <w:lang w:val="bg-BG"/>
        </w:rPr>
      </w:pPr>
    </w:p>
    <w:p w14:paraId="3E550051" w14:textId="77777777" w:rsidR="001636FA" w:rsidRPr="00FE6AC6" w:rsidRDefault="001636FA" w:rsidP="0063575E">
      <w:pPr>
        <w:keepNext/>
        <w:widowControl w:val="0"/>
        <w:spacing w:line="240" w:lineRule="auto"/>
        <w:rPr>
          <w:b/>
          <w:color w:val="000000"/>
          <w:lang w:val="bg-BG"/>
        </w:rPr>
      </w:pPr>
      <w:r w:rsidRPr="00FE6AC6">
        <w:rPr>
          <w:b/>
          <w:color w:val="000000"/>
          <w:lang w:val="bg-BG"/>
        </w:rPr>
        <w:t>5.2</w:t>
      </w:r>
      <w:r w:rsidRPr="00FE6AC6">
        <w:rPr>
          <w:b/>
          <w:color w:val="000000"/>
          <w:lang w:val="bg-BG"/>
        </w:rPr>
        <w:tab/>
        <w:t>Фармакокинетични свойства</w:t>
      </w:r>
    </w:p>
    <w:p w14:paraId="3E550052" w14:textId="77777777" w:rsidR="001636FA" w:rsidRPr="00FE6AC6" w:rsidRDefault="001636FA" w:rsidP="0063575E">
      <w:pPr>
        <w:keepNext/>
        <w:widowControl w:val="0"/>
        <w:spacing w:line="240" w:lineRule="auto"/>
        <w:rPr>
          <w:color w:val="000000"/>
          <w:lang w:val="bg-BG"/>
        </w:rPr>
      </w:pPr>
    </w:p>
    <w:p w14:paraId="3E550053"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Фармакокинетика на Glivec</w:t>
      </w:r>
    </w:p>
    <w:p w14:paraId="3E550054" w14:textId="77777777" w:rsidR="001636FA" w:rsidRPr="00FE6AC6" w:rsidRDefault="001636FA" w:rsidP="0063575E">
      <w:pPr>
        <w:widowControl w:val="0"/>
        <w:spacing w:line="240" w:lineRule="auto"/>
        <w:rPr>
          <w:color w:val="000000"/>
          <w:lang w:val="bg-BG"/>
        </w:rPr>
      </w:pPr>
      <w:r w:rsidRPr="00FE6AC6">
        <w:rPr>
          <w:color w:val="000000"/>
          <w:lang w:val="bg-BG"/>
        </w:rPr>
        <w:t>Фармакокинетичните свойства на Glivec са оценени при дози вариращи от 25 до 1 000 mg. Плaзмените фармакокинетични профили са анализирани на 1-ви ден и след това или на 7-ми или на 28-ми ден, когато са достигнати стационарни концентрации.</w:t>
      </w:r>
    </w:p>
    <w:p w14:paraId="3E550055" w14:textId="77777777" w:rsidR="001636FA" w:rsidRPr="00FE6AC6" w:rsidRDefault="001636FA" w:rsidP="0063575E">
      <w:pPr>
        <w:widowControl w:val="0"/>
        <w:spacing w:line="240" w:lineRule="auto"/>
        <w:rPr>
          <w:color w:val="000000"/>
          <w:lang w:val="bg-BG"/>
        </w:rPr>
      </w:pPr>
    </w:p>
    <w:p w14:paraId="3E550056"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Абсорбция</w:t>
      </w:r>
    </w:p>
    <w:p w14:paraId="3E550057" w14:textId="77777777" w:rsidR="001636FA" w:rsidRPr="00FE6AC6" w:rsidRDefault="001636FA" w:rsidP="0063575E">
      <w:pPr>
        <w:widowControl w:val="0"/>
        <w:spacing w:line="240" w:lineRule="auto"/>
        <w:rPr>
          <w:color w:val="000000"/>
          <w:lang w:val="bg-BG"/>
        </w:rPr>
      </w:pPr>
      <w:r w:rsidRPr="00FE6AC6">
        <w:rPr>
          <w:color w:val="000000"/>
          <w:lang w:val="bg-BG"/>
        </w:rPr>
        <w:t>Средната абсолютна бионаличност за капсулите е 98%. След перорално приложение има голяма вариабилност между пациентите в плазмените нива на AUC на иматиниб. При приемането му с храна с високо съдържание на мазнини, степента на абсорбция на иматиниб намалява минимално (11% понижение на C</w:t>
      </w:r>
      <w:r w:rsidRPr="00FE6AC6">
        <w:rPr>
          <w:color w:val="000000"/>
          <w:vertAlign w:val="subscript"/>
          <w:lang w:val="bg-BG"/>
        </w:rPr>
        <w:t>max</w:t>
      </w:r>
      <w:r w:rsidRPr="00FE6AC6">
        <w:rPr>
          <w:color w:val="000000"/>
          <w:lang w:val="bg-BG"/>
        </w:rPr>
        <w:t xml:space="preserve"> и удължаване на T</w:t>
      </w:r>
      <w:r w:rsidRPr="00FE6AC6">
        <w:rPr>
          <w:color w:val="000000"/>
          <w:vertAlign w:val="subscript"/>
          <w:lang w:val="bg-BG"/>
        </w:rPr>
        <w:t>max</w:t>
      </w:r>
      <w:r w:rsidRPr="00FE6AC6">
        <w:rPr>
          <w:color w:val="000000"/>
          <w:lang w:val="bg-BG"/>
        </w:rPr>
        <w:t xml:space="preserve"> с 1,5h) с леко понижение на AUC (7,4%)</w:t>
      </w:r>
      <w:r w:rsidR="00C10E9C" w:rsidRPr="00FE6AC6">
        <w:rPr>
          <w:color w:val="000000"/>
          <w:lang w:val="bg-BG"/>
        </w:rPr>
        <w:t>,</w:t>
      </w:r>
      <w:r w:rsidRPr="00FE6AC6">
        <w:rPr>
          <w:color w:val="000000"/>
          <w:lang w:val="bg-BG"/>
        </w:rPr>
        <w:t xml:space="preserve"> в сравнение с прием на гладно. Не е изследван ефектът на предхождаща стомашно-чревна операция върху абсорбцията на лекарството.</w:t>
      </w:r>
    </w:p>
    <w:p w14:paraId="3E550058" w14:textId="77777777" w:rsidR="001636FA" w:rsidRPr="00FE6AC6" w:rsidRDefault="001636FA" w:rsidP="0063575E">
      <w:pPr>
        <w:widowControl w:val="0"/>
        <w:spacing w:line="240" w:lineRule="auto"/>
        <w:rPr>
          <w:color w:val="000000"/>
          <w:lang w:val="bg-BG"/>
        </w:rPr>
      </w:pPr>
    </w:p>
    <w:p w14:paraId="3E550059"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Разпределение</w:t>
      </w:r>
    </w:p>
    <w:p w14:paraId="3E55005A" w14:textId="77777777" w:rsidR="001636FA" w:rsidRPr="00FE6AC6" w:rsidRDefault="001636FA" w:rsidP="0063575E">
      <w:pPr>
        <w:widowControl w:val="0"/>
        <w:spacing w:line="240" w:lineRule="auto"/>
        <w:rPr>
          <w:color w:val="000000"/>
          <w:lang w:val="bg-BG"/>
        </w:rPr>
      </w:pPr>
      <w:r w:rsidRPr="00FE6AC6">
        <w:rPr>
          <w:color w:val="000000"/>
          <w:lang w:val="bg-BG"/>
        </w:rPr>
        <w:t xml:space="preserve">По данни от </w:t>
      </w:r>
      <w:r w:rsidRPr="00FE6AC6">
        <w:rPr>
          <w:i/>
          <w:color w:val="000000"/>
          <w:lang w:val="bg-BG"/>
        </w:rPr>
        <w:t>in vitro</w:t>
      </w:r>
      <w:r w:rsidRPr="00FE6AC6">
        <w:rPr>
          <w:color w:val="000000"/>
          <w:lang w:val="bg-BG"/>
        </w:rPr>
        <w:t xml:space="preserve"> експерименти при клинично значими концентрации на иматиниб, свързването му с плазмените белтъци е около 95% предимно с албумина и с алфа-киселия гликопротеин и </w:t>
      </w:r>
      <w:r w:rsidR="00C10E9C" w:rsidRPr="00FE6AC6">
        <w:rPr>
          <w:color w:val="000000"/>
          <w:lang w:val="bg-BG"/>
        </w:rPr>
        <w:t xml:space="preserve">в </w:t>
      </w:r>
      <w:r w:rsidRPr="00FE6AC6">
        <w:rPr>
          <w:color w:val="000000"/>
          <w:lang w:val="bg-BG"/>
        </w:rPr>
        <w:t>малка степен с липопротеин.</w:t>
      </w:r>
    </w:p>
    <w:p w14:paraId="3E55005B" w14:textId="77777777" w:rsidR="001636FA" w:rsidRPr="00FE6AC6" w:rsidRDefault="001636FA" w:rsidP="0063575E">
      <w:pPr>
        <w:widowControl w:val="0"/>
        <w:spacing w:line="240" w:lineRule="auto"/>
        <w:rPr>
          <w:color w:val="000000"/>
          <w:lang w:val="bg-BG"/>
        </w:rPr>
      </w:pPr>
    </w:p>
    <w:p w14:paraId="3E55005C" w14:textId="77777777" w:rsidR="001636FA" w:rsidRPr="00FE6AC6" w:rsidRDefault="00692A2D" w:rsidP="0063575E">
      <w:pPr>
        <w:keepNext/>
        <w:widowControl w:val="0"/>
        <w:spacing w:line="240" w:lineRule="auto"/>
        <w:rPr>
          <w:color w:val="000000"/>
          <w:lang w:val="bg-BG"/>
        </w:rPr>
      </w:pPr>
      <w:r w:rsidRPr="00FE6AC6">
        <w:rPr>
          <w:noProof/>
          <w:szCs w:val="24"/>
          <w:u w:val="single"/>
          <w:lang w:val="bg-BG"/>
        </w:rPr>
        <w:t>Биотрансформация</w:t>
      </w:r>
    </w:p>
    <w:p w14:paraId="3E55005D" w14:textId="77777777" w:rsidR="001636FA" w:rsidRPr="00FE6AC6" w:rsidRDefault="001636FA" w:rsidP="0063575E">
      <w:pPr>
        <w:widowControl w:val="0"/>
        <w:spacing w:line="240" w:lineRule="auto"/>
        <w:rPr>
          <w:color w:val="000000"/>
          <w:lang w:val="bg-BG"/>
        </w:rPr>
      </w:pPr>
      <w:r w:rsidRPr="00FE6AC6">
        <w:rPr>
          <w:color w:val="000000"/>
          <w:lang w:val="bg-BG"/>
        </w:rPr>
        <w:t xml:space="preserve">Основният метаболит в кръвообращението при хора е N-деметилирано пиперазиново производно, което показва </w:t>
      </w:r>
      <w:r w:rsidRPr="00FE6AC6">
        <w:rPr>
          <w:i/>
          <w:color w:val="000000"/>
          <w:lang w:val="bg-BG"/>
        </w:rPr>
        <w:t>in vitro</w:t>
      </w:r>
      <w:r w:rsidRPr="00FE6AC6">
        <w:rPr>
          <w:color w:val="000000"/>
          <w:lang w:val="bg-BG"/>
        </w:rPr>
        <w:t xml:space="preserve"> активност близка до тази на изходното вещество. Установено, че плазмената AUC на този метаболит е само 16% от AUC за иматиниб. Свързването на N-деметилирания метаболит с плазмените белтъци е </w:t>
      </w:r>
      <w:r w:rsidR="000434D8" w:rsidRPr="00FE6AC6">
        <w:rPr>
          <w:color w:val="000000"/>
          <w:lang w:val="bg-BG"/>
        </w:rPr>
        <w:t xml:space="preserve">близко до това </w:t>
      </w:r>
      <w:r w:rsidRPr="00FE6AC6">
        <w:rPr>
          <w:color w:val="000000"/>
          <w:lang w:val="bg-BG"/>
        </w:rPr>
        <w:t>на изходното вещество.</w:t>
      </w:r>
    </w:p>
    <w:p w14:paraId="3E55005E" w14:textId="77777777" w:rsidR="001636FA" w:rsidRPr="00FE6AC6" w:rsidRDefault="001636FA" w:rsidP="0063575E">
      <w:pPr>
        <w:widowControl w:val="0"/>
        <w:spacing w:line="240" w:lineRule="auto"/>
        <w:rPr>
          <w:color w:val="000000"/>
          <w:lang w:val="bg-BG"/>
        </w:rPr>
      </w:pPr>
    </w:p>
    <w:p w14:paraId="3E55005F" w14:textId="77777777" w:rsidR="001636FA" w:rsidRPr="00FE6AC6" w:rsidRDefault="001636FA" w:rsidP="0063575E">
      <w:pPr>
        <w:widowControl w:val="0"/>
        <w:spacing w:line="240" w:lineRule="auto"/>
        <w:rPr>
          <w:color w:val="000000"/>
          <w:lang w:val="bg-BG"/>
        </w:rPr>
      </w:pPr>
      <w:r w:rsidRPr="00FE6AC6">
        <w:rPr>
          <w:color w:val="000000"/>
          <w:lang w:val="bg-BG"/>
        </w:rPr>
        <w:t>Заедно N-деметилираният метаболит и иматиниб представляват около 65% от радиоактивността в кръвообръщението (AUC</w:t>
      </w:r>
      <w:r w:rsidRPr="00FE6AC6">
        <w:rPr>
          <w:color w:val="000000"/>
          <w:vertAlign w:val="subscript"/>
          <w:lang w:val="bg-BG"/>
        </w:rPr>
        <w:t>(0-48h)</w:t>
      </w:r>
      <w:r w:rsidRPr="00FE6AC6">
        <w:rPr>
          <w:color w:val="000000"/>
          <w:lang w:val="bg-BG"/>
        </w:rPr>
        <w:t>). Останалата част от радиоактивността се дължи на многобройни второстепенни метаболити.</w:t>
      </w:r>
    </w:p>
    <w:p w14:paraId="3E550060" w14:textId="77777777" w:rsidR="001636FA" w:rsidRPr="00FE6AC6" w:rsidRDefault="001636FA" w:rsidP="0063575E">
      <w:pPr>
        <w:widowControl w:val="0"/>
        <w:spacing w:line="240" w:lineRule="auto"/>
        <w:rPr>
          <w:color w:val="000000"/>
          <w:lang w:val="bg-BG"/>
        </w:rPr>
      </w:pPr>
    </w:p>
    <w:p w14:paraId="3E550061" w14:textId="77777777" w:rsidR="001636FA" w:rsidRPr="00FE6AC6" w:rsidRDefault="001636FA" w:rsidP="0063575E">
      <w:pPr>
        <w:widowControl w:val="0"/>
        <w:spacing w:line="240" w:lineRule="auto"/>
        <w:rPr>
          <w:color w:val="000000"/>
          <w:lang w:val="bg-BG"/>
        </w:rPr>
      </w:pPr>
      <w:r w:rsidRPr="00FE6AC6">
        <w:rPr>
          <w:i/>
          <w:color w:val="000000"/>
          <w:lang w:val="bg-BG"/>
        </w:rPr>
        <w:t>In vitro</w:t>
      </w:r>
      <w:r w:rsidRPr="00FE6AC6">
        <w:rPr>
          <w:color w:val="000000"/>
          <w:lang w:val="bg-BG"/>
        </w:rPr>
        <w:t xml:space="preserve"> резултатите показват, че CYP3A4 e основният човешки P450 изоензим, катализиращ биотрансформация на иматиниб. От набора възможни лекарства за съвместно приложение (ацетаминофен, ацикловир, алопуринил, амфотерицин, цитарабин, еритромицин, флуконазол, хидроксиурея, норфлоксацин, пеницилин В) единствено еритромицин (IC</w:t>
      </w:r>
      <w:r w:rsidRPr="00FE6AC6">
        <w:rPr>
          <w:color w:val="000000"/>
          <w:vertAlign w:val="subscript"/>
          <w:lang w:val="bg-BG"/>
        </w:rPr>
        <w:t>50</w:t>
      </w:r>
      <w:r w:rsidRPr="00FE6AC6">
        <w:rPr>
          <w:color w:val="000000"/>
          <w:lang w:val="bg-BG"/>
        </w:rPr>
        <w:t> 50 µM) и флуконазол (IC</w:t>
      </w:r>
      <w:r w:rsidRPr="00FE6AC6">
        <w:rPr>
          <w:color w:val="000000"/>
          <w:vertAlign w:val="subscript"/>
          <w:lang w:val="bg-BG"/>
        </w:rPr>
        <w:t>50</w:t>
      </w:r>
      <w:r w:rsidRPr="00FE6AC6">
        <w:rPr>
          <w:color w:val="000000"/>
          <w:lang w:val="bg-BG"/>
        </w:rPr>
        <w:t> 118 µM) показват инхибиращo действие върху метаболизма на иматиниб, което може да има клинично значение.</w:t>
      </w:r>
    </w:p>
    <w:p w14:paraId="3E550062" w14:textId="77777777" w:rsidR="001636FA" w:rsidRPr="00FE6AC6" w:rsidRDefault="001636FA" w:rsidP="0063575E">
      <w:pPr>
        <w:widowControl w:val="0"/>
        <w:spacing w:line="240" w:lineRule="auto"/>
        <w:rPr>
          <w:color w:val="000000"/>
          <w:lang w:val="bg-BG"/>
        </w:rPr>
      </w:pPr>
    </w:p>
    <w:p w14:paraId="3E550063" w14:textId="77777777" w:rsidR="001636FA" w:rsidRPr="00FE6AC6" w:rsidRDefault="001636FA" w:rsidP="0063575E">
      <w:pPr>
        <w:widowControl w:val="0"/>
        <w:spacing w:line="240" w:lineRule="auto"/>
        <w:rPr>
          <w:color w:val="000000"/>
          <w:lang w:val="bg-BG"/>
        </w:rPr>
      </w:pPr>
      <w:r w:rsidRPr="00FE6AC6">
        <w:rPr>
          <w:color w:val="000000"/>
          <w:lang w:val="bg-BG"/>
        </w:rPr>
        <w:t xml:space="preserve">Доказано е, че иматиниб в </w:t>
      </w:r>
      <w:r w:rsidRPr="00FE6AC6">
        <w:rPr>
          <w:i/>
          <w:color w:val="000000"/>
          <w:lang w:val="bg-BG"/>
        </w:rPr>
        <w:t>in vitro</w:t>
      </w:r>
      <w:r w:rsidRPr="00FE6AC6">
        <w:rPr>
          <w:color w:val="000000"/>
          <w:lang w:val="bg-BG"/>
        </w:rPr>
        <w:t xml:space="preserve"> условия е конкурентен инхибитор на маркиращи субстрати за CYP2C9, CYP2D6 и CYP3A4/5. Стойностите на K</w:t>
      </w:r>
      <w:r w:rsidRPr="00FE6AC6">
        <w:rPr>
          <w:color w:val="000000"/>
          <w:vertAlign w:val="subscript"/>
          <w:lang w:val="bg-BG"/>
        </w:rPr>
        <w:t>i</w:t>
      </w:r>
      <w:r w:rsidRPr="00FE6AC6">
        <w:rPr>
          <w:color w:val="000000"/>
          <w:lang w:val="bg-BG"/>
        </w:rPr>
        <w:t xml:space="preserve"> в човешките чернодробни микрозоми са съответно 27, 7,5 и 7,9 µmol/l. Максималните плазмени концентрации на иматиниб при пациентите са 2</w:t>
      </w:r>
      <w:r w:rsidRPr="00FE6AC6">
        <w:rPr>
          <w:color w:val="000000"/>
          <w:lang w:val="bg-BG"/>
        </w:rPr>
        <w:noBreakHyphen/>
        <w:t>4 µmol/l</w:t>
      </w:r>
      <w:r w:rsidR="000434D8" w:rsidRPr="00FE6AC6">
        <w:rPr>
          <w:color w:val="000000"/>
          <w:lang w:val="bg-BG"/>
        </w:rPr>
        <w:t>, с</w:t>
      </w:r>
      <w:r w:rsidRPr="00FE6AC6">
        <w:rPr>
          <w:color w:val="000000"/>
          <w:lang w:val="bg-BG"/>
        </w:rPr>
        <w:t>ледователно е възможно инхибиране</w:t>
      </w:r>
      <w:r w:rsidR="000434D8" w:rsidRPr="00FE6AC6">
        <w:rPr>
          <w:color w:val="000000"/>
          <w:lang w:val="bg-BG"/>
        </w:rPr>
        <w:t>то</w:t>
      </w:r>
      <w:r w:rsidRPr="00FE6AC6">
        <w:rPr>
          <w:color w:val="000000"/>
          <w:lang w:val="bg-BG"/>
        </w:rPr>
        <w:t xml:space="preserve"> на медиирания от CYP2D6 и/или CYP3A4/5 метаболизъм на съвместно </w:t>
      </w:r>
      <w:r w:rsidR="000434D8" w:rsidRPr="00FE6AC6">
        <w:rPr>
          <w:color w:val="000000"/>
          <w:lang w:val="bg-BG"/>
        </w:rPr>
        <w:t>приемани лекарства</w:t>
      </w:r>
      <w:r w:rsidRPr="00FE6AC6">
        <w:rPr>
          <w:color w:val="000000"/>
          <w:lang w:val="bg-BG"/>
        </w:rPr>
        <w:t>. Иматиниб не повлиява биотрансформацията на 5-флуорурацил, но инхибира метаболизма на паклитаксел в резултат на конкурентното инхибиране на CYP2C8 (K</w:t>
      </w:r>
      <w:r w:rsidRPr="00FE6AC6">
        <w:rPr>
          <w:color w:val="000000"/>
          <w:vertAlign w:val="subscript"/>
          <w:lang w:val="bg-BG"/>
        </w:rPr>
        <w:t>i</w:t>
      </w:r>
      <w:r w:rsidRPr="00FE6AC6">
        <w:rPr>
          <w:color w:val="000000"/>
          <w:lang w:val="bg-BG"/>
        </w:rPr>
        <w:t>=34,7 µM). Тази стойност на K</w:t>
      </w:r>
      <w:r w:rsidRPr="00FE6AC6">
        <w:rPr>
          <w:color w:val="000000"/>
          <w:vertAlign w:val="subscript"/>
          <w:lang w:val="bg-BG"/>
        </w:rPr>
        <w:t xml:space="preserve">i </w:t>
      </w:r>
      <w:r w:rsidRPr="00FE6AC6">
        <w:rPr>
          <w:color w:val="000000"/>
          <w:lang w:val="bg-BG"/>
        </w:rPr>
        <w:t>е далеч по-висока от очакваните плазмени нива на иматиниб при пациенти, така че не се очаква никакво взаимодействие при съвместното му приложение с 5-флуороурацил или паклитаксел.</w:t>
      </w:r>
    </w:p>
    <w:p w14:paraId="3E550064" w14:textId="77777777" w:rsidR="001636FA" w:rsidRPr="00FE6AC6" w:rsidRDefault="001636FA" w:rsidP="0063575E">
      <w:pPr>
        <w:widowControl w:val="0"/>
        <w:spacing w:line="240" w:lineRule="auto"/>
        <w:rPr>
          <w:color w:val="000000"/>
          <w:lang w:val="bg-BG"/>
        </w:rPr>
      </w:pPr>
    </w:p>
    <w:p w14:paraId="3E550065"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Елиминиране</w:t>
      </w:r>
    </w:p>
    <w:p w14:paraId="3E550066" w14:textId="77777777" w:rsidR="001636FA" w:rsidRPr="00FE6AC6" w:rsidRDefault="001636FA" w:rsidP="0063575E">
      <w:pPr>
        <w:widowControl w:val="0"/>
        <w:spacing w:line="240" w:lineRule="auto"/>
        <w:rPr>
          <w:color w:val="000000"/>
          <w:lang w:val="bg-BG"/>
        </w:rPr>
      </w:pPr>
      <w:r w:rsidRPr="00FE6AC6">
        <w:rPr>
          <w:color w:val="000000"/>
          <w:lang w:val="bg-BG"/>
        </w:rPr>
        <w:t>Въз основава на данните за отделяне на съединението(а) след перорален прием на доза белязан с </w:t>
      </w:r>
      <w:r w:rsidRPr="00FE6AC6">
        <w:rPr>
          <w:color w:val="000000"/>
          <w:vertAlign w:val="superscript"/>
          <w:lang w:val="bg-BG"/>
        </w:rPr>
        <w:t>14</w:t>
      </w:r>
      <w:r w:rsidRPr="00FE6AC6">
        <w:rPr>
          <w:color w:val="000000"/>
          <w:lang w:val="bg-BG"/>
        </w:rPr>
        <w:t xml:space="preserve">C иматиниб, приблизително 81% от дозата в рамките на 7 дни се отделя във фецеса (68% от дозата) и урината (13% от дозата). Неметаболизираният иматиниб съставлява около 25% от дозата (5% в урината, 20% във фецеса), останалата част се </w:t>
      </w:r>
      <w:r w:rsidR="002E1CB4" w:rsidRPr="00FE6AC6">
        <w:rPr>
          <w:color w:val="000000"/>
          <w:lang w:val="bg-BG"/>
        </w:rPr>
        <w:t>състои от метаболити</w:t>
      </w:r>
      <w:r w:rsidRPr="00FE6AC6">
        <w:rPr>
          <w:color w:val="000000"/>
          <w:lang w:val="bg-BG"/>
        </w:rPr>
        <w:t>.</w:t>
      </w:r>
    </w:p>
    <w:p w14:paraId="3E550067" w14:textId="77777777" w:rsidR="001636FA" w:rsidRPr="00FE6AC6" w:rsidRDefault="001636FA" w:rsidP="0063575E">
      <w:pPr>
        <w:widowControl w:val="0"/>
        <w:spacing w:line="240" w:lineRule="auto"/>
        <w:rPr>
          <w:color w:val="000000"/>
          <w:lang w:val="bg-BG"/>
        </w:rPr>
      </w:pPr>
    </w:p>
    <w:p w14:paraId="3E550068"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Плазмена фармакокинетика</w:t>
      </w:r>
    </w:p>
    <w:p w14:paraId="3E550069" w14:textId="252C2FE7" w:rsidR="001636FA" w:rsidRPr="00FE6AC6" w:rsidRDefault="001636FA" w:rsidP="0063575E">
      <w:pPr>
        <w:widowControl w:val="0"/>
        <w:spacing w:line="240" w:lineRule="auto"/>
        <w:rPr>
          <w:color w:val="000000"/>
          <w:lang w:val="bg-BG"/>
        </w:rPr>
      </w:pPr>
      <w:r w:rsidRPr="00FE6AC6">
        <w:rPr>
          <w:color w:val="000000"/>
          <w:lang w:val="bg-BG"/>
        </w:rPr>
        <w:t>Проследяването след перорално приложение при здрави доброволци показва, че t</w:t>
      </w:r>
      <w:r w:rsidRPr="00FE6AC6">
        <w:rPr>
          <w:color w:val="000000"/>
          <w:vertAlign w:val="subscript"/>
          <w:lang w:val="bg-BG"/>
        </w:rPr>
        <w:t>½</w:t>
      </w:r>
      <w:r w:rsidRPr="00FE6AC6">
        <w:rPr>
          <w:color w:val="000000"/>
          <w:lang w:val="bg-BG"/>
        </w:rPr>
        <w:t xml:space="preserve"> e приблизително 18h и това предполага, че приемане</w:t>
      </w:r>
      <w:r w:rsidR="005D4145" w:rsidRPr="00FE6AC6">
        <w:rPr>
          <w:color w:val="000000"/>
          <w:lang w:val="bg-BG"/>
        </w:rPr>
        <w:t>то</w:t>
      </w:r>
      <w:r w:rsidRPr="00FE6AC6">
        <w:rPr>
          <w:color w:val="000000"/>
          <w:lang w:val="bg-BG"/>
        </w:rPr>
        <w:t xml:space="preserve"> му веднъж дневно е </w:t>
      </w:r>
      <w:r w:rsidR="00E27AF3" w:rsidRPr="00FE6AC6">
        <w:rPr>
          <w:color w:val="000000"/>
          <w:lang w:val="bg-BG"/>
        </w:rPr>
        <w:t>уместно</w:t>
      </w:r>
      <w:r w:rsidRPr="00FE6AC6">
        <w:rPr>
          <w:color w:val="000000"/>
          <w:lang w:val="bg-BG"/>
        </w:rPr>
        <w:t>. Повишаването в средния AUC с увеличаване на дозата е линейно и пропорционално в интервала 25</w:t>
      </w:r>
      <w:r w:rsidRPr="00FE6AC6">
        <w:rPr>
          <w:color w:val="000000"/>
          <w:lang w:val="bg-BG"/>
        </w:rPr>
        <w:noBreakHyphen/>
        <w:t>1 000 </w:t>
      </w:r>
      <w:r w:rsidRPr="00FE6AC6">
        <w:rPr>
          <w:color w:val="000000"/>
          <w:lang w:val="en-US"/>
        </w:rPr>
        <w:t>mg</w:t>
      </w:r>
      <w:r w:rsidRPr="00FE6AC6">
        <w:rPr>
          <w:color w:val="000000"/>
          <w:lang w:val="bg-BG"/>
        </w:rPr>
        <w:t xml:space="preserve"> след перорално приложение.Няма никаква промяна в кинетиката на иматиниб при многократно приложение, като кумул</w:t>
      </w:r>
      <w:r w:rsidR="00E61423" w:rsidRPr="00FE6AC6">
        <w:rPr>
          <w:color w:val="000000"/>
          <w:lang w:val="bg-BG"/>
        </w:rPr>
        <w:t xml:space="preserve">ирането </w:t>
      </w:r>
      <w:r w:rsidRPr="00FE6AC6">
        <w:rPr>
          <w:color w:val="000000"/>
          <w:lang w:val="bg-BG"/>
        </w:rPr>
        <w:t>му е 1,5</w:t>
      </w:r>
      <w:r w:rsidRPr="00FE6AC6">
        <w:rPr>
          <w:color w:val="000000"/>
          <w:lang w:val="bg-BG"/>
        </w:rPr>
        <w:noBreakHyphen/>
        <w:t>2,5 </w:t>
      </w:r>
      <w:r w:rsidR="00E27AF3" w:rsidRPr="00FE6AC6">
        <w:rPr>
          <w:color w:val="000000"/>
          <w:lang w:val="bg-BG"/>
        </w:rPr>
        <w:t xml:space="preserve">пъти в стационарно състояние при </w:t>
      </w:r>
      <w:r w:rsidRPr="00FE6AC6">
        <w:rPr>
          <w:color w:val="000000"/>
          <w:lang w:val="bg-BG"/>
        </w:rPr>
        <w:t>прием веднъж дневно.</w:t>
      </w:r>
    </w:p>
    <w:p w14:paraId="3E55006A" w14:textId="77777777" w:rsidR="001636FA" w:rsidRPr="00FE6AC6" w:rsidRDefault="001636FA" w:rsidP="0063575E">
      <w:pPr>
        <w:widowControl w:val="0"/>
        <w:spacing w:line="240" w:lineRule="auto"/>
        <w:rPr>
          <w:color w:val="000000"/>
          <w:lang w:val="bg-BG"/>
        </w:rPr>
      </w:pPr>
    </w:p>
    <w:p w14:paraId="3E55006B"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Фармакокинетика при пациенти с ГИСТ</w:t>
      </w:r>
    </w:p>
    <w:p w14:paraId="3E55006C" w14:textId="77777777" w:rsidR="001636FA" w:rsidRPr="00FE6AC6" w:rsidRDefault="001636FA" w:rsidP="0063575E">
      <w:pPr>
        <w:widowControl w:val="0"/>
        <w:spacing w:line="240" w:lineRule="auto"/>
        <w:rPr>
          <w:color w:val="000000"/>
          <w:lang w:val="bg-BG"/>
        </w:rPr>
      </w:pPr>
      <w:r w:rsidRPr="00FE6AC6">
        <w:rPr>
          <w:color w:val="000000"/>
          <w:lang w:val="bg-BG"/>
        </w:rPr>
        <w:t>При пациенти с ГИСТ стационарната плазмена концентрация е 1,5 пъти по висока в сравнение с наблюдаваната при пациенти с ХМЛ със същата дозировка (400 mg дневно). Данните от предварителния популационен фармакокинетичен анализ при пациенти с ГИСТ показват, че три променливи (албумин, ЛБ и билирубин) имат статистически значима връзка с фармакокинетиката на иматиниб. Намалените стойности на албумина предизвикват понижение на клирънса (CL/f), а по-високите нива на ЛБ водят до понижение на CL/f. Въпреки това тези данни не са достатъчно изявени, за да доведат до промяна на дозата. В тази група от пациенти наличието на чернодробни метастази е възможно да доведе до чернодробна недост</w:t>
      </w:r>
      <w:r w:rsidR="001F5FA0" w:rsidRPr="00FE6AC6">
        <w:rPr>
          <w:color w:val="000000"/>
          <w:lang w:val="bg-BG"/>
        </w:rPr>
        <w:t>ат</w:t>
      </w:r>
      <w:r w:rsidRPr="00FE6AC6">
        <w:rPr>
          <w:color w:val="000000"/>
          <w:lang w:val="bg-BG"/>
        </w:rPr>
        <w:t>ъчност и понижаване на метаболизма.</w:t>
      </w:r>
    </w:p>
    <w:p w14:paraId="3E55006D" w14:textId="77777777" w:rsidR="001636FA" w:rsidRPr="00FE6AC6" w:rsidRDefault="001636FA" w:rsidP="0063575E">
      <w:pPr>
        <w:widowControl w:val="0"/>
        <w:spacing w:line="240" w:lineRule="auto"/>
        <w:rPr>
          <w:color w:val="000000"/>
          <w:lang w:val="bg-BG"/>
        </w:rPr>
      </w:pPr>
    </w:p>
    <w:p w14:paraId="3E55006E"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Популационна фармакокинетика</w:t>
      </w:r>
    </w:p>
    <w:p w14:paraId="3E55006F" w14:textId="77777777" w:rsidR="001636FA" w:rsidRPr="00FE6AC6" w:rsidRDefault="001636FA" w:rsidP="0063575E">
      <w:pPr>
        <w:widowControl w:val="0"/>
        <w:spacing w:line="240" w:lineRule="auto"/>
        <w:rPr>
          <w:color w:val="000000"/>
          <w:lang w:val="bg-BG"/>
        </w:rPr>
      </w:pPr>
      <w:r w:rsidRPr="00FE6AC6">
        <w:rPr>
          <w:color w:val="000000"/>
          <w:lang w:val="bg-BG"/>
        </w:rPr>
        <w:t>Данните от популациония фармакокинетичен анализ при пациенти с ХМЛ показват, че възрастта оказва малък ефект върху обема на разпределение (12% повишение при пациенти &gt;65 години). Тази промяна не се приема за статистически значима. Ефектът на телесното тегло върху клирънса на иматиниб е такъв, че за пациенти с тегло 50 kg средния клирънс се очаква да бъде 8,5 l/час, докато при пациенти, тежащи 100 kg се очаква да се повиши до 11,8 l/час. Тези промени не се смятат за достатъчно основание, за да доведе до коригиране на дозата в зависимост от телесното тегло.</w:t>
      </w:r>
      <w:r w:rsidR="00E27AF3" w:rsidRPr="00FE6AC6">
        <w:rPr>
          <w:color w:val="000000"/>
          <w:lang w:val="bg-BG"/>
        </w:rPr>
        <w:t xml:space="preserve"> Полът няма ефект върху кинетиката на иматиниб.</w:t>
      </w:r>
    </w:p>
    <w:p w14:paraId="3E550070" w14:textId="77777777" w:rsidR="001636FA" w:rsidRPr="00FE6AC6" w:rsidRDefault="001636FA" w:rsidP="0063575E">
      <w:pPr>
        <w:widowControl w:val="0"/>
        <w:spacing w:line="240" w:lineRule="auto"/>
        <w:rPr>
          <w:color w:val="000000"/>
          <w:lang w:val="bg-BG"/>
        </w:rPr>
      </w:pPr>
    </w:p>
    <w:p w14:paraId="3E550071"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Фармакокинетика при деца</w:t>
      </w:r>
    </w:p>
    <w:p w14:paraId="3E550072" w14:textId="77777777" w:rsidR="001636FA" w:rsidRPr="00FE6AC6" w:rsidRDefault="001636FA" w:rsidP="0063575E">
      <w:pPr>
        <w:widowControl w:val="0"/>
        <w:spacing w:line="240" w:lineRule="auto"/>
        <w:rPr>
          <w:color w:val="000000"/>
          <w:lang w:val="bg-BG"/>
        </w:rPr>
      </w:pPr>
      <w:r w:rsidRPr="00FE6AC6">
        <w:rPr>
          <w:color w:val="000000"/>
          <w:lang w:val="bg-BG"/>
        </w:rPr>
        <w:t xml:space="preserve">Както и при възрастни пациенти, така и при деца иматиниб се абсорбира бързо след перорален прием при проучвания от фаза I и фаза </w:t>
      </w:r>
      <w:r w:rsidRPr="00FE6AC6">
        <w:rPr>
          <w:color w:val="000000"/>
          <w:lang w:val="en-US"/>
        </w:rPr>
        <w:t>II</w:t>
      </w:r>
      <w:r w:rsidRPr="00FE6AC6">
        <w:rPr>
          <w:color w:val="000000"/>
          <w:lang w:val="bg-BG"/>
        </w:rPr>
        <w:t>. Дозите при деца от 260 и 340 mg/m²/ден водят до същата експозиция като съответно дозите от 400 mg и 600 mg при възрастни пациенти. Сравняването на AUC</w:t>
      </w:r>
      <w:r w:rsidRPr="00FE6AC6">
        <w:rPr>
          <w:color w:val="000000"/>
          <w:vertAlign w:val="subscript"/>
          <w:lang w:val="bg-BG"/>
        </w:rPr>
        <w:t>(0-24)</w:t>
      </w:r>
      <w:r w:rsidRPr="00FE6AC6">
        <w:rPr>
          <w:color w:val="000000"/>
          <w:lang w:val="bg-BG"/>
        </w:rPr>
        <w:t xml:space="preserve"> на 8-ия и 1-ия ден при дози от 340 mg/m²/ден показва 1,7 пъти по-високо натрупване на лекарството след </w:t>
      </w:r>
      <w:r w:rsidR="00E27AF3" w:rsidRPr="00FE6AC6">
        <w:rPr>
          <w:color w:val="000000"/>
          <w:lang w:val="bg-BG"/>
        </w:rPr>
        <w:t xml:space="preserve">неколкократно ежедневно </w:t>
      </w:r>
      <w:r w:rsidRPr="00FE6AC6">
        <w:rPr>
          <w:color w:val="000000"/>
          <w:lang w:val="bg-BG"/>
        </w:rPr>
        <w:t>приложение.</w:t>
      </w:r>
    </w:p>
    <w:p w14:paraId="3E550073" w14:textId="77777777" w:rsidR="00105798" w:rsidRPr="00FE6AC6" w:rsidRDefault="00105798" w:rsidP="0063575E">
      <w:pPr>
        <w:pStyle w:val="EndnoteText"/>
        <w:widowControl w:val="0"/>
        <w:rPr>
          <w:color w:val="000000"/>
          <w:szCs w:val="22"/>
          <w:lang w:val="bg-BG"/>
        </w:rPr>
      </w:pPr>
    </w:p>
    <w:p w14:paraId="3E550074" w14:textId="77777777" w:rsidR="00105798" w:rsidRPr="00FE6AC6" w:rsidRDefault="00105798" w:rsidP="0063575E">
      <w:pPr>
        <w:pStyle w:val="EndnoteText"/>
        <w:widowControl w:val="0"/>
        <w:rPr>
          <w:color w:val="000000"/>
          <w:szCs w:val="22"/>
          <w:lang w:val="bg-BG"/>
        </w:rPr>
      </w:pPr>
      <w:r w:rsidRPr="00FE6AC6">
        <w:rPr>
          <w:color w:val="000000"/>
          <w:szCs w:val="22"/>
          <w:lang w:val="bg-BG"/>
        </w:rPr>
        <w:t xml:space="preserve">Въз основа на сборен популационен фармакокинетичен анализ при педиатрични пациенти с хематологични заболявания (ХМЛ, </w:t>
      </w:r>
      <w:r w:rsidRPr="00FE6AC6">
        <w:rPr>
          <w:color w:val="000000"/>
          <w:szCs w:val="22"/>
        </w:rPr>
        <w:t>Ph</w:t>
      </w:r>
      <w:r w:rsidRPr="00FE6AC6">
        <w:rPr>
          <w:color w:val="000000"/>
          <w:szCs w:val="22"/>
          <w:lang w:val="bg-BG"/>
        </w:rPr>
        <w:t xml:space="preserve">+ОЛЛ или други хематологични заболявания лекувани с иматиниб), клирънсът на иматиниб се увеличава с увеличаване на телесната повърхност. </w:t>
      </w:r>
      <w:r w:rsidR="009F72D8" w:rsidRPr="00FE6AC6">
        <w:rPr>
          <w:color w:val="000000"/>
          <w:szCs w:val="22"/>
          <w:lang w:val="bg-BG"/>
        </w:rPr>
        <w:t>След</w:t>
      </w:r>
      <w:r w:rsidRPr="00FE6AC6">
        <w:rPr>
          <w:color w:val="000000"/>
          <w:szCs w:val="22"/>
          <w:lang w:val="bg-BG"/>
        </w:rPr>
        <w:t xml:space="preserve"> коригиране </w:t>
      </w:r>
      <w:r w:rsidR="009F72D8" w:rsidRPr="00FE6AC6">
        <w:rPr>
          <w:color w:val="000000"/>
          <w:szCs w:val="22"/>
          <w:lang w:val="bg-BG"/>
        </w:rPr>
        <w:t>за</w:t>
      </w:r>
      <w:r w:rsidRPr="00FE6AC6">
        <w:rPr>
          <w:color w:val="000000"/>
          <w:szCs w:val="22"/>
          <w:lang w:val="bg-BG"/>
        </w:rPr>
        <w:t xml:space="preserve"> ефекта </w:t>
      </w:r>
      <w:r w:rsidR="009F72D8" w:rsidRPr="00FE6AC6">
        <w:rPr>
          <w:color w:val="000000"/>
          <w:szCs w:val="22"/>
          <w:lang w:val="bg-BG"/>
        </w:rPr>
        <w:t>на</w:t>
      </w:r>
      <w:r w:rsidRPr="00FE6AC6">
        <w:rPr>
          <w:color w:val="000000"/>
          <w:szCs w:val="22"/>
          <w:lang w:val="bg-BG"/>
        </w:rPr>
        <w:t xml:space="preserve"> телесната повърхност останалите демографски показатели като възраст, телесно тегло и индекс на телесна маса нямат клинично значим ефект върху експозицията на иматиниб. Анализът потвърждава, че експозицията на иматиниб при педиатрични пациенти, получаващи 260</w:t>
      </w:r>
      <w:r w:rsidRPr="00FE6AC6">
        <w:rPr>
          <w:color w:val="000000"/>
          <w:szCs w:val="22"/>
        </w:rPr>
        <w:t> mg</w:t>
      </w:r>
      <w:r w:rsidRPr="00FE6AC6">
        <w:rPr>
          <w:color w:val="000000"/>
          <w:szCs w:val="22"/>
          <w:lang w:val="bg-BG"/>
        </w:rPr>
        <w:t>/</w:t>
      </w:r>
      <w:r w:rsidRPr="00FE6AC6">
        <w:rPr>
          <w:color w:val="000000"/>
          <w:szCs w:val="22"/>
        </w:rPr>
        <w:t>m</w:t>
      </w:r>
      <w:r w:rsidRPr="00FE6AC6">
        <w:rPr>
          <w:color w:val="000000"/>
          <w:szCs w:val="22"/>
          <w:vertAlign w:val="superscript"/>
          <w:lang w:val="bg-BG"/>
        </w:rPr>
        <w:t>2</w:t>
      </w:r>
      <w:r w:rsidRPr="00FE6AC6">
        <w:rPr>
          <w:color w:val="000000"/>
          <w:szCs w:val="22"/>
          <w:lang w:val="bg-BG"/>
        </w:rPr>
        <w:t xml:space="preserve"> веднъж дневно (без да се превишават 400</w:t>
      </w:r>
      <w:r w:rsidRPr="00FE6AC6">
        <w:rPr>
          <w:color w:val="000000"/>
          <w:szCs w:val="22"/>
        </w:rPr>
        <w:t> mg</w:t>
      </w:r>
      <w:r w:rsidRPr="00FE6AC6">
        <w:rPr>
          <w:color w:val="000000"/>
          <w:szCs w:val="22"/>
          <w:lang w:val="bg-BG"/>
        </w:rPr>
        <w:t xml:space="preserve"> веднъж дневно) или 340</w:t>
      </w:r>
      <w:r w:rsidRPr="00FE6AC6">
        <w:rPr>
          <w:color w:val="000000"/>
          <w:szCs w:val="22"/>
        </w:rPr>
        <w:t> mg</w:t>
      </w:r>
      <w:r w:rsidRPr="00FE6AC6">
        <w:rPr>
          <w:color w:val="000000"/>
          <w:szCs w:val="22"/>
          <w:lang w:val="bg-BG"/>
        </w:rPr>
        <w:t>/</w:t>
      </w:r>
      <w:r w:rsidRPr="00FE6AC6">
        <w:rPr>
          <w:color w:val="000000"/>
          <w:szCs w:val="22"/>
        </w:rPr>
        <w:t>m</w:t>
      </w:r>
      <w:r w:rsidRPr="00FE6AC6">
        <w:rPr>
          <w:color w:val="000000"/>
          <w:szCs w:val="22"/>
          <w:vertAlign w:val="superscript"/>
          <w:lang w:val="bg-BG"/>
        </w:rPr>
        <w:t>2</w:t>
      </w:r>
      <w:r w:rsidRPr="00FE6AC6">
        <w:rPr>
          <w:color w:val="000000"/>
          <w:szCs w:val="22"/>
          <w:lang w:val="bg-BG"/>
        </w:rPr>
        <w:t xml:space="preserve"> веднъж днево (без да се превишават 600</w:t>
      </w:r>
      <w:r w:rsidRPr="00FE6AC6">
        <w:rPr>
          <w:color w:val="000000"/>
          <w:szCs w:val="22"/>
        </w:rPr>
        <w:t> mg</w:t>
      </w:r>
      <w:r w:rsidRPr="00FE6AC6">
        <w:rPr>
          <w:color w:val="000000"/>
          <w:szCs w:val="22"/>
          <w:lang w:val="bg-BG"/>
        </w:rPr>
        <w:t xml:space="preserve"> веднъж дневно) е подобна на тази при възрастни пациенти, които получават иматиниб 400</w:t>
      </w:r>
      <w:r w:rsidRPr="00FE6AC6">
        <w:rPr>
          <w:color w:val="000000"/>
          <w:szCs w:val="22"/>
        </w:rPr>
        <w:t> mg</w:t>
      </w:r>
      <w:r w:rsidRPr="00FE6AC6">
        <w:rPr>
          <w:color w:val="000000"/>
          <w:szCs w:val="22"/>
          <w:lang w:val="bg-BG"/>
        </w:rPr>
        <w:t xml:space="preserve"> или 600</w:t>
      </w:r>
      <w:r w:rsidRPr="00FE6AC6">
        <w:rPr>
          <w:color w:val="000000"/>
          <w:szCs w:val="22"/>
        </w:rPr>
        <w:t> mg</w:t>
      </w:r>
      <w:r w:rsidRPr="00FE6AC6">
        <w:rPr>
          <w:color w:val="000000"/>
          <w:szCs w:val="22"/>
          <w:lang w:val="bg-BG"/>
        </w:rPr>
        <w:t xml:space="preserve"> веднъж дневно.</w:t>
      </w:r>
    </w:p>
    <w:p w14:paraId="3E550075" w14:textId="77777777" w:rsidR="001636FA" w:rsidRPr="00FE6AC6" w:rsidRDefault="001636FA" w:rsidP="0063575E">
      <w:pPr>
        <w:widowControl w:val="0"/>
        <w:spacing w:line="240" w:lineRule="auto"/>
        <w:rPr>
          <w:color w:val="000000"/>
          <w:lang w:val="bg-BG"/>
        </w:rPr>
      </w:pPr>
    </w:p>
    <w:p w14:paraId="3E550076" w14:textId="77777777" w:rsidR="001636FA" w:rsidRPr="00FE6AC6" w:rsidRDefault="001636FA" w:rsidP="0063575E">
      <w:pPr>
        <w:keepNext/>
        <w:widowControl w:val="0"/>
        <w:spacing w:line="240" w:lineRule="auto"/>
        <w:rPr>
          <w:color w:val="000000"/>
          <w:u w:val="single"/>
          <w:lang w:val="bg-BG"/>
        </w:rPr>
      </w:pPr>
      <w:r w:rsidRPr="00FE6AC6">
        <w:rPr>
          <w:color w:val="000000"/>
          <w:u w:val="single"/>
          <w:lang w:val="bg-BG"/>
        </w:rPr>
        <w:t>Нарушена органна функция</w:t>
      </w:r>
    </w:p>
    <w:p w14:paraId="3E550077" w14:textId="77777777" w:rsidR="008E65E6" w:rsidRPr="00FE6AC6" w:rsidRDefault="001636FA" w:rsidP="0063575E">
      <w:pPr>
        <w:pStyle w:val="EndnoteText"/>
        <w:widowControl w:val="0"/>
        <w:tabs>
          <w:tab w:val="clear" w:pos="567"/>
        </w:tabs>
        <w:rPr>
          <w:color w:val="000000"/>
          <w:lang w:val="bg-BG"/>
        </w:rPr>
      </w:pPr>
      <w:r w:rsidRPr="00FE6AC6">
        <w:rPr>
          <w:color w:val="000000"/>
          <w:lang w:val="bg-BG"/>
        </w:rPr>
        <w:t>Иматиниб и неговите метаболити</w:t>
      </w:r>
      <w:r w:rsidRPr="00FE6AC6">
        <w:rPr>
          <w:b/>
          <w:color w:val="000000"/>
          <w:lang w:val="bg-BG"/>
        </w:rPr>
        <w:t xml:space="preserve"> </w:t>
      </w:r>
      <w:r w:rsidRPr="00FE6AC6">
        <w:rPr>
          <w:color w:val="000000"/>
          <w:lang w:val="bg-BG"/>
        </w:rPr>
        <w:t xml:space="preserve">не се отделят в значителна степен през бъбреците. </w:t>
      </w:r>
      <w:r w:rsidR="003D39B2" w:rsidRPr="00FE6AC6">
        <w:rPr>
          <w:color w:val="000000"/>
          <w:lang w:val="bg-BG"/>
        </w:rPr>
        <w:t xml:space="preserve">Пациентите с леко до умерено нарушение на бъбречната функция показват по-висока плазмена експозиция </w:t>
      </w:r>
      <w:r w:rsidR="00E27AF3" w:rsidRPr="00FE6AC6">
        <w:rPr>
          <w:color w:val="000000"/>
          <w:lang w:val="bg-BG"/>
        </w:rPr>
        <w:t xml:space="preserve">на иматиниб, </w:t>
      </w:r>
      <w:r w:rsidR="003D39B2" w:rsidRPr="00FE6AC6">
        <w:rPr>
          <w:color w:val="000000"/>
          <w:lang w:val="bg-BG"/>
        </w:rPr>
        <w:t>отколкото при пациентите с нормална бъбречна функция</w:t>
      </w:r>
      <w:r w:rsidR="008E65E6" w:rsidRPr="00FE6AC6">
        <w:rPr>
          <w:color w:val="000000"/>
          <w:lang w:val="bg-BG"/>
        </w:rPr>
        <w:t xml:space="preserve">. </w:t>
      </w:r>
      <w:r w:rsidR="003D39B2" w:rsidRPr="00FE6AC6">
        <w:rPr>
          <w:color w:val="000000"/>
          <w:lang w:val="bg-BG"/>
        </w:rPr>
        <w:t>Повишението е приблизително</w:t>
      </w:r>
      <w:r w:rsidR="008E65E6" w:rsidRPr="00FE6AC6">
        <w:rPr>
          <w:color w:val="000000"/>
          <w:lang w:val="bg-BG"/>
        </w:rPr>
        <w:t xml:space="preserve"> 1</w:t>
      </w:r>
      <w:r w:rsidR="003D39B2" w:rsidRPr="00FE6AC6">
        <w:rPr>
          <w:color w:val="000000"/>
          <w:lang w:val="bg-BG"/>
        </w:rPr>
        <w:t>,5- до</w:t>
      </w:r>
      <w:r w:rsidR="008E65E6" w:rsidRPr="00FE6AC6">
        <w:rPr>
          <w:color w:val="000000"/>
          <w:lang w:val="bg-BG"/>
        </w:rPr>
        <w:t xml:space="preserve"> 2-</w:t>
      </w:r>
      <w:r w:rsidR="003D39B2" w:rsidRPr="00FE6AC6">
        <w:rPr>
          <w:color w:val="000000"/>
          <w:lang w:val="bg-BG"/>
        </w:rPr>
        <w:t>пъти</w:t>
      </w:r>
      <w:r w:rsidR="008E65E6" w:rsidRPr="00FE6AC6">
        <w:rPr>
          <w:color w:val="000000"/>
          <w:lang w:val="bg-BG"/>
        </w:rPr>
        <w:t xml:space="preserve">, </w:t>
      </w:r>
      <w:r w:rsidR="006A5423" w:rsidRPr="00FE6AC6">
        <w:rPr>
          <w:color w:val="000000"/>
          <w:lang w:val="bg-BG"/>
        </w:rPr>
        <w:t xml:space="preserve">съответстващо на </w:t>
      </w:r>
      <w:r w:rsidR="008E65E6" w:rsidRPr="00FE6AC6">
        <w:rPr>
          <w:color w:val="000000"/>
          <w:lang w:val="bg-BG"/>
        </w:rPr>
        <w:t>1</w:t>
      </w:r>
      <w:r w:rsidR="006A5423" w:rsidRPr="00FE6AC6">
        <w:rPr>
          <w:color w:val="000000"/>
          <w:lang w:val="bg-BG"/>
        </w:rPr>
        <w:t>,</w:t>
      </w:r>
      <w:r w:rsidR="008E65E6" w:rsidRPr="00FE6AC6">
        <w:rPr>
          <w:color w:val="000000"/>
          <w:lang w:val="bg-BG"/>
        </w:rPr>
        <w:t>5-</w:t>
      </w:r>
      <w:r w:rsidR="006A5423" w:rsidRPr="00FE6AC6">
        <w:rPr>
          <w:color w:val="000000"/>
          <w:lang w:val="bg-BG"/>
        </w:rPr>
        <w:t>кратно</w:t>
      </w:r>
      <w:r w:rsidR="008E65E6" w:rsidRPr="00FE6AC6">
        <w:rPr>
          <w:color w:val="000000"/>
          <w:lang w:val="bg-BG"/>
        </w:rPr>
        <w:t xml:space="preserve"> </w:t>
      </w:r>
      <w:r w:rsidR="006A5423" w:rsidRPr="00FE6AC6">
        <w:rPr>
          <w:color w:val="000000"/>
          <w:lang w:val="bg-BG"/>
        </w:rPr>
        <w:t xml:space="preserve">увеличение на плазмения </w:t>
      </w:r>
      <w:r w:rsidR="008E65E6" w:rsidRPr="00FE6AC6">
        <w:rPr>
          <w:color w:val="000000"/>
        </w:rPr>
        <w:t>AGP</w:t>
      </w:r>
      <w:r w:rsidR="008E65E6" w:rsidRPr="00FE6AC6">
        <w:rPr>
          <w:color w:val="000000"/>
          <w:lang w:val="bg-BG"/>
        </w:rPr>
        <w:t xml:space="preserve">, </w:t>
      </w:r>
      <w:r w:rsidR="006A5423" w:rsidRPr="00FE6AC6">
        <w:rPr>
          <w:color w:val="000000"/>
          <w:lang w:val="bg-BG"/>
        </w:rPr>
        <w:t>към който иматиниб се свързва в голяма степен</w:t>
      </w:r>
      <w:r w:rsidR="008E65E6" w:rsidRPr="00FE6AC6">
        <w:rPr>
          <w:color w:val="000000"/>
          <w:lang w:val="bg-BG"/>
        </w:rPr>
        <w:t xml:space="preserve">. </w:t>
      </w:r>
      <w:r w:rsidR="004A2F4C" w:rsidRPr="00FE6AC6">
        <w:rPr>
          <w:color w:val="000000"/>
          <w:lang w:val="bg-BG"/>
        </w:rPr>
        <w:t xml:space="preserve">Клирънсът на свободния иматиниб е </w:t>
      </w:r>
      <w:r w:rsidR="00FF1040" w:rsidRPr="00FE6AC6">
        <w:rPr>
          <w:color w:val="000000"/>
          <w:lang w:val="bg-BG"/>
        </w:rPr>
        <w:t>вероятно подобен при пациентите с бъбречно нарушение</w:t>
      </w:r>
      <w:r w:rsidR="008E65E6" w:rsidRPr="00FE6AC6">
        <w:rPr>
          <w:color w:val="000000"/>
          <w:lang w:val="bg-BG"/>
        </w:rPr>
        <w:t xml:space="preserve"> </w:t>
      </w:r>
      <w:r w:rsidR="006D5353" w:rsidRPr="00FE6AC6">
        <w:rPr>
          <w:color w:val="000000"/>
          <w:lang w:val="bg-BG"/>
        </w:rPr>
        <w:t>и</w:t>
      </w:r>
      <w:r w:rsidR="008E65E6" w:rsidRPr="00FE6AC6">
        <w:rPr>
          <w:color w:val="000000"/>
          <w:lang w:val="bg-BG"/>
        </w:rPr>
        <w:t xml:space="preserve"> </w:t>
      </w:r>
      <w:r w:rsidR="00FF1040" w:rsidRPr="00FE6AC6">
        <w:rPr>
          <w:color w:val="000000"/>
          <w:lang w:val="bg-BG"/>
        </w:rPr>
        <w:t>тези с нормална бъбречна функция</w:t>
      </w:r>
      <w:r w:rsidR="008E65E6" w:rsidRPr="00FE6AC6">
        <w:rPr>
          <w:color w:val="000000"/>
          <w:lang w:val="bg-BG"/>
        </w:rPr>
        <w:t xml:space="preserve">, </w:t>
      </w:r>
      <w:r w:rsidR="00FF1040" w:rsidRPr="00FE6AC6">
        <w:rPr>
          <w:color w:val="000000"/>
          <w:lang w:val="bg-BG"/>
        </w:rPr>
        <w:t>тъй като бъбречната екскреция представлява само мал</w:t>
      </w:r>
      <w:r w:rsidR="00E27AF3" w:rsidRPr="00FE6AC6">
        <w:rPr>
          <w:color w:val="000000"/>
          <w:lang w:val="bg-BG"/>
        </w:rPr>
        <w:t>ка част от пътя</w:t>
      </w:r>
      <w:r w:rsidR="00FF1040" w:rsidRPr="00FE6AC6">
        <w:rPr>
          <w:color w:val="000000"/>
          <w:lang w:val="bg-BG"/>
        </w:rPr>
        <w:t xml:space="preserve"> на елиминиране на иматиниб</w:t>
      </w:r>
      <w:r w:rsidR="008E65E6" w:rsidRPr="00FE6AC6">
        <w:rPr>
          <w:color w:val="000000"/>
          <w:lang w:val="bg-BG"/>
        </w:rPr>
        <w:t xml:space="preserve"> (</w:t>
      </w:r>
      <w:r w:rsidR="00FF1040" w:rsidRPr="00FE6AC6">
        <w:rPr>
          <w:color w:val="000000"/>
          <w:lang w:val="bg-BG"/>
        </w:rPr>
        <w:t>вж. точка</w:t>
      </w:r>
      <w:r w:rsidR="008E65E6" w:rsidRPr="00FE6AC6">
        <w:rPr>
          <w:color w:val="000000"/>
          <w:lang w:val="bg-BG"/>
        </w:rPr>
        <w:t xml:space="preserve"> 4.2</w:t>
      </w:r>
      <w:r w:rsidR="00E61423" w:rsidRPr="00FE6AC6">
        <w:rPr>
          <w:color w:val="000000"/>
          <w:lang w:val="bg-BG"/>
        </w:rPr>
        <w:t> </w:t>
      </w:r>
      <w:r w:rsidR="006D5353" w:rsidRPr="00FE6AC6">
        <w:rPr>
          <w:color w:val="000000"/>
          <w:lang w:val="bg-BG"/>
        </w:rPr>
        <w:t>и</w:t>
      </w:r>
      <w:r w:rsidR="008E65E6" w:rsidRPr="00FE6AC6">
        <w:rPr>
          <w:color w:val="000000"/>
          <w:lang w:val="bg-BG"/>
        </w:rPr>
        <w:t xml:space="preserve"> 4.4).</w:t>
      </w:r>
    </w:p>
    <w:p w14:paraId="3E550078" w14:textId="77777777" w:rsidR="008E65E6" w:rsidRPr="00FE6AC6" w:rsidRDefault="008E65E6" w:rsidP="0063575E">
      <w:pPr>
        <w:widowControl w:val="0"/>
        <w:spacing w:line="240" w:lineRule="auto"/>
        <w:rPr>
          <w:color w:val="000000"/>
          <w:lang w:val="bg-BG"/>
        </w:rPr>
      </w:pPr>
    </w:p>
    <w:p w14:paraId="3E550079" w14:textId="77777777" w:rsidR="001636FA" w:rsidRPr="00FE6AC6" w:rsidRDefault="001636FA" w:rsidP="0063575E">
      <w:pPr>
        <w:widowControl w:val="0"/>
        <w:spacing w:line="240" w:lineRule="auto"/>
        <w:rPr>
          <w:color w:val="000000"/>
          <w:lang w:val="bg-BG"/>
        </w:rPr>
      </w:pPr>
      <w:r w:rsidRPr="00FE6AC6">
        <w:rPr>
          <w:color w:val="000000"/>
          <w:lang w:val="bg-BG"/>
        </w:rPr>
        <w:t>Въпреки че резултатите от фармакокинетичния анализ показват съществуването на значимо индивидуално вариране, средната експозиция на иматиниб не се повишава при пациенти с различни по степен нарушения на чернодробната функция</w:t>
      </w:r>
      <w:r w:rsidR="00E27AF3" w:rsidRPr="00FE6AC6">
        <w:rPr>
          <w:color w:val="000000"/>
          <w:lang w:val="bg-BG"/>
        </w:rPr>
        <w:t>,</w:t>
      </w:r>
      <w:r w:rsidRPr="00FE6AC6">
        <w:rPr>
          <w:color w:val="000000"/>
          <w:lang w:val="bg-BG"/>
        </w:rPr>
        <w:t xml:space="preserve"> в сравнение с </w:t>
      </w:r>
      <w:r w:rsidR="00E27AF3" w:rsidRPr="00FE6AC6">
        <w:rPr>
          <w:color w:val="000000"/>
          <w:lang w:val="bg-BG"/>
        </w:rPr>
        <w:t xml:space="preserve">тези с </w:t>
      </w:r>
      <w:r w:rsidRPr="00FE6AC6">
        <w:rPr>
          <w:color w:val="000000"/>
          <w:lang w:val="bg-BG"/>
        </w:rPr>
        <w:t>нормална чернодробна функция (вж. точки</w:t>
      </w:r>
      <w:r w:rsidRPr="00FE6AC6">
        <w:rPr>
          <w:color w:val="000000"/>
          <w:lang w:val="en-US"/>
        </w:rPr>
        <w:t> </w:t>
      </w:r>
      <w:r w:rsidRPr="00FE6AC6">
        <w:rPr>
          <w:color w:val="000000"/>
          <w:lang w:val="bg-BG"/>
        </w:rPr>
        <w:t>4.2, 4.4 и 4.8).</w:t>
      </w:r>
    </w:p>
    <w:p w14:paraId="3E55007A" w14:textId="77777777" w:rsidR="001636FA" w:rsidRPr="00FE6AC6" w:rsidRDefault="001636FA" w:rsidP="0063575E">
      <w:pPr>
        <w:widowControl w:val="0"/>
        <w:spacing w:line="240" w:lineRule="auto"/>
        <w:rPr>
          <w:color w:val="000000"/>
          <w:lang w:val="bg-BG"/>
        </w:rPr>
      </w:pPr>
    </w:p>
    <w:p w14:paraId="3E55007B" w14:textId="77777777" w:rsidR="001636FA" w:rsidRPr="00FE6AC6" w:rsidRDefault="001636FA" w:rsidP="0063575E">
      <w:pPr>
        <w:keepNext/>
        <w:widowControl w:val="0"/>
        <w:spacing w:line="240" w:lineRule="auto"/>
        <w:rPr>
          <w:color w:val="000000"/>
          <w:lang w:val="bg-BG"/>
        </w:rPr>
      </w:pPr>
      <w:r w:rsidRPr="00FE6AC6">
        <w:rPr>
          <w:b/>
          <w:color w:val="000000"/>
          <w:lang w:val="bg-BG"/>
        </w:rPr>
        <w:t>5.3</w:t>
      </w:r>
      <w:r w:rsidRPr="00FE6AC6">
        <w:rPr>
          <w:b/>
          <w:color w:val="000000"/>
          <w:lang w:val="bg-BG"/>
        </w:rPr>
        <w:tab/>
        <w:t>Предклинични данни за безопасност</w:t>
      </w:r>
    </w:p>
    <w:p w14:paraId="3E55007C" w14:textId="77777777" w:rsidR="001636FA" w:rsidRPr="00FE6AC6" w:rsidRDefault="001636FA" w:rsidP="0063575E">
      <w:pPr>
        <w:keepNext/>
        <w:widowControl w:val="0"/>
        <w:spacing w:line="240" w:lineRule="auto"/>
        <w:rPr>
          <w:color w:val="000000"/>
          <w:lang w:val="bg-BG"/>
        </w:rPr>
      </w:pPr>
    </w:p>
    <w:p w14:paraId="3E55007D" w14:textId="77777777" w:rsidR="001636FA" w:rsidRPr="00FE6AC6" w:rsidRDefault="001636FA" w:rsidP="0063575E">
      <w:pPr>
        <w:widowControl w:val="0"/>
        <w:spacing w:line="240" w:lineRule="auto"/>
        <w:rPr>
          <w:color w:val="000000"/>
          <w:lang w:val="bg-BG"/>
        </w:rPr>
      </w:pPr>
      <w:r w:rsidRPr="00FE6AC6">
        <w:rPr>
          <w:color w:val="000000"/>
          <w:lang w:val="bg-BG"/>
        </w:rPr>
        <w:t>Предклиничният профил на безопасност на иматиниб е оценен при кучетата, плъхове, маймуни и зайци.</w:t>
      </w:r>
    </w:p>
    <w:p w14:paraId="3E55007E" w14:textId="77777777" w:rsidR="001636FA" w:rsidRPr="00FE6AC6" w:rsidRDefault="001636FA" w:rsidP="0063575E">
      <w:pPr>
        <w:widowControl w:val="0"/>
        <w:spacing w:line="240" w:lineRule="auto"/>
        <w:rPr>
          <w:color w:val="000000"/>
          <w:lang w:val="bg-BG"/>
        </w:rPr>
      </w:pPr>
    </w:p>
    <w:p w14:paraId="3E55007F" w14:textId="77777777" w:rsidR="001636FA" w:rsidRPr="00FE6AC6" w:rsidRDefault="001636FA" w:rsidP="0063575E">
      <w:pPr>
        <w:widowControl w:val="0"/>
        <w:spacing w:line="240" w:lineRule="auto"/>
        <w:rPr>
          <w:color w:val="000000"/>
          <w:lang w:val="bg-BG"/>
        </w:rPr>
      </w:pPr>
      <w:r w:rsidRPr="00FE6AC6">
        <w:rPr>
          <w:color w:val="000000"/>
          <w:lang w:val="bg-BG"/>
        </w:rPr>
        <w:t>Проучванията за токсичност при многократно приложение показват леки до умерени хематологични промени при плъхове, кучета и маймуни, съпроводени с промени в костния мозък при кучета и плъхове.</w:t>
      </w:r>
    </w:p>
    <w:p w14:paraId="3E550080" w14:textId="77777777" w:rsidR="001636FA" w:rsidRPr="00FE6AC6" w:rsidRDefault="001636FA" w:rsidP="0063575E">
      <w:pPr>
        <w:widowControl w:val="0"/>
        <w:spacing w:line="240" w:lineRule="auto"/>
        <w:rPr>
          <w:color w:val="000000"/>
          <w:lang w:val="bg-BG"/>
        </w:rPr>
      </w:pPr>
    </w:p>
    <w:p w14:paraId="3E550081" w14:textId="77777777" w:rsidR="001636FA" w:rsidRPr="00FE6AC6" w:rsidRDefault="001636FA" w:rsidP="0063575E">
      <w:pPr>
        <w:widowControl w:val="0"/>
        <w:spacing w:line="240" w:lineRule="auto"/>
        <w:rPr>
          <w:color w:val="000000"/>
          <w:lang w:val="bg-BG"/>
        </w:rPr>
      </w:pPr>
      <w:r w:rsidRPr="00FE6AC6">
        <w:rPr>
          <w:color w:val="000000"/>
          <w:lang w:val="bg-BG"/>
        </w:rPr>
        <w:t>Черният дроб е прицелния орган при плъхове и кучета. При двата вида се наблюдават леки до умерени повишения на нивата на трансаминазите и леко понижение на холестерола, триглицеридите, общия белтък и албумина. В черен дроб на плъхове не се откриват никакви хистопатологични промени. Тежка чернодробна токсичност се наблюдава след двуседмично третиране на кучета, с повишаване на чернодробните ензими, некроза на хепатоцитите, некроза и хиперплазия на жлъчните пътища.</w:t>
      </w:r>
    </w:p>
    <w:p w14:paraId="3E550082" w14:textId="77777777" w:rsidR="001636FA" w:rsidRPr="00FE6AC6" w:rsidRDefault="001636FA" w:rsidP="0063575E">
      <w:pPr>
        <w:widowControl w:val="0"/>
        <w:spacing w:line="240" w:lineRule="auto"/>
        <w:rPr>
          <w:color w:val="000000"/>
          <w:lang w:val="bg-BG"/>
        </w:rPr>
      </w:pPr>
    </w:p>
    <w:p w14:paraId="3E550083" w14:textId="77777777" w:rsidR="001636FA" w:rsidRPr="00FE6AC6" w:rsidRDefault="001636FA" w:rsidP="0063575E">
      <w:pPr>
        <w:widowControl w:val="0"/>
        <w:spacing w:line="240" w:lineRule="auto"/>
        <w:rPr>
          <w:color w:val="000000"/>
          <w:lang w:val="bg-BG"/>
        </w:rPr>
      </w:pPr>
      <w:r w:rsidRPr="00FE6AC6">
        <w:rPr>
          <w:color w:val="000000"/>
          <w:lang w:val="bg-BG"/>
        </w:rPr>
        <w:t>При маймуни, третирани в продължение на 2 седмици, се наблюдава бъбречна токсичност, изразяваща се с фокална минерализация и дилатация на бъбречните каналчета и тубулна нефроза. При някои от тези животни се наблюдава повишаване на серумните урея и креатинин. При 13 седмично проучване на плъхове се наблюдава хиперплазия на преходния епител в бъбречната папила и на пикочния мехур при доза от 6 mg/kg без промени в серумните и уринните параметри. При хронично прилагане на иматиниб се наблюдава повишена честота на опортюнистичните инфекции.</w:t>
      </w:r>
    </w:p>
    <w:p w14:paraId="3E550084" w14:textId="77777777" w:rsidR="001636FA" w:rsidRPr="00FE6AC6" w:rsidRDefault="001636FA" w:rsidP="0063575E">
      <w:pPr>
        <w:widowControl w:val="0"/>
        <w:spacing w:line="240" w:lineRule="auto"/>
        <w:rPr>
          <w:color w:val="000000"/>
          <w:lang w:val="bg-BG"/>
        </w:rPr>
      </w:pPr>
    </w:p>
    <w:p w14:paraId="3E550085" w14:textId="77777777" w:rsidR="001636FA" w:rsidRPr="00FE6AC6" w:rsidRDefault="001636FA" w:rsidP="0063575E">
      <w:pPr>
        <w:widowControl w:val="0"/>
        <w:spacing w:line="240" w:lineRule="auto"/>
        <w:rPr>
          <w:color w:val="000000"/>
          <w:lang w:val="bg-BG"/>
        </w:rPr>
      </w:pPr>
      <w:r w:rsidRPr="00FE6AC6">
        <w:rPr>
          <w:color w:val="000000"/>
          <w:lang w:val="bg-BG"/>
        </w:rPr>
        <w:t>При 39 седмично проучване при маймуни, e установено ниво на липса на нежелани реакции при най-ниската доза от 15 mg/kg, което е приблизително една трета от максималната доза при хора от 800 mg</w:t>
      </w:r>
      <w:r w:rsidR="00E27AF3" w:rsidRPr="00FE6AC6">
        <w:rPr>
          <w:color w:val="000000"/>
          <w:lang w:val="bg-BG"/>
        </w:rPr>
        <w:t>,</w:t>
      </w:r>
      <w:r w:rsidRPr="00FE6AC6">
        <w:rPr>
          <w:color w:val="000000"/>
          <w:lang w:val="bg-BG"/>
        </w:rPr>
        <w:t xml:space="preserve"> според повърхността на тялото. Лечението води до влошаване на нормално потиснатите маларийни инфекции при тези животни.</w:t>
      </w:r>
    </w:p>
    <w:p w14:paraId="3E550086" w14:textId="77777777" w:rsidR="001636FA" w:rsidRPr="00FE6AC6" w:rsidRDefault="001636FA" w:rsidP="0063575E">
      <w:pPr>
        <w:widowControl w:val="0"/>
        <w:spacing w:line="240" w:lineRule="auto"/>
        <w:rPr>
          <w:color w:val="000000"/>
          <w:lang w:val="bg-BG"/>
        </w:rPr>
      </w:pPr>
    </w:p>
    <w:p w14:paraId="3E550087" w14:textId="77777777" w:rsidR="001636FA" w:rsidRPr="00FE6AC6" w:rsidRDefault="001636FA" w:rsidP="0063575E">
      <w:pPr>
        <w:widowControl w:val="0"/>
        <w:spacing w:line="240" w:lineRule="auto"/>
        <w:rPr>
          <w:color w:val="000000"/>
          <w:lang w:val="bg-BG"/>
        </w:rPr>
      </w:pPr>
      <w:r w:rsidRPr="00FE6AC6">
        <w:rPr>
          <w:color w:val="000000"/>
          <w:lang w:val="bg-BG"/>
        </w:rPr>
        <w:t xml:space="preserve">Иматиниб не показва генотоксичност при изследването му </w:t>
      </w:r>
      <w:r w:rsidRPr="00FE6AC6">
        <w:rPr>
          <w:i/>
          <w:color w:val="000000"/>
          <w:lang w:val="bg-BG"/>
        </w:rPr>
        <w:t>in vitro</w:t>
      </w:r>
      <w:r w:rsidRPr="00FE6AC6">
        <w:rPr>
          <w:color w:val="000000"/>
          <w:lang w:val="bg-BG"/>
        </w:rPr>
        <w:t xml:space="preserve"> върху бактериална клетъчна култура (тест на Ames), </w:t>
      </w:r>
      <w:r w:rsidRPr="00FE6AC6">
        <w:rPr>
          <w:i/>
          <w:color w:val="000000"/>
          <w:lang w:val="bg-BG"/>
        </w:rPr>
        <w:t xml:space="preserve">in vitro </w:t>
      </w:r>
      <w:r w:rsidRPr="00FE6AC6">
        <w:rPr>
          <w:color w:val="000000"/>
          <w:lang w:val="bg-BG"/>
        </w:rPr>
        <w:t>върху клетъчна култура от</w:t>
      </w:r>
      <w:r w:rsidR="00D81E31" w:rsidRPr="00FE6AC6">
        <w:rPr>
          <w:color w:val="000000"/>
          <w:lang w:val="bg-BG"/>
        </w:rPr>
        <w:t xml:space="preserve"> бозайници (лимфом при мишки), както и</w:t>
      </w:r>
      <w:r w:rsidRPr="00FE6AC6">
        <w:rPr>
          <w:i/>
          <w:color w:val="000000"/>
          <w:lang w:val="bg-BG"/>
        </w:rPr>
        <w:t xml:space="preserve"> in vivo </w:t>
      </w:r>
      <w:r w:rsidRPr="00FE6AC6">
        <w:rPr>
          <w:color w:val="000000"/>
          <w:lang w:val="bg-BG"/>
        </w:rPr>
        <w:t xml:space="preserve">при микронуклеарен тест при плъхове. Положителни генотоксични ефекти за кластотоксичност (хромозомни аберации) при иматиниб се наблюдават </w:t>
      </w:r>
      <w:r w:rsidRPr="00FE6AC6">
        <w:rPr>
          <w:i/>
          <w:color w:val="000000"/>
          <w:lang w:val="bg-BG"/>
        </w:rPr>
        <w:t xml:space="preserve">in vitro </w:t>
      </w:r>
      <w:r w:rsidRPr="00FE6AC6">
        <w:rPr>
          <w:color w:val="000000"/>
          <w:lang w:val="bg-BG"/>
        </w:rPr>
        <w:t>върху клетъчна култура от бозайници (яйчник от Китайски хамстер)</w:t>
      </w:r>
      <w:r w:rsidR="00D81E31" w:rsidRPr="00FE6AC6">
        <w:rPr>
          <w:color w:val="000000"/>
          <w:lang w:val="bg-BG"/>
        </w:rPr>
        <w:t>,</w:t>
      </w:r>
      <w:r w:rsidRPr="00FE6AC6">
        <w:rPr>
          <w:color w:val="000000"/>
          <w:lang w:val="bg-BG"/>
        </w:rPr>
        <w:t xml:space="preserve"> в присъствието на метаболитна активация. Още два междинни продукта от производствения процес, които се намират и в крайния лекарствен продукт, дават положителен тест на Ames за мутации. Единият от тези междинни продукти се позитивира също при пробата от миши лимфом.</w:t>
      </w:r>
    </w:p>
    <w:p w14:paraId="3E550088" w14:textId="77777777" w:rsidR="001636FA" w:rsidRPr="00FE6AC6" w:rsidRDefault="001636FA" w:rsidP="0063575E">
      <w:pPr>
        <w:widowControl w:val="0"/>
        <w:spacing w:line="240" w:lineRule="auto"/>
        <w:rPr>
          <w:color w:val="000000"/>
          <w:lang w:val="bg-BG"/>
        </w:rPr>
      </w:pPr>
    </w:p>
    <w:p w14:paraId="3E550089" w14:textId="77777777" w:rsidR="001636FA" w:rsidRPr="00FE6AC6" w:rsidRDefault="001636FA" w:rsidP="0063575E">
      <w:pPr>
        <w:widowControl w:val="0"/>
        <w:spacing w:line="240" w:lineRule="auto"/>
        <w:rPr>
          <w:color w:val="000000"/>
          <w:lang w:val="bg-BG"/>
        </w:rPr>
      </w:pPr>
      <w:r w:rsidRPr="00FE6AC6">
        <w:rPr>
          <w:color w:val="000000"/>
          <w:lang w:val="bg-BG"/>
        </w:rPr>
        <w:t>При проучване за изследване на плодовитостта при мъжки плъхове, третирани с иматиниб в продължение на 70 дни преди чифтосването се наблюдава намаляване на теглото на тестисите и епидидимите и процента на подвижните сперматозоидите при доза от 60 mg/kg, която е приблизително равна на максималната клинична доза от 800 mg/kg, отнесена към повърхността на тялото.Това не се наблюдава при доза ≤20 mg/kg. Редукция на сперматогенезата в лека до умерена степен се наблюдава и при кучета при перорална доза от ≥30 </w:t>
      </w:r>
      <w:r w:rsidRPr="00FE6AC6">
        <w:rPr>
          <w:color w:val="000000"/>
          <w:lang w:val="en-US"/>
        </w:rPr>
        <w:t>mg</w:t>
      </w:r>
      <w:r w:rsidRPr="00FE6AC6">
        <w:rPr>
          <w:color w:val="000000"/>
          <w:lang w:val="bg-BG"/>
        </w:rPr>
        <w:t>/</w:t>
      </w:r>
      <w:r w:rsidRPr="00FE6AC6">
        <w:rPr>
          <w:color w:val="000000"/>
          <w:lang w:val="en-US"/>
        </w:rPr>
        <w:t>kg</w:t>
      </w:r>
      <w:r w:rsidRPr="00FE6AC6">
        <w:rPr>
          <w:color w:val="000000"/>
          <w:lang w:val="bg-BG"/>
        </w:rPr>
        <w:t>. При женски плъхове, които са третирани с лекарството 14 дни преди чифтосв</w:t>
      </w:r>
      <w:r w:rsidR="00D81E31" w:rsidRPr="00FE6AC6">
        <w:rPr>
          <w:color w:val="000000"/>
          <w:lang w:val="bg-BG"/>
        </w:rPr>
        <w:t>ането до 6-ия</w:t>
      </w:r>
      <w:r w:rsidRPr="00FE6AC6">
        <w:rPr>
          <w:color w:val="000000"/>
          <w:lang w:val="en-US"/>
        </w:rPr>
        <w:t> </w:t>
      </w:r>
      <w:r w:rsidRPr="00FE6AC6">
        <w:rPr>
          <w:color w:val="000000"/>
          <w:lang w:val="bg-BG"/>
        </w:rPr>
        <w:t>гестационен ден, не се наблюдава ефект върху куполативната способност или върху броя на бременните женски. При доза от 60 mg/kg женските плъхове имат значителна постимплатационна фетална загуба и намаление на броя на живите плодове. Това не се наблюдава при дози ≤20 mg/kg.</w:t>
      </w:r>
    </w:p>
    <w:p w14:paraId="3E55008A" w14:textId="77777777" w:rsidR="001636FA" w:rsidRPr="00FE6AC6" w:rsidRDefault="001636FA" w:rsidP="0063575E">
      <w:pPr>
        <w:widowControl w:val="0"/>
        <w:spacing w:line="240" w:lineRule="auto"/>
        <w:rPr>
          <w:color w:val="000000"/>
          <w:lang w:val="bg-BG"/>
        </w:rPr>
      </w:pPr>
    </w:p>
    <w:p w14:paraId="3E55008B" w14:textId="77777777" w:rsidR="001636FA" w:rsidRPr="00FE6AC6" w:rsidRDefault="001636FA" w:rsidP="0063575E">
      <w:pPr>
        <w:widowControl w:val="0"/>
        <w:spacing w:line="240" w:lineRule="auto"/>
        <w:rPr>
          <w:color w:val="000000"/>
          <w:lang w:val="bg-BG"/>
        </w:rPr>
      </w:pPr>
      <w:r w:rsidRPr="00FE6AC6">
        <w:rPr>
          <w:color w:val="000000"/>
          <w:lang w:val="bg-BG"/>
        </w:rPr>
        <w:t xml:space="preserve">В проучване </w:t>
      </w:r>
      <w:r w:rsidR="00D81E31" w:rsidRPr="00FE6AC6">
        <w:rPr>
          <w:color w:val="000000"/>
          <w:lang w:val="bg-BG"/>
        </w:rPr>
        <w:t xml:space="preserve">за </w:t>
      </w:r>
      <w:r w:rsidRPr="00FE6AC6">
        <w:rPr>
          <w:color w:val="000000"/>
          <w:lang w:val="bg-BG"/>
        </w:rPr>
        <w:t>влиянието на пероралния прием върху пре- и постнаталното развитие при плъхове се описват вагинални кръвотечения в групата с доза от 45 mg/kg/ден</w:t>
      </w:r>
      <w:r w:rsidR="00D81E31" w:rsidRPr="00FE6AC6">
        <w:rPr>
          <w:color w:val="000000"/>
          <w:lang w:val="bg-BG"/>
        </w:rPr>
        <w:t>,</w:t>
      </w:r>
      <w:r w:rsidRPr="00FE6AC6">
        <w:rPr>
          <w:color w:val="000000"/>
          <w:lang w:val="bg-BG"/>
        </w:rPr>
        <w:t xml:space="preserve"> на 14</w:t>
      </w:r>
      <w:r w:rsidR="00D81E31" w:rsidRPr="00FE6AC6">
        <w:rPr>
          <w:color w:val="000000"/>
          <w:lang w:val="bg-BG"/>
        </w:rPr>
        <w:t>-ия</w:t>
      </w:r>
      <w:r w:rsidRPr="00FE6AC6">
        <w:rPr>
          <w:color w:val="000000"/>
          <w:lang w:val="en-US"/>
        </w:rPr>
        <w:t> </w:t>
      </w:r>
      <w:r w:rsidRPr="00FE6AC6">
        <w:rPr>
          <w:color w:val="000000"/>
          <w:lang w:val="bg-BG"/>
        </w:rPr>
        <w:t>или на 15</w:t>
      </w:r>
      <w:r w:rsidR="00D81E31" w:rsidRPr="00FE6AC6">
        <w:rPr>
          <w:color w:val="000000"/>
          <w:lang w:val="bg-BG"/>
        </w:rPr>
        <w:t>-ия</w:t>
      </w:r>
      <w:r w:rsidRPr="00FE6AC6">
        <w:rPr>
          <w:color w:val="000000"/>
          <w:lang w:val="en-US"/>
        </w:rPr>
        <w:t> </w:t>
      </w:r>
      <w:r w:rsidRPr="00FE6AC6">
        <w:rPr>
          <w:color w:val="000000"/>
          <w:lang w:val="bg-BG"/>
        </w:rPr>
        <w:t>гестационен ден. При същата доза, броят на мъртвородените плъхчета, както и на починалите между 0</w:t>
      </w:r>
      <w:r w:rsidR="00D81E31" w:rsidRPr="00FE6AC6">
        <w:rPr>
          <w:color w:val="000000"/>
          <w:lang w:val="bg-BG"/>
        </w:rPr>
        <w:t>-ия</w:t>
      </w:r>
      <w:r w:rsidRPr="00FE6AC6">
        <w:rPr>
          <w:color w:val="000000"/>
          <w:lang w:val="bg-BG"/>
        </w:rPr>
        <w:t xml:space="preserve"> и 4</w:t>
      </w:r>
      <w:r w:rsidR="00D81E31" w:rsidRPr="00FE6AC6">
        <w:rPr>
          <w:color w:val="000000"/>
          <w:lang w:val="bg-BG"/>
        </w:rPr>
        <w:t>-ия</w:t>
      </w:r>
      <w:r w:rsidRPr="00FE6AC6">
        <w:rPr>
          <w:color w:val="000000"/>
          <w:lang w:val="bg-BG"/>
        </w:rPr>
        <w:t xml:space="preserve"> ден след раждането е повишен. При поколение F</w:t>
      </w:r>
      <w:r w:rsidRPr="00FE6AC6">
        <w:rPr>
          <w:color w:val="000000"/>
          <w:vertAlign w:val="subscript"/>
          <w:lang w:val="bg-BG"/>
        </w:rPr>
        <w:t>1</w:t>
      </w:r>
      <w:r w:rsidRPr="00FE6AC6">
        <w:rPr>
          <w:color w:val="000000"/>
          <w:lang w:val="bg-BG"/>
        </w:rPr>
        <w:t>, при същото дозово ниво, средното телесно тегло е понижено от раждането до смъртта на животните и броят на новородените, достигащи критерий за отделяне е леко понижен. Фертилната способност на поколение F</w:t>
      </w:r>
      <w:r w:rsidRPr="00FE6AC6">
        <w:rPr>
          <w:color w:val="000000"/>
          <w:vertAlign w:val="subscript"/>
          <w:lang w:val="bg-BG"/>
        </w:rPr>
        <w:t>1 </w:t>
      </w:r>
      <w:r w:rsidRPr="00FE6AC6">
        <w:rPr>
          <w:color w:val="000000"/>
          <w:lang w:val="bg-BG"/>
        </w:rPr>
        <w:t>не е засегната, но се забелязва, че е повишен броят на резорбции и е нам</w:t>
      </w:r>
      <w:r w:rsidR="00CF1E7A" w:rsidRPr="00FE6AC6">
        <w:rPr>
          <w:color w:val="000000"/>
          <w:lang w:val="bg-BG"/>
        </w:rPr>
        <w:t>а</w:t>
      </w:r>
      <w:r w:rsidRPr="00FE6AC6">
        <w:rPr>
          <w:color w:val="000000"/>
          <w:lang w:val="bg-BG"/>
        </w:rPr>
        <w:t>лен броят на жизнеспособните плодове при 45 mg/kg/ден. Нивото на липса на нежелани реакции за майките и за поколение F</w:t>
      </w:r>
      <w:r w:rsidRPr="00FE6AC6">
        <w:rPr>
          <w:color w:val="000000"/>
          <w:vertAlign w:val="subscript"/>
          <w:lang w:val="bg-BG"/>
        </w:rPr>
        <w:t>1 </w:t>
      </w:r>
      <w:r w:rsidRPr="00FE6AC6">
        <w:rPr>
          <w:color w:val="000000"/>
          <w:lang w:val="bg-BG"/>
        </w:rPr>
        <w:t>е 15 mg/kg/ден (</w:t>
      </w:r>
      <w:r w:rsidRPr="00FE6AC6">
        <w:rPr>
          <w:color w:val="000000"/>
          <w:lang w:val="en-US"/>
        </w:rPr>
        <w:t>e</w:t>
      </w:r>
      <w:r w:rsidRPr="00FE6AC6">
        <w:rPr>
          <w:color w:val="000000"/>
          <w:lang w:val="bg-BG"/>
        </w:rPr>
        <w:t>дна четвърт от максималната доза за хора от 800 mg).</w:t>
      </w:r>
    </w:p>
    <w:p w14:paraId="3E55008C" w14:textId="77777777" w:rsidR="001636FA" w:rsidRPr="00FE6AC6" w:rsidRDefault="001636FA" w:rsidP="0063575E">
      <w:pPr>
        <w:widowControl w:val="0"/>
        <w:spacing w:line="240" w:lineRule="auto"/>
        <w:rPr>
          <w:color w:val="000000"/>
          <w:lang w:val="bg-BG"/>
        </w:rPr>
      </w:pPr>
    </w:p>
    <w:p w14:paraId="3E55008D" w14:textId="77777777" w:rsidR="001636FA" w:rsidRPr="00FE6AC6" w:rsidRDefault="001636FA" w:rsidP="0063575E">
      <w:pPr>
        <w:widowControl w:val="0"/>
        <w:spacing w:line="240" w:lineRule="auto"/>
        <w:rPr>
          <w:color w:val="000000"/>
          <w:lang w:val="bg-BG"/>
        </w:rPr>
      </w:pPr>
      <w:r w:rsidRPr="00FE6AC6">
        <w:rPr>
          <w:color w:val="000000"/>
          <w:lang w:val="bg-BG"/>
        </w:rPr>
        <w:t>Иматиниб е тератогенен за плъхове, когато се прилага по време на органогенезата в дози ≥100 mg/kg, които са приблизително равни на максималната клинична доза от 800 mg/ден, отнесена към повърхността на тялото. Тератогенните ефекти се изразяват в екзенцефалия или енцефалоцеле, липсващи/редуцирани фронтални и липсващи париетални кости. Тези ефекти не се наблюдават при дози ≤30 mg/kg.</w:t>
      </w:r>
    </w:p>
    <w:p w14:paraId="3E55008E" w14:textId="77777777" w:rsidR="004670DB" w:rsidRPr="00FE6AC6" w:rsidRDefault="004670DB" w:rsidP="0063575E">
      <w:pPr>
        <w:widowControl w:val="0"/>
        <w:tabs>
          <w:tab w:val="clear" w:pos="567"/>
        </w:tabs>
        <w:spacing w:line="240" w:lineRule="auto"/>
        <w:rPr>
          <w:color w:val="000000"/>
          <w:szCs w:val="22"/>
          <w:lang w:val="bg-BG"/>
        </w:rPr>
      </w:pPr>
    </w:p>
    <w:p w14:paraId="3E55008F" w14:textId="77777777" w:rsidR="004670DB" w:rsidRPr="00FE6AC6" w:rsidRDefault="00100B05" w:rsidP="0063575E">
      <w:pPr>
        <w:widowControl w:val="0"/>
        <w:tabs>
          <w:tab w:val="clear" w:pos="567"/>
        </w:tabs>
        <w:spacing w:line="240" w:lineRule="auto"/>
        <w:rPr>
          <w:color w:val="000000"/>
          <w:szCs w:val="22"/>
          <w:lang w:val="bg-BG"/>
        </w:rPr>
      </w:pPr>
      <w:r w:rsidRPr="00FE6AC6">
        <w:rPr>
          <w:color w:val="000000"/>
          <w:szCs w:val="22"/>
          <w:lang w:val="bg-BG"/>
        </w:rPr>
        <w:t>В проучване за токсичност за развитието</w:t>
      </w:r>
      <w:r w:rsidRPr="00FE6AC6" w:rsidDel="00AD5F7E">
        <w:rPr>
          <w:color w:val="000000"/>
          <w:szCs w:val="22"/>
          <w:lang w:val="bg-BG"/>
        </w:rPr>
        <w:t xml:space="preserve"> </w:t>
      </w:r>
      <w:r w:rsidRPr="00FE6AC6">
        <w:rPr>
          <w:color w:val="000000"/>
          <w:szCs w:val="22"/>
          <w:lang w:val="bg-BG"/>
        </w:rPr>
        <w:t>при млади плъхове (ден</w:t>
      </w:r>
      <w:r w:rsidRPr="00FE6AC6">
        <w:rPr>
          <w:color w:val="000000"/>
          <w:szCs w:val="22"/>
        </w:rPr>
        <w:t> </w:t>
      </w:r>
      <w:r w:rsidRPr="00FE6AC6">
        <w:rPr>
          <w:color w:val="000000"/>
          <w:szCs w:val="22"/>
          <w:lang w:val="bg-BG"/>
        </w:rPr>
        <w:t>10 до 70 след раждането) н</w:t>
      </w:r>
      <w:r w:rsidR="007A56EA" w:rsidRPr="00FE6AC6">
        <w:rPr>
          <w:color w:val="000000"/>
          <w:szCs w:val="22"/>
          <w:lang w:val="bg-BG"/>
        </w:rPr>
        <w:t>е са установени нови прицелни органи</w:t>
      </w:r>
      <w:r w:rsidRPr="00FE6AC6">
        <w:rPr>
          <w:color w:val="000000"/>
          <w:szCs w:val="22"/>
          <w:lang w:val="bg-BG"/>
        </w:rPr>
        <w:t>,</w:t>
      </w:r>
      <w:r w:rsidR="007A56EA" w:rsidRPr="00FE6AC6">
        <w:rPr>
          <w:color w:val="000000"/>
          <w:szCs w:val="22"/>
          <w:lang w:val="bg-BG"/>
        </w:rPr>
        <w:t xml:space="preserve"> </w:t>
      </w:r>
      <w:r w:rsidRPr="00FE6AC6">
        <w:rPr>
          <w:color w:val="000000"/>
          <w:szCs w:val="22"/>
          <w:lang w:val="bg-BG"/>
        </w:rPr>
        <w:t>като</w:t>
      </w:r>
      <w:r w:rsidR="007A56EA" w:rsidRPr="00FE6AC6">
        <w:rPr>
          <w:color w:val="000000"/>
          <w:szCs w:val="22"/>
          <w:lang w:val="bg-BG"/>
        </w:rPr>
        <w:t xml:space="preserve"> </w:t>
      </w:r>
      <w:r w:rsidRPr="00FE6AC6">
        <w:rPr>
          <w:color w:val="000000"/>
          <w:szCs w:val="22"/>
          <w:lang w:val="bg-BG"/>
        </w:rPr>
        <w:t xml:space="preserve">се имат </w:t>
      </w:r>
      <w:r w:rsidR="007A56EA" w:rsidRPr="00FE6AC6">
        <w:rPr>
          <w:color w:val="000000"/>
          <w:szCs w:val="22"/>
          <w:lang w:val="bg-BG"/>
        </w:rPr>
        <w:t>предвид познатите прицелни органи при възрастни плъхове</w:t>
      </w:r>
      <w:r w:rsidR="004670DB" w:rsidRPr="00FE6AC6">
        <w:rPr>
          <w:color w:val="000000"/>
          <w:szCs w:val="22"/>
          <w:lang w:val="bg-BG"/>
        </w:rPr>
        <w:t xml:space="preserve">. </w:t>
      </w:r>
      <w:r w:rsidR="007A56EA" w:rsidRPr="00FE6AC6">
        <w:rPr>
          <w:color w:val="000000"/>
          <w:szCs w:val="22"/>
          <w:lang w:val="bg-BG"/>
        </w:rPr>
        <w:t>В токсикологично проучване</w:t>
      </w:r>
      <w:r w:rsidRPr="00FE6AC6">
        <w:rPr>
          <w:color w:val="000000"/>
          <w:szCs w:val="22"/>
          <w:lang w:val="bg-BG"/>
        </w:rPr>
        <w:t xml:space="preserve"> при млади плъхове</w:t>
      </w:r>
      <w:r w:rsidR="007A56EA" w:rsidRPr="00FE6AC6">
        <w:rPr>
          <w:color w:val="000000"/>
          <w:szCs w:val="22"/>
          <w:lang w:val="bg-BG"/>
        </w:rPr>
        <w:t>, ефекти по отношение на растежа, забав</w:t>
      </w:r>
      <w:r w:rsidR="00742576" w:rsidRPr="00FE6AC6">
        <w:rPr>
          <w:color w:val="000000"/>
          <w:szCs w:val="22"/>
          <w:lang w:val="bg-BG"/>
        </w:rPr>
        <w:t>ено</w:t>
      </w:r>
      <w:r w:rsidR="007A56EA" w:rsidRPr="00FE6AC6">
        <w:rPr>
          <w:color w:val="000000"/>
          <w:szCs w:val="22"/>
          <w:lang w:val="bg-BG"/>
        </w:rPr>
        <w:t xml:space="preserve"> вагина</w:t>
      </w:r>
      <w:r w:rsidR="00742576" w:rsidRPr="00FE6AC6">
        <w:rPr>
          <w:color w:val="000000"/>
          <w:szCs w:val="22"/>
          <w:lang w:val="bg-BG"/>
        </w:rPr>
        <w:t>лно отваряне</w:t>
      </w:r>
      <w:r w:rsidR="007A56EA" w:rsidRPr="00FE6AC6">
        <w:rPr>
          <w:color w:val="000000"/>
          <w:szCs w:val="22"/>
          <w:lang w:val="bg-BG"/>
        </w:rPr>
        <w:t xml:space="preserve"> и </w:t>
      </w:r>
      <w:r w:rsidR="00742576" w:rsidRPr="00FE6AC6">
        <w:rPr>
          <w:color w:val="000000"/>
          <w:szCs w:val="22"/>
          <w:lang w:val="bg-BG"/>
        </w:rPr>
        <w:t>раздел</w:t>
      </w:r>
      <w:r w:rsidR="00CF1155" w:rsidRPr="00FE6AC6">
        <w:rPr>
          <w:color w:val="000000"/>
          <w:szCs w:val="22"/>
          <w:lang w:val="bg-BG"/>
        </w:rPr>
        <w:t>яне</w:t>
      </w:r>
      <w:r w:rsidR="007A56EA" w:rsidRPr="00FE6AC6">
        <w:rPr>
          <w:color w:val="000000"/>
          <w:szCs w:val="22"/>
          <w:lang w:val="bg-BG"/>
        </w:rPr>
        <w:t xml:space="preserve"> на препуциума са наблюдавани при приблизително 0,3 до </w:t>
      </w:r>
      <w:r w:rsidR="004670DB" w:rsidRPr="00FE6AC6">
        <w:rPr>
          <w:color w:val="000000"/>
          <w:szCs w:val="22"/>
          <w:lang w:val="bg-BG"/>
        </w:rPr>
        <w:t>2</w:t>
      </w:r>
      <w:r w:rsidR="004670DB" w:rsidRPr="00FE6AC6">
        <w:rPr>
          <w:color w:val="000000"/>
          <w:szCs w:val="22"/>
        </w:rPr>
        <w:t> </w:t>
      </w:r>
      <w:r w:rsidR="007A56EA" w:rsidRPr="00FE6AC6">
        <w:rPr>
          <w:color w:val="000000"/>
          <w:szCs w:val="22"/>
          <w:lang w:val="bg-BG"/>
        </w:rPr>
        <w:t>пъти</w:t>
      </w:r>
      <w:r w:rsidR="004670DB" w:rsidRPr="00FE6AC6">
        <w:rPr>
          <w:color w:val="000000"/>
          <w:szCs w:val="22"/>
          <w:lang w:val="bg-BG"/>
        </w:rPr>
        <w:t xml:space="preserve"> </w:t>
      </w:r>
      <w:r w:rsidR="00B150BC" w:rsidRPr="00FE6AC6">
        <w:rPr>
          <w:color w:val="000000"/>
          <w:szCs w:val="22"/>
          <w:lang w:val="bg-BG"/>
        </w:rPr>
        <w:t xml:space="preserve">над </w:t>
      </w:r>
      <w:r w:rsidR="007A56EA" w:rsidRPr="00FE6AC6">
        <w:rPr>
          <w:color w:val="000000"/>
          <w:szCs w:val="22"/>
          <w:lang w:val="bg-BG"/>
        </w:rPr>
        <w:t>средната педиатрична експозиция при най-високата препоръчителна доза от</w:t>
      </w:r>
      <w:r w:rsidR="004670DB" w:rsidRPr="00FE6AC6">
        <w:rPr>
          <w:color w:val="000000"/>
          <w:szCs w:val="22"/>
          <w:lang w:val="bg-BG"/>
        </w:rPr>
        <w:t xml:space="preserve"> 340</w:t>
      </w:r>
      <w:r w:rsidR="004670DB" w:rsidRPr="00FE6AC6">
        <w:rPr>
          <w:color w:val="000000"/>
          <w:szCs w:val="22"/>
        </w:rPr>
        <w:t> mg</w:t>
      </w:r>
      <w:r w:rsidR="004670DB" w:rsidRPr="00FE6AC6">
        <w:rPr>
          <w:color w:val="000000"/>
          <w:szCs w:val="22"/>
          <w:lang w:val="bg-BG"/>
        </w:rPr>
        <w:t>/</w:t>
      </w:r>
      <w:r w:rsidR="004670DB" w:rsidRPr="00FE6AC6">
        <w:rPr>
          <w:color w:val="000000"/>
          <w:szCs w:val="22"/>
        </w:rPr>
        <w:t>m</w:t>
      </w:r>
      <w:r w:rsidR="004670DB" w:rsidRPr="00FE6AC6">
        <w:rPr>
          <w:color w:val="000000"/>
          <w:szCs w:val="22"/>
          <w:vertAlign w:val="superscript"/>
          <w:lang w:val="bg-BG"/>
        </w:rPr>
        <w:t>2</w:t>
      </w:r>
      <w:r w:rsidR="004670DB" w:rsidRPr="00FE6AC6">
        <w:rPr>
          <w:color w:val="000000"/>
          <w:szCs w:val="22"/>
          <w:lang w:val="bg-BG"/>
        </w:rPr>
        <w:t xml:space="preserve">. </w:t>
      </w:r>
      <w:r w:rsidR="004918D2" w:rsidRPr="00FE6AC6">
        <w:rPr>
          <w:color w:val="000000"/>
          <w:szCs w:val="22"/>
          <w:lang w:val="bg-BG"/>
        </w:rPr>
        <w:t>Освен това е наблюдавана смъртност при млади животни (в периода на отбиване) при приблизително</w:t>
      </w:r>
      <w:r w:rsidR="004670DB" w:rsidRPr="00FE6AC6">
        <w:rPr>
          <w:color w:val="000000"/>
          <w:szCs w:val="22"/>
          <w:lang w:val="bg-BG"/>
        </w:rPr>
        <w:t xml:space="preserve"> 2</w:t>
      </w:r>
      <w:r w:rsidR="004670DB" w:rsidRPr="00FE6AC6">
        <w:rPr>
          <w:color w:val="000000"/>
          <w:szCs w:val="22"/>
        </w:rPr>
        <w:t> </w:t>
      </w:r>
      <w:r w:rsidR="004918D2" w:rsidRPr="00FE6AC6">
        <w:rPr>
          <w:color w:val="000000"/>
          <w:szCs w:val="22"/>
          <w:lang w:val="bg-BG"/>
        </w:rPr>
        <w:t xml:space="preserve">пъти </w:t>
      </w:r>
      <w:r w:rsidR="00DD7B6D" w:rsidRPr="00FE6AC6">
        <w:rPr>
          <w:color w:val="000000"/>
          <w:szCs w:val="22"/>
          <w:lang w:val="bg-BG"/>
        </w:rPr>
        <w:t xml:space="preserve">над </w:t>
      </w:r>
      <w:r w:rsidR="004918D2" w:rsidRPr="00FE6AC6">
        <w:rPr>
          <w:color w:val="000000"/>
          <w:szCs w:val="22"/>
          <w:lang w:val="bg-BG"/>
        </w:rPr>
        <w:t>средната педиатрична експозиция при най-високата препоръчителна доза от</w:t>
      </w:r>
      <w:r w:rsidR="004670DB" w:rsidRPr="00FE6AC6">
        <w:rPr>
          <w:color w:val="000000"/>
          <w:szCs w:val="22"/>
          <w:lang w:val="bg-BG"/>
        </w:rPr>
        <w:t xml:space="preserve"> 340</w:t>
      </w:r>
      <w:r w:rsidR="004670DB" w:rsidRPr="00FE6AC6">
        <w:rPr>
          <w:color w:val="000000"/>
          <w:szCs w:val="22"/>
        </w:rPr>
        <w:t> mg</w:t>
      </w:r>
      <w:r w:rsidR="004670DB" w:rsidRPr="00FE6AC6">
        <w:rPr>
          <w:color w:val="000000"/>
          <w:szCs w:val="22"/>
          <w:lang w:val="bg-BG"/>
        </w:rPr>
        <w:t>/</w:t>
      </w:r>
      <w:r w:rsidR="004670DB" w:rsidRPr="00FE6AC6">
        <w:rPr>
          <w:color w:val="000000"/>
          <w:szCs w:val="22"/>
        </w:rPr>
        <w:t>m</w:t>
      </w:r>
      <w:r w:rsidR="004670DB" w:rsidRPr="00FE6AC6">
        <w:rPr>
          <w:color w:val="000000"/>
          <w:szCs w:val="22"/>
          <w:vertAlign w:val="superscript"/>
          <w:lang w:val="bg-BG"/>
        </w:rPr>
        <w:t>2</w:t>
      </w:r>
      <w:r w:rsidR="004670DB" w:rsidRPr="00FE6AC6">
        <w:rPr>
          <w:color w:val="000000"/>
          <w:szCs w:val="22"/>
          <w:lang w:val="bg-BG"/>
        </w:rPr>
        <w:t>.</w:t>
      </w:r>
    </w:p>
    <w:p w14:paraId="3E550090" w14:textId="77777777" w:rsidR="001636FA" w:rsidRPr="00FE6AC6" w:rsidRDefault="001636FA" w:rsidP="0063575E">
      <w:pPr>
        <w:widowControl w:val="0"/>
        <w:spacing w:line="240" w:lineRule="auto"/>
        <w:rPr>
          <w:color w:val="000000"/>
          <w:lang w:val="bg-BG"/>
        </w:rPr>
      </w:pPr>
    </w:p>
    <w:p w14:paraId="3E550091" w14:textId="77777777" w:rsidR="001636FA" w:rsidRPr="00FE6AC6" w:rsidRDefault="001636FA" w:rsidP="0063575E">
      <w:pPr>
        <w:widowControl w:val="0"/>
        <w:spacing w:line="240" w:lineRule="auto"/>
        <w:rPr>
          <w:color w:val="000000"/>
          <w:lang w:val="bg-BG"/>
        </w:rPr>
      </w:pPr>
      <w:r w:rsidRPr="00FE6AC6">
        <w:rPr>
          <w:color w:val="000000"/>
          <w:lang w:val="bg-BG"/>
        </w:rPr>
        <w:t>При 2-годишното проучване за карцерогеност при плъхове, приложението на иматиниб в дози от 15, 30 и 60 mg/kg/ден, води до статистически значимо понижение на продължителността на живота на мъжките животни при дози от 60 mg/kg/ден и на женските при дози ≥30 mg/kg/ден. Хистопатологичната оценка на екзитиралите животни показва кардиомиопатия (двата пола), хронична прогресивна нефропатия (женски индивиди) и папиломи на препуциумната жлеза като главни причини за смърт или основания за летален изход на животните. Таргетни органи за неопластични промени са бъбреците, пикочния мехур, уретрата, препуциумната и клиторната жлеза, тънкото черво, паращитовидните жлези, надбъбречните жлези и нежлезистата част на стомаха.</w:t>
      </w:r>
    </w:p>
    <w:p w14:paraId="3E550092" w14:textId="77777777" w:rsidR="001636FA" w:rsidRPr="00FE6AC6" w:rsidRDefault="001636FA" w:rsidP="0063575E">
      <w:pPr>
        <w:widowControl w:val="0"/>
        <w:spacing w:line="240" w:lineRule="auto"/>
        <w:rPr>
          <w:color w:val="000000"/>
          <w:lang w:val="bg-BG"/>
        </w:rPr>
      </w:pPr>
    </w:p>
    <w:p w14:paraId="3E550093" w14:textId="77777777" w:rsidR="001636FA" w:rsidRPr="00FE6AC6" w:rsidRDefault="001636FA" w:rsidP="0063575E">
      <w:pPr>
        <w:widowControl w:val="0"/>
        <w:spacing w:line="240" w:lineRule="auto"/>
        <w:rPr>
          <w:color w:val="000000"/>
          <w:lang w:val="bg-BG"/>
        </w:rPr>
      </w:pPr>
      <w:r w:rsidRPr="00FE6AC6">
        <w:rPr>
          <w:color w:val="000000"/>
          <w:lang w:val="bg-BG"/>
        </w:rPr>
        <w:t>Папилом/карцином на препуциумната/клиторната жлеза се наблюдава при дози над 30 и 60 mg/kg/ден, което представлява приблизително 0,5 или 0,3 пъти дневната експозиция при хора (въз основа на AUC) при съответно 400 mg/ден или 800 </w:t>
      </w:r>
      <w:r w:rsidRPr="00FE6AC6">
        <w:rPr>
          <w:color w:val="000000"/>
          <w:lang w:val="en-US"/>
        </w:rPr>
        <w:t>mg</w:t>
      </w:r>
      <w:r w:rsidRPr="00FE6AC6">
        <w:rPr>
          <w:color w:val="000000"/>
          <w:lang w:val="bg-BG"/>
        </w:rPr>
        <w:t>/ден и 0,4 пъти дневната експозиция при деца (въз основа на AUC) при 340 mg/m</w:t>
      </w:r>
      <w:r w:rsidRPr="00FE6AC6">
        <w:rPr>
          <w:color w:val="000000"/>
          <w:vertAlign w:val="superscript"/>
          <w:lang w:val="bg-BG"/>
        </w:rPr>
        <w:t>2</w:t>
      </w:r>
      <w:r w:rsidRPr="00FE6AC6">
        <w:rPr>
          <w:color w:val="000000"/>
          <w:lang w:val="bg-BG"/>
        </w:rPr>
        <w:t xml:space="preserve">. Нивото без наблюдаван ефект (НБНЕ) е 15 mg/kg/ден. Бъбречен аденом/карцином, папилом на пикочния мехур и уретрата, аденокарциноми на тънкото черво, аденоми на паращитовидните жлези, доброкачествени и злокачествени медуларни тумори на надбъбречните жлези и папиломи/карциноми на нежлезистата част на стомаха са установени при доза от 60 mg/kg/ден, което представлява приблизително 1,7 или 1 път дневната експозиция при хора (въз основа на </w:t>
      </w:r>
      <w:r w:rsidRPr="00FE6AC6">
        <w:rPr>
          <w:color w:val="000000"/>
          <w:lang w:val="en-US"/>
        </w:rPr>
        <w:t>AUC</w:t>
      </w:r>
      <w:r w:rsidRPr="00FE6AC6">
        <w:rPr>
          <w:color w:val="000000"/>
          <w:lang w:val="bg-BG"/>
        </w:rPr>
        <w:t xml:space="preserve">) при съответно 400 mg/ден или 800 mg/ден и 1,2 пъти дневната експозиция при деца (въз основа на </w:t>
      </w:r>
      <w:r w:rsidRPr="00FE6AC6">
        <w:rPr>
          <w:color w:val="000000"/>
          <w:lang w:val="en-US"/>
        </w:rPr>
        <w:t>AUC</w:t>
      </w:r>
      <w:r w:rsidRPr="00FE6AC6">
        <w:rPr>
          <w:color w:val="000000"/>
          <w:lang w:val="bg-BG"/>
        </w:rPr>
        <w:t>) при 340 mg/</w:t>
      </w:r>
      <w:r w:rsidRPr="00FE6AC6">
        <w:rPr>
          <w:color w:val="000000"/>
          <w:lang w:val="en-US"/>
        </w:rPr>
        <w:t>m</w:t>
      </w:r>
      <w:r w:rsidRPr="00FE6AC6">
        <w:rPr>
          <w:color w:val="000000"/>
          <w:vertAlign w:val="superscript"/>
          <w:lang w:val="bg-BG"/>
        </w:rPr>
        <w:t>2</w:t>
      </w:r>
      <w:r w:rsidRPr="00FE6AC6">
        <w:rPr>
          <w:color w:val="000000"/>
          <w:lang w:val="bg-BG"/>
        </w:rPr>
        <w:t>/ден. Нивото без наблюдаван ефект (НБНЕ) е 30 mg/kg/ден.</w:t>
      </w:r>
    </w:p>
    <w:p w14:paraId="3E550094" w14:textId="77777777" w:rsidR="001636FA" w:rsidRPr="00FE6AC6" w:rsidRDefault="001636FA" w:rsidP="0063575E">
      <w:pPr>
        <w:widowControl w:val="0"/>
        <w:spacing w:line="240" w:lineRule="auto"/>
        <w:rPr>
          <w:color w:val="000000"/>
          <w:lang w:val="bg-BG"/>
        </w:rPr>
      </w:pPr>
    </w:p>
    <w:p w14:paraId="3E550095" w14:textId="77777777" w:rsidR="001636FA" w:rsidRPr="00FE6AC6" w:rsidRDefault="001636FA" w:rsidP="0063575E">
      <w:pPr>
        <w:widowControl w:val="0"/>
        <w:spacing w:line="240" w:lineRule="auto"/>
        <w:rPr>
          <w:color w:val="000000"/>
          <w:lang w:val="bg-BG"/>
        </w:rPr>
      </w:pPr>
      <w:r w:rsidRPr="00FE6AC6">
        <w:rPr>
          <w:color w:val="000000"/>
          <w:lang w:val="bg-BG"/>
        </w:rPr>
        <w:t>Все още не са изяснени механизмът и значението при хора на тези находки при проучвания на карцерогеността при плъхове.</w:t>
      </w:r>
    </w:p>
    <w:p w14:paraId="3E550096" w14:textId="77777777" w:rsidR="001636FA" w:rsidRPr="00FE6AC6" w:rsidRDefault="001636FA" w:rsidP="0063575E">
      <w:pPr>
        <w:widowControl w:val="0"/>
        <w:spacing w:line="240" w:lineRule="auto"/>
        <w:rPr>
          <w:color w:val="000000"/>
          <w:lang w:val="bg-BG"/>
        </w:rPr>
      </w:pPr>
    </w:p>
    <w:p w14:paraId="3E550097" w14:textId="77777777" w:rsidR="001636FA" w:rsidRPr="00FE6AC6" w:rsidRDefault="001636FA" w:rsidP="0063575E">
      <w:pPr>
        <w:widowControl w:val="0"/>
        <w:spacing w:line="240" w:lineRule="auto"/>
        <w:rPr>
          <w:color w:val="000000"/>
          <w:lang w:val="bg-BG"/>
        </w:rPr>
      </w:pPr>
      <w:r w:rsidRPr="00FE6AC6">
        <w:rPr>
          <w:color w:val="000000"/>
          <w:lang w:val="bg-BG"/>
        </w:rPr>
        <w:t xml:space="preserve">Ненеопластични лезии, неустановени при по-ранните предклинични проучвания са </w:t>
      </w:r>
      <w:r w:rsidR="00094323" w:rsidRPr="00FE6AC6">
        <w:rPr>
          <w:color w:val="000000"/>
          <w:lang w:val="bg-BG"/>
        </w:rPr>
        <w:t xml:space="preserve">били свързани със </w:t>
      </w:r>
      <w:r w:rsidRPr="00FE6AC6">
        <w:rPr>
          <w:color w:val="000000"/>
          <w:lang w:val="bg-BG"/>
        </w:rPr>
        <w:t>сърдечносъдовата система, панкреаса, ендокрините органи и зъбите. Най-важните промени включват сърдечна хипертрофия и дилатация, водещи до признаци на сърдечна недостатъчност при някои животни.</w:t>
      </w:r>
    </w:p>
    <w:p w14:paraId="3E550098" w14:textId="77777777" w:rsidR="001636FA" w:rsidRPr="00FE6AC6" w:rsidRDefault="001636FA" w:rsidP="0063575E">
      <w:pPr>
        <w:widowControl w:val="0"/>
        <w:spacing w:line="240" w:lineRule="auto"/>
        <w:rPr>
          <w:color w:val="000000"/>
          <w:lang w:val="bg-BG"/>
        </w:rPr>
      </w:pPr>
    </w:p>
    <w:p w14:paraId="3E550099" w14:textId="77777777" w:rsidR="00DE772B" w:rsidRPr="00FE6AC6" w:rsidRDefault="00DE772B" w:rsidP="0063575E">
      <w:pPr>
        <w:widowControl w:val="0"/>
        <w:spacing w:line="240" w:lineRule="auto"/>
        <w:rPr>
          <w:color w:val="000000"/>
          <w:lang w:val="bg-BG"/>
        </w:rPr>
      </w:pPr>
      <w:r w:rsidRPr="00FE6AC6">
        <w:rPr>
          <w:color w:val="000000"/>
          <w:lang w:val="bg-BG"/>
        </w:rPr>
        <w:t xml:space="preserve">Активното вещество иматиниб </w:t>
      </w:r>
      <w:r w:rsidR="00855867" w:rsidRPr="00FE6AC6">
        <w:rPr>
          <w:color w:val="000000"/>
          <w:lang w:val="bg-BG"/>
        </w:rPr>
        <w:t xml:space="preserve">показва екологичен риск за </w:t>
      </w:r>
      <w:r w:rsidR="008D2870" w:rsidRPr="00FE6AC6">
        <w:rPr>
          <w:color w:val="000000"/>
          <w:lang w:val="bg-BG"/>
        </w:rPr>
        <w:t>седиментни</w:t>
      </w:r>
      <w:r w:rsidR="00855867" w:rsidRPr="00FE6AC6">
        <w:rPr>
          <w:color w:val="000000"/>
          <w:lang w:val="bg-BG"/>
        </w:rPr>
        <w:t xml:space="preserve"> организми.</w:t>
      </w:r>
    </w:p>
    <w:p w14:paraId="3E55009A" w14:textId="77777777" w:rsidR="00DE772B" w:rsidRPr="00FE6AC6" w:rsidRDefault="00DE772B" w:rsidP="0063575E">
      <w:pPr>
        <w:widowControl w:val="0"/>
        <w:spacing w:line="240" w:lineRule="auto"/>
        <w:rPr>
          <w:color w:val="000000"/>
          <w:lang w:val="bg-BG"/>
        </w:rPr>
      </w:pPr>
    </w:p>
    <w:p w14:paraId="3E55009B" w14:textId="77777777" w:rsidR="001636FA" w:rsidRPr="00FE6AC6" w:rsidRDefault="001636FA" w:rsidP="0063575E">
      <w:pPr>
        <w:widowControl w:val="0"/>
        <w:tabs>
          <w:tab w:val="clear" w:pos="567"/>
        </w:tabs>
        <w:spacing w:line="240" w:lineRule="auto"/>
        <w:rPr>
          <w:color w:val="000000"/>
          <w:lang w:val="bg-BG"/>
        </w:rPr>
      </w:pPr>
    </w:p>
    <w:p w14:paraId="3E55009C" w14:textId="77777777" w:rsidR="001636FA" w:rsidRPr="00FE6AC6" w:rsidRDefault="001636FA" w:rsidP="0063575E">
      <w:pPr>
        <w:keepNext/>
        <w:widowControl w:val="0"/>
        <w:tabs>
          <w:tab w:val="clear" w:pos="567"/>
        </w:tabs>
        <w:spacing w:line="240" w:lineRule="auto"/>
        <w:ind w:left="567" w:hanging="567"/>
        <w:rPr>
          <w:b/>
          <w:color w:val="000000"/>
          <w:lang w:val="bg-BG"/>
        </w:rPr>
      </w:pPr>
      <w:r w:rsidRPr="00FE6AC6">
        <w:rPr>
          <w:b/>
          <w:color w:val="000000"/>
          <w:lang w:val="bg-BG"/>
        </w:rPr>
        <w:t>6.</w:t>
      </w:r>
      <w:r w:rsidRPr="00FE6AC6">
        <w:rPr>
          <w:b/>
          <w:color w:val="000000"/>
          <w:lang w:val="bg-BG"/>
        </w:rPr>
        <w:tab/>
        <w:t>ФАРМАЦЕВТИЧНИ ДАННИ</w:t>
      </w:r>
    </w:p>
    <w:p w14:paraId="3E55009D" w14:textId="77777777" w:rsidR="001636FA" w:rsidRPr="00FE6AC6" w:rsidRDefault="001636FA" w:rsidP="0063575E">
      <w:pPr>
        <w:keepNext/>
        <w:widowControl w:val="0"/>
        <w:tabs>
          <w:tab w:val="clear" w:pos="567"/>
        </w:tabs>
        <w:spacing w:line="240" w:lineRule="auto"/>
        <w:rPr>
          <w:color w:val="000000"/>
          <w:lang w:val="bg-BG"/>
        </w:rPr>
      </w:pPr>
    </w:p>
    <w:p w14:paraId="3E55009E" w14:textId="77777777" w:rsidR="001636FA" w:rsidRPr="00FE6AC6" w:rsidRDefault="001636FA" w:rsidP="0063575E">
      <w:pPr>
        <w:keepNext/>
        <w:widowControl w:val="0"/>
        <w:tabs>
          <w:tab w:val="clear" w:pos="567"/>
        </w:tabs>
        <w:spacing w:line="240" w:lineRule="auto"/>
        <w:ind w:left="567" w:hanging="567"/>
        <w:outlineLvl w:val="0"/>
        <w:rPr>
          <w:color w:val="000000"/>
          <w:lang w:val="bg-BG"/>
        </w:rPr>
      </w:pPr>
      <w:r w:rsidRPr="00FE6AC6">
        <w:rPr>
          <w:b/>
          <w:color w:val="000000"/>
          <w:lang w:val="bg-BG"/>
        </w:rPr>
        <w:t>6.1</w:t>
      </w:r>
      <w:r w:rsidRPr="00FE6AC6">
        <w:rPr>
          <w:b/>
          <w:color w:val="000000"/>
          <w:lang w:val="bg-BG"/>
        </w:rPr>
        <w:tab/>
        <w:t>Списък на помощните вещества</w:t>
      </w:r>
    </w:p>
    <w:p w14:paraId="3E55009F" w14:textId="77777777" w:rsidR="001636FA" w:rsidRPr="00FE6AC6" w:rsidRDefault="001636FA" w:rsidP="0063575E">
      <w:pPr>
        <w:keepNext/>
        <w:widowControl w:val="0"/>
        <w:tabs>
          <w:tab w:val="clear" w:pos="567"/>
        </w:tabs>
        <w:spacing w:line="240" w:lineRule="auto"/>
        <w:rPr>
          <w:color w:val="000000"/>
          <w:lang w:val="bg-BG"/>
        </w:rPr>
      </w:pPr>
    </w:p>
    <w:p w14:paraId="3E5500AF" w14:textId="77777777" w:rsidR="000308B7" w:rsidRPr="00FE6AC6" w:rsidRDefault="000308B7" w:rsidP="0063575E">
      <w:pPr>
        <w:keepNext/>
        <w:widowControl w:val="0"/>
        <w:tabs>
          <w:tab w:val="clear" w:pos="567"/>
          <w:tab w:val="left" w:pos="2835"/>
        </w:tabs>
        <w:spacing w:line="240" w:lineRule="auto"/>
        <w:rPr>
          <w:color w:val="000000"/>
          <w:lang w:val="bg-BG"/>
        </w:rPr>
      </w:pPr>
      <w:r w:rsidRPr="00FE6AC6">
        <w:rPr>
          <w:color w:val="000000"/>
          <w:lang w:val="bg-BG"/>
        </w:rPr>
        <w:t>Капсулно съдържимо:</w:t>
      </w:r>
      <w:r w:rsidRPr="00FE6AC6">
        <w:rPr>
          <w:color w:val="000000"/>
          <w:lang w:val="bg-BG"/>
        </w:rPr>
        <w:tab/>
        <w:t>Микрокристална целулоза</w:t>
      </w:r>
    </w:p>
    <w:p w14:paraId="3E5500B0" w14:textId="77777777" w:rsidR="000308B7" w:rsidRPr="00FE6AC6" w:rsidRDefault="000308B7" w:rsidP="0063575E">
      <w:pPr>
        <w:keepNext/>
        <w:widowControl w:val="0"/>
        <w:tabs>
          <w:tab w:val="clear" w:pos="567"/>
          <w:tab w:val="left" w:pos="2835"/>
        </w:tabs>
        <w:spacing w:line="240" w:lineRule="auto"/>
        <w:ind w:left="3261" w:hanging="3261"/>
        <w:rPr>
          <w:color w:val="000000"/>
          <w:lang w:val="bg-BG"/>
        </w:rPr>
      </w:pPr>
      <w:r w:rsidRPr="00FE6AC6">
        <w:rPr>
          <w:color w:val="000000"/>
          <w:lang w:val="bg-BG"/>
        </w:rPr>
        <w:tab/>
        <w:t>Кросповидон</w:t>
      </w:r>
    </w:p>
    <w:p w14:paraId="3E5500B1" w14:textId="77777777" w:rsidR="000308B7" w:rsidRPr="00FE6AC6" w:rsidRDefault="000308B7" w:rsidP="0063575E">
      <w:pPr>
        <w:keepNext/>
        <w:widowControl w:val="0"/>
        <w:tabs>
          <w:tab w:val="clear" w:pos="567"/>
        </w:tabs>
        <w:spacing w:line="240" w:lineRule="auto"/>
        <w:ind w:left="2835" w:hanging="2835"/>
        <w:rPr>
          <w:color w:val="000000"/>
          <w:lang w:val="bg-BG"/>
        </w:rPr>
      </w:pPr>
      <w:r w:rsidRPr="00FE6AC6">
        <w:rPr>
          <w:color w:val="000000"/>
          <w:lang w:val="bg-BG"/>
        </w:rPr>
        <w:tab/>
        <w:t>Магнезиев стеарат</w:t>
      </w:r>
    </w:p>
    <w:p w14:paraId="3E5500B2" w14:textId="77777777" w:rsidR="000308B7" w:rsidRPr="00FE6AC6" w:rsidRDefault="000308B7" w:rsidP="0063575E">
      <w:pPr>
        <w:widowControl w:val="0"/>
        <w:tabs>
          <w:tab w:val="clear" w:pos="567"/>
        </w:tabs>
        <w:spacing w:line="240" w:lineRule="auto"/>
        <w:ind w:left="2835" w:hanging="2835"/>
        <w:rPr>
          <w:color w:val="000000"/>
          <w:lang w:val="bg-BG"/>
        </w:rPr>
      </w:pPr>
      <w:r w:rsidRPr="00FE6AC6">
        <w:rPr>
          <w:color w:val="000000"/>
          <w:lang w:val="bg-BG"/>
        </w:rPr>
        <w:tab/>
        <w:t>Силициев диоксид, колоиден безводен</w:t>
      </w:r>
    </w:p>
    <w:p w14:paraId="3E5500B3" w14:textId="77777777" w:rsidR="000308B7" w:rsidRPr="00FE6AC6" w:rsidRDefault="000308B7" w:rsidP="0063575E">
      <w:pPr>
        <w:widowControl w:val="0"/>
        <w:tabs>
          <w:tab w:val="clear" w:pos="567"/>
          <w:tab w:val="left" w:pos="3261"/>
        </w:tabs>
        <w:spacing w:line="240" w:lineRule="auto"/>
        <w:ind w:left="3261" w:hanging="3261"/>
        <w:rPr>
          <w:color w:val="000000"/>
          <w:lang w:val="bg-BG"/>
        </w:rPr>
      </w:pPr>
    </w:p>
    <w:p w14:paraId="3E5500B4" w14:textId="77777777" w:rsidR="000308B7" w:rsidRPr="00FE6AC6" w:rsidRDefault="000308B7" w:rsidP="0063575E">
      <w:pPr>
        <w:keepNext/>
        <w:widowControl w:val="0"/>
        <w:tabs>
          <w:tab w:val="clear" w:pos="567"/>
          <w:tab w:val="left" w:pos="2835"/>
        </w:tabs>
        <w:spacing w:line="240" w:lineRule="auto"/>
        <w:ind w:left="3261" w:hanging="3261"/>
        <w:rPr>
          <w:color w:val="000000"/>
          <w:lang w:val="bg-BG"/>
        </w:rPr>
      </w:pPr>
      <w:r w:rsidRPr="00FE6AC6">
        <w:rPr>
          <w:color w:val="000000"/>
          <w:lang w:val="bg-BG"/>
        </w:rPr>
        <w:t>Състав на капсулата:</w:t>
      </w:r>
      <w:r w:rsidRPr="00FE6AC6">
        <w:rPr>
          <w:color w:val="000000"/>
          <w:lang w:val="bg-BG"/>
        </w:rPr>
        <w:tab/>
        <w:t>Желатин</w:t>
      </w:r>
    </w:p>
    <w:p w14:paraId="3E5500B5" w14:textId="77777777" w:rsidR="000308B7" w:rsidRPr="00FE6AC6" w:rsidRDefault="000308B7" w:rsidP="0063575E">
      <w:pPr>
        <w:keepNext/>
        <w:widowControl w:val="0"/>
        <w:tabs>
          <w:tab w:val="clear" w:pos="567"/>
          <w:tab w:val="left" w:pos="2835"/>
        </w:tabs>
        <w:spacing w:line="240" w:lineRule="auto"/>
        <w:ind w:left="2835"/>
        <w:rPr>
          <w:color w:val="000000"/>
          <w:lang w:val="bg-BG"/>
        </w:rPr>
      </w:pPr>
      <w:r w:rsidRPr="00FE6AC6">
        <w:rPr>
          <w:color w:val="000000"/>
          <w:lang w:val="bg-BG"/>
        </w:rPr>
        <w:t>Железен оксид, червен (</w:t>
      </w:r>
      <w:r w:rsidRPr="00FE6AC6">
        <w:rPr>
          <w:color w:val="000000"/>
        </w:rPr>
        <w:t>E</w:t>
      </w:r>
      <w:r w:rsidRPr="00FE6AC6">
        <w:rPr>
          <w:color w:val="000000"/>
          <w:lang w:val="bg-BG"/>
        </w:rPr>
        <w:t>172)</w:t>
      </w:r>
    </w:p>
    <w:p w14:paraId="3E5500B6" w14:textId="77777777" w:rsidR="000308B7" w:rsidRPr="00FE6AC6" w:rsidRDefault="000308B7" w:rsidP="0063575E">
      <w:pPr>
        <w:keepNext/>
        <w:widowControl w:val="0"/>
        <w:tabs>
          <w:tab w:val="clear" w:pos="567"/>
          <w:tab w:val="left" w:pos="2835"/>
        </w:tabs>
        <w:spacing w:line="240" w:lineRule="auto"/>
        <w:ind w:left="2835"/>
        <w:rPr>
          <w:color w:val="000000"/>
          <w:lang w:val="bg-BG"/>
        </w:rPr>
      </w:pPr>
      <w:r w:rsidRPr="00FE6AC6">
        <w:rPr>
          <w:color w:val="000000"/>
          <w:lang w:val="bg-BG"/>
        </w:rPr>
        <w:t>Железен оксид, жълт (</w:t>
      </w:r>
      <w:r w:rsidRPr="00FE6AC6">
        <w:rPr>
          <w:color w:val="000000"/>
        </w:rPr>
        <w:t>E</w:t>
      </w:r>
      <w:r w:rsidRPr="00FE6AC6">
        <w:rPr>
          <w:color w:val="000000"/>
          <w:lang w:val="bg-BG"/>
        </w:rPr>
        <w:t>172)</w:t>
      </w:r>
    </w:p>
    <w:p w14:paraId="3E5500B7" w14:textId="77777777" w:rsidR="000308B7" w:rsidRPr="00FE6AC6" w:rsidRDefault="000308B7" w:rsidP="0063575E">
      <w:pPr>
        <w:widowControl w:val="0"/>
        <w:tabs>
          <w:tab w:val="clear" w:pos="567"/>
          <w:tab w:val="left" w:pos="2835"/>
        </w:tabs>
        <w:spacing w:line="240" w:lineRule="auto"/>
        <w:ind w:left="2835"/>
        <w:rPr>
          <w:color w:val="000000"/>
          <w:lang w:val="bg-BG"/>
        </w:rPr>
      </w:pPr>
      <w:r w:rsidRPr="00FE6AC6">
        <w:rPr>
          <w:color w:val="000000"/>
          <w:lang w:val="bg-BG"/>
        </w:rPr>
        <w:t>Титанов диоксид (</w:t>
      </w:r>
      <w:r w:rsidRPr="00FE6AC6">
        <w:rPr>
          <w:color w:val="000000"/>
        </w:rPr>
        <w:t>E</w:t>
      </w:r>
      <w:r w:rsidRPr="00FE6AC6">
        <w:rPr>
          <w:color w:val="000000"/>
          <w:lang w:val="bg-BG"/>
        </w:rPr>
        <w:t>171)</w:t>
      </w:r>
    </w:p>
    <w:p w14:paraId="3E5500B8" w14:textId="77777777" w:rsidR="000308B7" w:rsidRPr="00FE6AC6" w:rsidRDefault="000308B7" w:rsidP="0063575E">
      <w:pPr>
        <w:widowControl w:val="0"/>
        <w:tabs>
          <w:tab w:val="clear" w:pos="567"/>
          <w:tab w:val="left" w:pos="3261"/>
        </w:tabs>
        <w:spacing w:line="240" w:lineRule="auto"/>
        <w:ind w:left="3261" w:hanging="3261"/>
        <w:rPr>
          <w:color w:val="000000"/>
          <w:lang w:val="bg-BG"/>
        </w:rPr>
      </w:pPr>
    </w:p>
    <w:p w14:paraId="3E5500B9" w14:textId="77777777" w:rsidR="000308B7" w:rsidRPr="00FE6AC6" w:rsidRDefault="000308B7" w:rsidP="0063575E">
      <w:pPr>
        <w:keepNext/>
        <w:widowControl w:val="0"/>
        <w:tabs>
          <w:tab w:val="clear" w:pos="567"/>
        </w:tabs>
        <w:spacing w:line="240" w:lineRule="auto"/>
        <w:ind w:left="2835" w:hanging="2835"/>
        <w:rPr>
          <w:color w:val="000000"/>
          <w:lang w:val="bg-BG"/>
        </w:rPr>
      </w:pPr>
      <w:r w:rsidRPr="00FE6AC6">
        <w:rPr>
          <w:color w:val="000000"/>
          <w:lang w:val="bg-BG"/>
        </w:rPr>
        <w:t>Надпис:</w:t>
      </w:r>
      <w:r w:rsidRPr="00FE6AC6">
        <w:rPr>
          <w:color w:val="000000"/>
          <w:lang w:val="bg-BG"/>
        </w:rPr>
        <w:tab/>
        <w:t>Железен оксид, червен (E172)</w:t>
      </w:r>
    </w:p>
    <w:p w14:paraId="3E5500BA" w14:textId="77777777" w:rsidR="000308B7" w:rsidRPr="00FE6AC6" w:rsidRDefault="000308B7" w:rsidP="0063575E">
      <w:pPr>
        <w:widowControl w:val="0"/>
        <w:tabs>
          <w:tab w:val="clear" w:pos="567"/>
        </w:tabs>
        <w:spacing w:line="240" w:lineRule="auto"/>
        <w:ind w:left="2835" w:hanging="2835"/>
        <w:rPr>
          <w:color w:val="000000"/>
          <w:lang w:val="bg-BG"/>
        </w:rPr>
      </w:pPr>
      <w:r w:rsidRPr="00FE6AC6">
        <w:rPr>
          <w:color w:val="000000"/>
          <w:lang w:val="bg-BG"/>
        </w:rPr>
        <w:tab/>
        <w:t>Шеллак</w:t>
      </w:r>
    </w:p>
    <w:p w14:paraId="3E5500BB" w14:textId="77777777" w:rsidR="000308B7" w:rsidRPr="00FE6AC6" w:rsidRDefault="000308B7" w:rsidP="0063575E">
      <w:pPr>
        <w:widowControl w:val="0"/>
        <w:tabs>
          <w:tab w:val="clear" w:pos="567"/>
        </w:tabs>
        <w:spacing w:line="240" w:lineRule="auto"/>
        <w:rPr>
          <w:color w:val="000000"/>
          <w:lang w:val="bg-BG"/>
        </w:rPr>
      </w:pPr>
    </w:p>
    <w:p w14:paraId="3E5500BC" w14:textId="77777777" w:rsidR="001636FA" w:rsidRPr="00FE6AC6" w:rsidRDefault="001636FA" w:rsidP="0063575E">
      <w:pPr>
        <w:keepNext/>
        <w:widowControl w:val="0"/>
        <w:tabs>
          <w:tab w:val="clear" w:pos="567"/>
        </w:tabs>
        <w:spacing w:line="240" w:lineRule="auto"/>
        <w:ind w:left="567" w:hanging="567"/>
        <w:outlineLvl w:val="0"/>
        <w:rPr>
          <w:b/>
          <w:color w:val="000000"/>
          <w:lang w:val="bg-BG"/>
        </w:rPr>
      </w:pPr>
      <w:r w:rsidRPr="00FE6AC6">
        <w:rPr>
          <w:b/>
          <w:color w:val="000000"/>
          <w:lang w:val="bg-BG"/>
        </w:rPr>
        <w:t>6.2</w:t>
      </w:r>
      <w:r w:rsidRPr="00FE6AC6">
        <w:rPr>
          <w:b/>
          <w:color w:val="000000"/>
          <w:lang w:val="bg-BG"/>
        </w:rPr>
        <w:tab/>
        <w:t>Несъвместимости</w:t>
      </w:r>
    </w:p>
    <w:p w14:paraId="3E5500BD" w14:textId="77777777" w:rsidR="001636FA" w:rsidRPr="00FE6AC6" w:rsidRDefault="001636FA" w:rsidP="0063575E">
      <w:pPr>
        <w:keepNext/>
        <w:widowControl w:val="0"/>
        <w:tabs>
          <w:tab w:val="clear" w:pos="567"/>
        </w:tabs>
        <w:spacing w:line="240" w:lineRule="auto"/>
        <w:rPr>
          <w:color w:val="000000"/>
          <w:lang w:val="bg-BG"/>
        </w:rPr>
      </w:pPr>
    </w:p>
    <w:p w14:paraId="3E5500BE" w14:textId="77777777" w:rsidR="001636FA" w:rsidRPr="00FE6AC6" w:rsidRDefault="001636FA" w:rsidP="0063575E">
      <w:pPr>
        <w:widowControl w:val="0"/>
        <w:spacing w:line="240" w:lineRule="auto"/>
        <w:rPr>
          <w:color w:val="000000"/>
          <w:lang w:val="bg-BG"/>
        </w:rPr>
      </w:pPr>
      <w:r w:rsidRPr="00FE6AC6">
        <w:rPr>
          <w:color w:val="000000"/>
          <w:lang w:val="bg-BG"/>
        </w:rPr>
        <w:t>Неприложимо</w:t>
      </w:r>
    </w:p>
    <w:p w14:paraId="3E5500BF" w14:textId="77777777" w:rsidR="001636FA" w:rsidRPr="00FE6AC6" w:rsidRDefault="001636FA" w:rsidP="0063575E">
      <w:pPr>
        <w:widowControl w:val="0"/>
        <w:tabs>
          <w:tab w:val="clear" w:pos="567"/>
        </w:tabs>
        <w:spacing w:line="240" w:lineRule="auto"/>
        <w:rPr>
          <w:color w:val="000000"/>
          <w:lang w:val="bg-BG"/>
        </w:rPr>
      </w:pPr>
    </w:p>
    <w:p w14:paraId="3E5500C0" w14:textId="77777777" w:rsidR="001636FA" w:rsidRPr="00FE6AC6" w:rsidRDefault="00461FF0" w:rsidP="0063575E">
      <w:pPr>
        <w:keepNext/>
        <w:widowControl w:val="0"/>
        <w:tabs>
          <w:tab w:val="clear" w:pos="567"/>
        </w:tabs>
        <w:spacing w:line="240" w:lineRule="auto"/>
        <w:outlineLvl w:val="0"/>
        <w:rPr>
          <w:b/>
          <w:color w:val="000000"/>
          <w:lang w:val="bg-BG"/>
        </w:rPr>
      </w:pPr>
      <w:r w:rsidRPr="00FE6AC6">
        <w:rPr>
          <w:b/>
          <w:color w:val="000000"/>
          <w:lang w:val="bg-BG"/>
        </w:rPr>
        <w:t>6.3</w:t>
      </w:r>
      <w:r w:rsidRPr="00FE6AC6">
        <w:rPr>
          <w:b/>
          <w:color w:val="000000"/>
          <w:lang w:val="bg-BG"/>
        </w:rPr>
        <w:tab/>
      </w:r>
      <w:r w:rsidR="001636FA" w:rsidRPr="00FE6AC6">
        <w:rPr>
          <w:b/>
          <w:color w:val="000000"/>
          <w:lang w:val="bg-BG"/>
        </w:rPr>
        <w:t>Срок на годност</w:t>
      </w:r>
    </w:p>
    <w:p w14:paraId="3E5500C1" w14:textId="77777777" w:rsidR="001636FA" w:rsidRPr="00FE6AC6" w:rsidRDefault="001636FA" w:rsidP="0063575E">
      <w:pPr>
        <w:keepNext/>
        <w:widowControl w:val="0"/>
        <w:tabs>
          <w:tab w:val="clear" w:pos="567"/>
        </w:tabs>
        <w:spacing w:line="240" w:lineRule="auto"/>
        <w:ind w:left="567" w:hanging="567"/>
        <w:outlineLvl w:val="0"/>
        <w:rPr>
          <w:color w:val="000000"/>
          <w:lang w:val="bg-BG"/>
        </w:rPr>
      </w:pPr>
    </w:p>
    <w:p w14:paraId="3E5500C2" w14:textId="77777777" w:rsidR="001636FA" w:rsidRPr="00FE6AC6" w:rsidRDefault="001636FA" w:rsidP="0063575E">
      <w:pPr>
        <w:widowControl w:val="0"/>
        <w:tabs>
          <w:tab w:val="clear" w:pos="567"/>
        </w:tabs>
        <w:spacing w:line="240" w:lineRule="auto"/>
        <w:ind w:left="567" w:hanging="567"/>
        <w:outlineLvl w:val="0"/>
        <w:rPr>
          <w:color w:val="000000"/>
          <w:lang w:val="bg-BG"/>
        </w:rPr>
      </w:pPr>
      <w:r w:rsidRPr="00FE6AC6">
        <w:rPr>
          <w:color w:val="000000"/>
          <w:lang w:val="bg-BG"/>
        </w:rPr>
        <w:t>2 години</w:t>
      </w:r>
    </w:p>
    <w:p w14:paraId="3E5500C3" w14:textId="77777777" w:rsidR="001636FA" w:rsidRPr="00FE6AC6" w:rsidRDefault="001636FA" w:rsidP="0063575E">
      <w:pPr>
        <w:widowControl w:val="0"/>
        <w:tabs>
          <w:tab w:val="clear" w:pos="567"/>
        </w:tabs>
        <w:spacing w:line="240" w:lineRule="auto"/>
        <w:ind w:left="567" w:hanging="567"/>
        <w:outlineLvl w:val="0"/>
        <w:rPr>
          <w:color w:val="000000"/>
          <w:lang w:val="bg-BG"/>
        </w:rPr>
      </w:pPr>
    </w:p>
    <w:p w14:paraId="3E5500C4" w14:textId="77777777" w:rsidR="001636FA" w:rsidRPr="00FE6AC6" w:rsidRDefault="001636FA" w:rsidP="0063575E">
      <w:pPr>
        <w:keepNext/>
        <w:widowControl w:val="0"/>
        <w:tabs>
          <w:tab w:val="clear" w:pos="567"/>
        </w:tabs>
        <w:spacing w:line="240" w:lineRule="auto"/>
        <w:ind w:left="567" w:hanging="567"/>
        <w:outlineLvl w:val="0"/>
        <w:rPr>
          <w:color w:val="000000"/>
          <w:lang w:val="bg-BG"/>
        </w:rPr>
      </w:pPr>
      <w:r w:rsidRPr="00FE6AC6">
        <w:rPr>
          <w:b/>
          <w:color w:val="000000"/>
          <w:lang w:val="bg-BG"/>
        </w:rPr>
        <w:t>6.4</w:t>
      </w:r>
      <w:r w:rsidRPr="00FE6AC6">
        <w:rPr>
          <w:b/>
          <w:color w:val="000000"/>
          <w:lang w:val="bg-BG"/>
        </w:rPr>
        <w:tab/>
        <w:t>Специални условия на съхранение</w:t>
      </w:r>
    </w:p>
    <w:p w14:paraId="3E5500C5" w14:textId="77777777" w:rsidR="001636FA" w:rsidRPr="00FE6AC6" w:rsidRDefault="001636FA" w:rsidP="0063575E">
      <w:pPr>
        <w:keepNext/>
        <w:widowControl w:val="0"/>
        <w:tabs>
          <w:tab w:val="clear" w:pos="567"/>
        </w:tabs>
        <w:spacing w:line="240" w:lineRule="auto"/>
        <w:rPr>
          <w:color w:val="000000"/>
          <w:lang w:val="bg-BG"/>
        </w:rPr>
      </w:pPr>
    </w:p>
    <w:p w14:paraId="3E5500C6"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 xml:space="preserve">Да </w:t>
      </w:r>
      <w:r w:rsidR="000C5A4F" w:rsidRPr="00FE6AC6">
        <w:rPr>
          <w:color w:val="000000"/>
          <w:lang w:val="bg-BG"/>
        </w:rPr>
        <w:t xml:space="preserve">не </w:t>
      </w:r>
      <w:r w:rsidRPr="00FE6AC6">
        <w:rPr>
          <w:color w:val="000000"/>
          <w:lang w:val="bg-BG"/>
        </w:rPr>
        <w:t xml:space="preserve">се съхранява </w:t>
      </w:r>
      <w:r w:rsidR="000C5A4F" w:rsidRPr="00FE6AC6">
        <w:rPr>
          <w:color w:val="000000"/>
          <w:lang w:val="bg-BG"/>
        </w:rPr>
        <w:t xml:space="preserve">над </w:t>
      </w:r>
      <w:smartTag w:uri="urn:schemas-microsoft-com:office:smarttags" w:element="metricconverter">
        <w:smartTagPr>
          <w:attr w:name="ProductID" w:val="30ﾰC"/>
        </w:smartTagPr>
        <w:r w:rsidRPr="00FE6AC6">
          <w:rPr>
            <w:color w:val="000000"/>
            <w:lang w:val="bg-BG"/>
          </w:rPr>
          <w:t>30°</w:t>
        </w:r>
        <w:r w:rsidRPr="00FE6AC6">
          <w:rPr>
            <w:color w:val="000000"/>
            <w:lang w:val="en-US"/>
          </w:rPr>
          <w:t>C</w:t>
        </w:r>
      </w:smartTag>
      <w:r w:rsidRPr="00FE6AC6">
        <w:rPr>
          <w:color w:val="000000"/>
          <w:lang w:val="bg-BG"/>
        </w:rPr>
        <w:t>.</w:t>
      </w:r>
    </w:p>
    <w:p w14:paraId="3E5500C7" w14:textId="77777777" w:rsidR="001636FA" w:rsidRPr="00FE6AC6" w:rsidRDefault="001636FA" w:rsidP="0063575E">
      <w:pPr>
        <w:widowControl w:val="0"/>
        <w:tabs>
          <w:tab w:val="clear" w:pos="567"/>
        </w:tabs>
        <w:spacing w:line="240" w:lineRule="auto"/>
        <w:rPr>
          <w:color w:val="000000"/>
          <w:lang w:val="bg-BG"/>
        </w:rPr>
      </w:pPr>
    </w:p>
    <w:p w14:paraId="3E5500C8"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Да се съхранява в оригиналната опаковка, за да се предпази от влага.</w:t>
      </w:r>
    </w:p>
    <w:p w14:paraId="3E5500C9" w14:textId="77777777" w:rsidR="001636FA" w:rsidRPr="00FE6AC6" w:rsidRDefault="001636FA" w:rsidP="0063575E">
      <w:pPr>
        <w:widowControl w:val="0"/>
        <w:tabs>
          <w:tab w:val="clear" w:pos="567"/>
        </w:tabs>
        <w:spacing w:line="240" w:lineRule="auto"/>
        <w:rPr>
          <w:color w:val="000000"/>
          <w:lang w:val="bg-BG"/>
        </w:rPr>
      </w:pPr>
    </w:p>
    <w:p w14:paraId="3E5500CA" w14:textId="77777777" w:rsidR="001636FA" w:rsidRPr="00FE6AC6" w:rsidRDefault="00461FF0" w:rsidP="0063575E">
      <w:pPr>
        <w:keepNext/>
        <w:widowControl w:val="0"/>
        <w:tabs>
          <w:tab w:val="clear" w:pos="567"/>
        </w:tabs>
        <w:spacing w:line="240" w:lineRule="auto"/>
        <w:rPr>
          <w:b/>
          <w:color w:val="000000"/>
          <w:lang w:val="bg-BG"/>
        </w:rPr>
      </w:pPr>
      <w:r w:rsidRPr="00FE6AC6">
        <w:rPr>
          <w:b/>
          <w:color w:val="000000"/>
          <w:lang w:val="bg-BG"/>
        </w:rPr>
        <w:t>6.5</w:t>
      </w:r>
      <w:r w:rsidRPr="00FE6AC6">
        <w:rPr>
          <w:b/>
          <w:color w:val="000000"/>
          <w:lang w:val="bg-BG"/>
        </w:rPr>
        <w:tab/>
      </w:r>
      <w:r w:rsidR="00242417" w:rsidRPr="00FE6AC6">
        <w:rPr>
          <w:b/>
          <w:lang w:val="bg-BG"/>
        </w:rPr>
        <w:t>Вид и съдържание</w:t>
      </w:r>
      <w:r w:rsidR="00242417" w:rsidRPr="00FE6AC6">
        <w:rPr>
          <w:b/>
          <w:szCs w:val="24"/>
          <w:lang w:val="bg-BG"/>
        </w:rPr>
        <w:t xml:space="preserve"> на опаковката</w:t>
      </w:r>
    </w:p>
    <w:p w14:paraId="3E5500CB" w14:textId="77777777" w:rsidR="001636FA" w:rsidRPr="00FE6AC6" w:rsidRDefault="001636FA" w:rsidP="0063575E">
      <w:pPr>
        <w:keepNext/>
        <w:widowControl w:val="0"/>
        <w:tabs>
          <w:tab w:val="clear" w:pos="567"/>
        </w:tabs>
        <w:spacing w:line="240" w:lineRule="auto"/>
        <w:rPr>
          <w:color w:val="000000"/>
          <w:lang w:val="bg-BG"/>
        </w:rPr>
      </w:pPr>
    </w:p>
    <w:p w14:paraId="3E5500CC" w14:textId="77777777" w:rsidR="001636FA" w:rsidRPr="00FE6AC6" w:rsidRDefault="001636FA" w:rsidP="0063575E">
      <w:pPr>
        <w:widowControl w:val="0"/>
        <w:tabs>
          <w:tab w:val="clear" w:pos="567"/>
        </w:tabs>
        <w:spacing w:line="240" w:lineRule="auto"/>
        <w:rPr>
          <w:color w:val="000000"/>
          <w:lang w:val="bg-BG"/>
        </w:rPr>
      </w:pPr>
      <w:r w:rsidRPr="00FE6AC6">
        <w:rPr>
          <w:color w:val="000000"/>
          <w:lang w:val="bg-BG"/>
        </w:rPr>
        <w:t xml:space="preserve">Блистери от </w:t>
      </w:r>
      <w:r w:rsidRPr="00FE6AC6">
        <w:rPr>
          <w:color w:val="000000"/>
          <w:lang w:val="de-CH"/>
        </w:rPr>
        <w:t>PVC</w:t>
      </w:r>
      <w:r w:rsidRPr="00FE6AC6">
        <w:rPr>
          <w:color w:val="000000"/>
          <w:lang w:val="bg-BG"/>
        </w:rPr>
        <w:t>/алуминий</w:t>
      </w:r>
    </w:p>
    <w:p w14:paraId="3E5500CD" w14:textId="77777777" w:rsidR="001636FA" w:rsidRPr="00FE6AC6" w:rsidRDefault="001636FA" w:rsidP="0063575E">
      <w:pPr>
        <w:widowControl w:val="0"/>
        <w:tabs>
          <w:tab w:val="clear" w:pos="567"/>
        </w:tabs>
        <w:spacing w:line="240" w:lineRule="auto"/>
        <w:rPr>
          <w:color w:val="000000"/>
          <w:lang w:val="bg-BG"/>
        </w:rPr>
      </w:pPr>
    </w:p>
    <w:p w14:paraId="3E5500D2" w14:textId="77777777" w:rsidR="008B6215" w:rsidRPr="00FE6AC6" w:rsidRDefault="008B6215" w:rsidP="0063575E">
      <w:pPr>
        <w:pStyle w:val="EndnoteText"/>
        <w:widowControl w:val="0"/>
        <w:tabs>
          <w:tab w:val="clear" w:pos="567"/>
        </w:tabs>
        <w:rPr>
          <w:color w:val="000000"/>
          <w:lang w:val="bg-BG"/>
        </w:rPr>
      </w:pPr>
      <w:r w:rsidRPr="00FE6AC6">
        <w:rPr>
          <w:color w:val="000000"/>
          <w:lang w:val="bg-BG"/>
        </w:rPr>
        <w:t>Опаковки съдържащи 24, 48, 96, 120 и 180</w:t>
      </w:r>
      <w:r w:rsidRPr="00FE6AC6">
        <w:rPr>
          <w:color w:val="000000"/>
        </w:rPr>
        <w:t> </w:t>
      </w:r>
      <w:r w:rsidRPr="00FE6AC6">
        <w:rPr>
          <w:color w:val="000000"/>
          <w:lang w:val="bg-BG"/>
        </w:rPr>
        <w:t>капсули.</w:t>
      </w:r>
    </w:p>
    <w:p w14:paraId="3E5500D3" w14:textId="77777777" w:rsidR="008B6215" w:rsidRPr="00FE6AC6" w:rsidRDefault="008B6215" w:rsidP="0063575E">
      <w:pPr>
        <w:widowControl w:val="0"/>
        <w:tabs>
          <w:tab w:val="clear" w:pos="567"/>
        </w:tabs>
        <w:spacing w:line="240" w:lineRule="auto"/>
        <w:rPr>
          <w:szCs w:val="22"/>
          <w:lang w:val="bg-BG"/>
        </w:rPr>
      </w:pPr>
    </w:p>
    <w:p w14:paraId="3E5500D4" w14:textId="77777777" w:rsidR="001636FA" w:rsidRPr="00FE6AC6" w:rsidRDefault="005E79A6" w:rsidP="0063575E">
      <w:pPr>
        <w:widowControl w:val="0"/>
        <w:tabs>
          <w:tab w:val="clear" w:pos="567"/>
        </w:tabs>
        <w:spacing w:line="240" w:lineRule="auto"/>
        <w:rPr>
          <w:szCs w:val="22"/>
          <w:lang w:val="bg-BG"/>
        </w:rPr>
      </w:pPr>
      <w:r w:rsidRPr="00FE6AC6">
        <w:rPr>
          <w:szCs w:val="22"/>
          <w:lang w:val="bg-BG"/>
        </w:rPr>
        <w:t>Не всички видове опаковки могат да бъдат пуснати в продажба.</w:t>
      </w:r>
    </w:p>
    <w:p w14:paraId="3E5500D5" w14:textId="77777777" w:rsidR="005E79A6" w:rsidRPr="00FE6AC6" w:rsidRDefault="005E79A6" w:rsidP="0063575E">
      <w:pPr>
        <w:widowControl w:val="0"/>
        <w:tabs>
          <w:tab w:val="clear" w:pos="567"/>
        </w:tabs>
        <w:spacing w:line="240" w:lineRule="auto"/>
        <w:rPr>
          <w:color w:val="000000"/>
          <w:lang w:val="bg-BG"/>
        </w:rPr>
      </w:pPr>
    </w:p>
    <w:p w14:paraId="3E5500D6" w14:textId="77777777" w:rsidR="001636FA" w:rsidRPr="00FE6AC6" w:rsidRDefault="001636FA" w:rsidP="0063575E">
      <w:pPr>
        <w:keepNext/>
        <w:widowControl w:val="0"/>
        <w:tabs>
          <w:tab w:val="clear" w:pos="567"/>
        </w:tabs>
        <w:spacing w:line="240" w:lineRule="auto"/>
        <w:ind w:left="567" w:hanging="567"/>
        <w:outlineLvl w:val="0"/>
        <w:rPr>
          <w:color w:val="000000"/>
          <w:lang w:val="bg-BG"/>
        </w:rPr>
      </w:pPr>
      <w:r w:rsidRPr="00FE6AC6">
        <w:rPr>
          <w:b/>
          <w:color w:val="000000"/>
          <w:lang w:val="bg-BG"/>
        </w:rPr>
        <w:t>6.6</w:t>
      </w:r>
      <w:r w:rsidRPr="00FE6AC6">
        <w:rPr>
          <w:b/>
          <w:color w:val="000000"/>
          <w:lang w:val="bg-BG"/>
        </w:rPr>
        <w:tab/>
        <w:t>Специални предпазни мерки при изхвърляне</w:t>
      </w:r>
    </w:p>
    <w:p w14:paraId="3E5500D7" w14:textId="77777777" w:rsidR="001636FA" w:rsidRPr="00FE6AC6" w:rsidRDefault="001636FA" w:rsidP="0063575E">
      <w:pPr>
        <w:keepNext/>
        <w:widowControl w:val="0"/>
        <w:tabs>
          <w:tab w:val="clear" w:pos="567"/>
        </w:tabs>
        <w:spacing w:line="240" w:lineRule="auto"/>
        <w:rPr>
          <w:color w:val="000000"/>
          <w:lang w:val="bg-BG"/>
        </w:rPr>
      </w:pPr>
    </w:p>
    <w:p w14:paraId="3E5500D8" w14:textId="77777777" w:rsidR="0004665E" w:rsidRPr="00FE6AC6" w:rsidRDefault="005C602F" w:rsidP="0063575E">
      <w:pPr>
        <w:widowControl w:val="0"/>
        <w:tabs>
          <w:tab w:val="clear" w:pos="567"/>
        </w:tabs>
        <w:spacing w:line="240" w:lineRule="auto"/>
        <w:rPr>
          <w:noProof/>
          <w:szCs w:val="24"/>
          <w:lang w:val="bg-BG"/>
        </w:rPr>
      </w:pPr>
      <w:r w:rsidRPr="00FE6AC6">
        <w:rPr>
          <w:noProof/>
          <w:szCs w:val="24"/>
          <w:lang w:val="bg-BG"/>
        </w:rPr>
        <w:t>Неизползваният лекарствен продукт или отпадъчните материали от него трябва да се изхвърлят в съответствие с местните изисквания.</w:t>
      </w:r>
    </w:p>
    <w:p w14:paraId="3E5500D9" w14:textId="77777777" w:rsidR="001636FA" w:rsidRPr="00FE6AC6" w:rsidRDefault="001636FA" w:rsidP="0063575E">
      <w:pPr>
        <w:widowControl w:val="0"/>
        <w:tabs>
          <w:tab w:val="clear" w:pos="567"/>
        </w:tabs>
        <w:spacing w:line="240" w:lineRule="auto"/>
        <w:rPr>
          <w:color w:val="000000"/>
          <w:lang w:val="bg-BG"/>
        </w:rPr>
      </w:pPr>
    </w:p>
    <w:p w14:paraId="3E5500DA" w14:textId="77777777" w:rsidR="001636FA" w:rsidRPr="00FE6AC6" w:rsidRDefault="001636FA" w:rsidP="0063575E">
      <w:pPr>
        <w:widowControl w:val="0"/>
        <w:tabs>
          <w:tab w:val="clear" w:pos="567"/>
        </w:tabs>
        <w:spacing w:line="240" w:lineRule="auto"/>
        <w:rPr>
          <w:color w:val="000000"/>
          <w:lang w:val="bg-BG"/>
        </w:rPr>
      </w:pPr>
    </w:p>
    <w:p w14:paraId="3E5500DB" w14:textId="77777777" w:rsidR="001636FA" w:rsidRPr="00FE6AC6" w:rsidRDefault="001636FA" w:rsidP="0063575E">
      <w:pPr>
        <w:keepNext/>
        <w:widowControl w:val="0"/>
        <w:spacing w:line="240" w:lineRule="auto"/>
        <w:ind w:left="567" w:hanging="567"/>
        <w:rPr>
          <w:color w:val="000000"/>
          <w:lang w:val="bg-BG"/>
        </w:rPr>
      </w:pPr>
      <w:r w:rsidRPr="00FE6AC6">
        <w:rPr>
          <w:b/>
          <w:color w:val="000000"/>
          <w:lang w:val="bg-BG"/>
        </w:rPr>
        <w:t>7.</w:t>
      </w:r>
      <w:r w:rsidRPr="00FE6AC6">
        <w:rPr>
          <w:b/>
          <w:color w:val="000000"/>
          <w:lang w:val="bg-BG"/>
        </w:rPr>
        <w:tab/>
        <w:t>ПРИТЕЖАТЕЛ НА РАЗРЕШЕНИЕТО ЗА УПОТРЕБА</w:t>
      </w:r>
    </w:p>
    <w:p w14:paraId="3E5500DC" w14:textId="77777777" w:rsidR="001636FA" w:rsidRPr="00FE6AC6" w:rsidRDefault="001636FA" w:rsidP="0063575E">
      <w:pPr>
        <w:keepNext/>
        <w:widowControl w:val="0"/>
        <w:spacing w:line="240" w:lineRule="auto"/>
        <w:rPr>
          <w:color w:val="000000"/>
          <w:lang w:val="bg-BG"/>
        </w:rPr>
      </w:pPr>
    </w:p>
    <w:p w14:paraId="3E5500DD" w14:textId="77777777" w:rsidR="001636FA" w:rsidRPr="00FE6AC6" w:rsidRDefault="001636FA" w:rsidP="0063575E">
      <w:pPr>
        <w:keepNext/>
        <w:widowControl w:val="0"/>
        <w:tabs>
          <w:tab w:val="clear" w:pos="567"/>
        </w:tabs>
        <w:spacing w:line="240" w:lineRule="auto"/>
        <w:rPr>
          <w:color w:val="000000"/>
          <w:lang w:val="bg-BG"/>
        </w:rPr>
      </w:pPr>
      <w:r w:rsidRPr="00FE6AC6">
        <w:rPr>
          <w:color w:val="000000"/>
          <w:lang w:val="en-US"/>
        </w:rPr>
        <w:t>Novartis</w:t>
      </w:r>
      <w:r w:rsidRPr="00FE6AC6">
        <w:rPr>
          <w:color w:val="000000"/>
          <w:lang w:val="bg-BG"/>
        </w:rPr>
        <w:t xml:space="preserve"> </w:t>
      </w:r>
      <w:r w:rsidRPr="00FE6AC6">
        <w:rPr>
          <w:color w:val="000000"/>
          <w:lang w:val="en-US"/>
        </w:rPr>
        <w:t>Europharm</w:t>
      </w:r>
      <w:r w:rsidRPr="00FE6AC6">
        <w:rPr>
          <w:color w:val="000000"/>
          <w:lang w:val="bg-BG"/>
        </w:rPr>
        <w:t xml:space="preserve"> </w:t>
      </w:r>
      <w:r w:rsidRPr="00FE6AC6">
        <w:rPr>
          <w:color w:val="000000"/>
          <w:lang w:val="en-US"/>
        </w:rPr>
        <w:t>Limited</w:t>
      </w:r>
    </w:p>
    <w:p w14:paraId="3E5500DE" w14:textId="77777777" w:rsidR="000B10A3" w:rsidRPr="00FE6AC6" w:rsidRDefault="000B10A3" w:rsidP="0063575E">
      <w:pPr>
        <w:keepNext/>
        <w:widowControl w:val="0"/>
        <w:spacing w:line="240" w:lineRule="auto"/>
        <w:rPr>
          <w:color w:val="000000"/>
        </w:rPr>
      </w:pPr>
      <w:r w:rsidRPr="00FE6AC6">
        <w:rPr>
          <w:color w:val="000000"/>
        </w:rPr>
        <w:t>Vista Building</w:t>
      </w:r>
    </w:p>
    <w:p w14:paraId="3E5500DF" w14:textId="77777777" w:rsidR="000B10A3" w:rsidRPr="00FE6AC6" w:rsidRDefault="000B10A3" w:rsidP="0063575E">
      <w:pPr>
        <w:keepNext/>
        <w:widowControl w:val="0"/>
        <w:spacing w:line="240" w:lineRule="auto"/>
        <w:rPr>
          <w:color w:val="000000"/>
        </w:rPr>
      </w:pPr>
      <w:r w:rsidRPr="00FE6AC6">
        <w:rPr>
          <w:color w:val="000000"/>
        </w:rPr>
        <w:t>Elm Park, Merrion Road</w:t>
      </w:r>
    </w:p>
    <w:p w14:paraId="3E5500E0" w14:textId="77777777" w:rsidR="000B10A3" w:rsidRPr="00FE6AC6" w:rsidRDefault="000B10A3" w:rsidP="0063575E">
      <w:pPr>
        <w:keepNext/>
        <w:widowControl w:val="0"/>
        <w:spacing w:line="240" w:lineRule="auto"/>
        <w:rPr>
          <w:color w:val="000000"/>
        </w:rPr>
      </w:pPr>
      <w:r w:rsidRPr="00FE6AC6">
        <w:rPr>
          <w:color w:val="000000"/>
        </w:rPr>
        <w:t>Dublin 4</w:t>
      </w:r>
    </w:p>
    <w:p w14:paraId="3E5500E1" w14:textId="77777777" w:rsidR="000B10A3" w:rsidRPr="00FE6AC6" w:rsidRDefault="000B10A3" w:rsidP="0063575E">
      <w:pPr>
        <w:spacing w:line="240" w:lineRule="auto"/>
        <w:rPr>
          <w:color w:val="000000"/>
        </w:rPr>
      </w:pPr>
      <w:r w:rsidRPr="00FE6AC6">
        <w:rPr>
          <w:color w:val="000000"/>
        </w:rPr>
        <w:t>Ирландия</w:t>
      </w:r>
    </w:p>
    <w:p w14:paraId="3E5500E2" w14:textId="77777777" w:rsidR="001636FA" w:rsidRPr="00FE6AC6" w:rsidRDefault="001636FA" w:rsidP="0063575E">
      <w:pPr>
        <w:widowControl w:val="0"/>
        <w:spacing w:line="240" w:lineRule="auto"/>
        <w:rPr>
          <w:color w:val="000000"/>
          <w:lang w:val="ru-RU"/>
        </w:rPr>
      </w:pPr>
    </w:p>
    <w:p w14:paraId="3E5500E3" w14:textId="77777777" w:rsidR="001636FA" w:rsidRPr="00FE6AC6" w:rsidRDefault="001636FA" w:rsidP="0063575E">
      <w:pPr>
        <w:widowControl w:val="0"/>
        <w:spacing w:line="240" w:lineRule="auto"/>
        <w:rPr>
          <w:color w:val="000000"/>
          <w:lang w:val="bg-BG"/>
        </w:rPr>
      </w:pPr>
    </w:p>
    <w:p w14:paraId="3E5500E4" w14:textId="77777777" w:rsidR="001636FA" w:rsidRPr="00FE6AC6" w:rsidRDefault="001636FA" w:rsidP="0063575E">
      <w:pPr>
        <w:keepNext/>
        <w:widowControl w:val="0"/>
        <w:spacing w:line="240" w:lineRule="auto"/>
        <w:ind w:left="567" w:hanging="567"/>
        <w:rPr>
          <w:b/>
          <w:color w:val="000000"/>
          <w:lang w:val="bg-BG"/>
        </w:rPr>
      </w:pPr>
      <w:r w:rsidRPr="00FE6AC6">
        <w:rPr>
          <w:b/>
          <w:color w:val="000000"/>
          <w:lang w:val="bg-BG"/>
        </w:rPr>
        <w:t>8.</w:t>
      </w:r>
      <w:r w:rsidRPr="00FE6AC6">
        <w:rPr>
          <w:b/>
          <w:color w:val="000000"/>
          <w:lang w:val="bg-BG"/>
        </w:rPr>
        <w:tab/>
        <w:t>НОМЕР(А) НА РАЗРЕШЕНИЕТО ЗА УПОТРЕБА</w:t>
      </w:r>
    </w:p>
    <w:p w14:paraId="3E5500E5" w14:textId="77777777" w:rsidR="001636FA" w:rsidRPr="00FE6AC6" w:rsidRDefault="001636FA" w:rsidP="0063575E">
      <w:pPr>
        <w:keepNext/>
        <w:widowControl w:val="0"/>
        <w:spacing w:line="240" w:lineRule="auto"/>
        <w:rPr>
          <w:color w:val="000000"/>
          <w:lang w:val="bg-BG"/>
        </w:rPr>
      </w:pPr>
    </w:p>
    <w:p w14:paraId="3E5500EA" w14:textId="77777777" w:rsidR="009B4B3F" w:rsidRPr="00FE6AC6" w:rsidRDefault="009B4B3F" w:rsidP="0063575E">
      <w:pPr>
        <w:pStyle w:val="EndnoteText"/>
        <w:widowControl w:val="0"/>
        <w:tabs>
          <w:tab w:val="clear" w:pos="567"/>
        </w:tabs>
        <w:rPr>
          <w:color w:val="000000"/>
          <w:szCs w:val="22"/>
          <w:lang w:val="bg-BG"/>
        </w:rPr>
      </w:pPr>
      <w:r w:rsidRPr="00FE6AC6">
        <w:rPr>
          <w:color w:val="000000"/>
          <w:szCs w:val="22"/>
          <w:lang w:val="de-CH"/>
        </w:rPr>
        <w:t>EU</w:t>
      </w:r>
      <w:r w:rsidRPr="00FE6AC6">
        <w:rPr>
          <w:color w:val="000000"/>
          <w:szCs w:val="22"/>
          <w:lang w:val="bg-BG"/>
        </w:rPr>
        <w:t>/1/01/198/002-006</w:t>
      </w:r>
    </w:p>
    <w:p w14:paraId="3E5500EB" w14:textId="77777777" w:rsidR="009B4B3F" w:rsidRPr="00FE6AC6" w:rsidRDefault="009B4B3F" w:rsidP="0063575E">
      <w:pPr>
        <w:widowControl w:val="0"/>
        <w:spacing w:line="240" w:lineRule="auto"/>
        <w:rPr>
          <w:color w:val="000000"/>
          <w:lang w:val="bg-BG"/>
        </w:rPr>
      </w:pPr>
    </w:p>
    <w:p w14:paraId="3E5500EC" w14:textId="77777777" w:rsidR="001636FA" w:rsidRPr="00FE6AC6" w:rsidRDefault="001636FA" w:rsidP="0063575E">
      <w:pPr>
        <w:widowControl w:val="0"/>
        <w:spacing w:line="240" w:lineRule="auto"/>
        <w:rPr>
          <w:color w:val="000000"/>
          <w:lang w:val="bg-BG"/>
        </w:rPr>
      </w:pPr>
    </w:p>
    <w:p w14:paraId="3E5500ED" w14:textId="77777777" w:rsidR="001636FA" w:rsidRPr="00FE6AC6" w:rsidRDefault="001636FA" w:rsidP="0063575E">
      <w:pPr>
        <w:keepNext/>
        <w:widowControl w:val="0"/>
        <w:spacing w:line="240" w:lineRule="auto"/>
        <w:ind w:left="567" w:hanging="567"/>
        <w:rPr>
          <w:color w:val="000000"/>
          <w:lang w:val="bg-BG"/>
        </w:rPr>
      </w:pPr>
      <w:r w:rsidRPr="00FE6AC6">
        <w:rPr>
          <w:b/>
          <w:color w:val="000000"/>
          <w:lang w:val="bg-BG"/>
        </w:rPr>
        <w:t>9.</w:t>
      </w:r>
      <w:r w:rsidRPr="00FE6AC6">
        <w:rPr>
          <w:b/>
          <w:color w:val="000000"/>
          <w:lang w:val="bg-BG"/>
        </w:rPr>
        <w:tab/>
        <w:t>ДАТА НА ПЪРВО РАЗРЕШАВАНЕ/ПОДНОВЯВАНЕ НА РАЗРЕШЕНИЕТО ЗА УПОТРЕБА</w:t>
      </w:r>
    </w:p>
    <w:p w14:paraId="3E5500EE" w14:textId="77777777" w:rsidR="001636FA" w:rsidRPr="00FE6AC6" w:rsidRDefault="001636FA" w:rsidP="0063575E">
      <w:pPr>
        <w:keepNext/>
        <w:widowControl w:val="0"/>
        <w:spacing w:line="240" w:lineRule="auto"/>
        <w:rPr>
          <w:i/>
          <w:color w:val="000000"/>
          <w:lang w:val="bg-BG"/>
        </w:rPr>
      </w:pPr>
    </w:p>
    <w:p w14:paraId="3E5500EF" w14:textId="77777777" w:rsidR="001636FA" w:rsidRPr="00FE6AC6" w:rsidRDefault="001636FA" w:rsidP="0063575E">
      <w:pPr>
        <w:keepNext/>
        <w:widowControl w:val="0"/>
        <w:spacing w:line="240" w:lineRule="auto"/>
        <w:rPr>
          <w:color w:val="000000"/>
          <w:lang w:val="bg-BG"/>
        </w:rPr>
      </w:pPr>
      <w:r w:rsidRPr="00FE6AC6">
        <w:rPr>
          <w:color w:val="000000"/>
          <w:lang w:val="bg-BG"/>
        </w:rPr>
        <w:t>Дата на първо разрешаване</w:t>
      </w:r>
      <w:r w:rsidRPr="00FE6AC6">
        <w:rPr>
          <w:color w:val="000000"/>
          <w:lang w:val="ru-RU"/>
        </w:rPr>
        <w:t>:</w:t>
      </w:r>
      <w:r w:rsidR="00E301DA" w:rsidRPr="00FE6AC6">
        <w:rPr>
          <w:color w:val="000000"/>
          <w:lang w:val="ru-RU"/>
        </w:rPr>
        <w:t xml:space="preserve"> </w:t>
      </w:r>
      <w:r w:rsidRPr="00FE6AC6">
        <w:rPr>
          <w:color w:val="000000"/>
          <w:lang w:val="ru-RU"/>
        </w:rPr>
        <w:t>07</w:t>
      </w:r>
      <w:r w:rsidR="00290AEA" w:rsidRPr="00FE6AC6">
        <w:rPr>
          <w:color w:val="000000"/>
          <w:lang w:val="ru-RU"/>
        </w:rPr>
        <w:t xml:space="preserve"> </w:t>
      </w:r>
      <w:r w:rsidR="00E301DA" w:rsidRPr="00FE6AC6">
        <w:rPr>
          <w:color w:val="000000"/>
          <w:lang w:val="ru-RU"/>
        </w:rPr>
        <w:t>н</w:t>
      </w:r>
      <w:r w:rsidR="00290AEA" w:rsidRPr="00FE6AC6">
        <w:rPr>
          <w:color w:val="000000"/>
          <w:lang w:val="ru-RU"/>
        </w:rPr>
        <w:t xml:space="preserve">оември </w:t>
      </w:r>
      <w:smartTag w:uri="urn:schemas-microsoft-com:office:smarttags" w:element="metricconverter">
        <w:smartTagPr>
          <w:attr w:name="ProductID" w:val="2001 г"/>
        </w:smartTagPr>
        <w:r w:rsidRPr="00FE6AC6">
          <w:rPr>
            <w:color w:val="000000"/>
            <w:lang w:val="ru-RU"/>
          </w:rPr>
          <w:t>2001</w:t>
        </w:r>
        <w:r w:rsidR="00E301DA" w:rsidRPr="00FE6AC6">
          <w:rPr>
            <w:color w:val="000000"/>
            <w:lang w:val="ru-RU"/>
          </w:rPr>
          <w:t xml:space="preserve"> г</w:t>
        </w:r>
      </w:smartTag>
      <w:r w:rsidR="00E301DA" w:rsidRPr="00FE6AC6">
        <w:rPr>
          <w:color w:val="000000"/>
          <w:lang w:val="ru-RU"/>
        </w:rPr>
        <w:t>.</w:t>
      </w:r>
    </w:p>
    <w:p w14:paraId="3E5500F0" w14:textId="77777777" w:rsidR="001636FA" w:rsidRPr="00FE6AC6" w:rsidRDefault="001636FA" w:rsidP="0063575E">
      <w:pPr>
        <w:widowControl w:val="0"/>
        <w:spacing w:line="240" w:lineRule="auto"/>
        <w:rPr>
          <w:color w:val="000000"/>
          <w:lang w:val="bg-BG"/>
        </w:rPr>
      </w:pPr>
      <w:r w:rsidRPr="00FE6AC6">
        <w:rPr>
          <w:color w:val="000000"/>
          <w:lang w:val="bg-BG"/>
        </w:rPr>
        <w:t xml:space="preserve">Дата на </w:t>
      </w:r>
      <w:r w:rsidR="001A2993" w:rsidRPr="00FE6AC6">
        <w:rPr>
          <w:color w:val="000000"/>
          <w:lang w:val="bg-BG"/>
        </w:rPr>
        <w:t>последно</w:t>
      </w:r>
      <w:r w:rsidRPr="00FE6AC6">
        <w:rPr>
          <w:color w:val="000000"/>
          <w:lang w:val="bg-BG"/>
        </w:rPr>
        <w:t xml:space="preserve"> подновяване:</w:t>
      </w:r>
      <w:r w:rsidR="00E301DA" w:rsidRPr="00FE6AC6">
        <w:rPr>
          <w:color w:val="000000"/>
          <w:lang w:val="bg-BG"/>
        </w:rPr>
        <w:t xml:space="preserve"> </w:t>
      </w:r>
      <w:r w:rsidR="00AB1A71" w:rsidRPr="00FE6AC6">
        <w:rPr>
          <w:color w:val="000000"/>
          <w:lang w:val="bg-BG"/>
        </w:rPr>
        <w:t>07</w:t>
      </w:r>
      <w:r w:rsidR="008A2D13" w:rsidRPr="00FE6AC6">
        <w:rPr>
          <w:color w:val="000000"/>
          <w:lang w:val="bg-BG"/>
        </w:rPr>
        <w:t xml:space="preserve"> </w:t>
      </w:r>
      <w:r w:rsidR="00E301DA" w:rsidRPr="00FE6AC6">
        <w:rPr>
          <w:color w:val="000000"/>
          <w:lang w:val="bg-BG"/>
        </w:rPr>
        <w:t>н</w:t>
      </w:r>
      <w:r w:rsidR="008A2D13" w:rsidRPr="00FE6AC6">
        <w:rPr>
          <w:color w:val="000000"/>
          <w:lang w:val="bg-BG"/>
        </w:rPr>
        <w:t xml:space="preserve">оември </w:t>
      </w:r>
      <w:smartTag w:uri="urn:schemas-microsoft-com:office:smarttags" w:element="metricconverter">
        <w:smartTagPr>
          <w:attr w:name="ProductID" w:val="2006 г"/>
        </w:smartTagPr>
        <w:r w:rsidR="00AB1A71" w:rsidRPr="00FE6AC6">
          <w:rPr>
            <w:color w:val="000000"/>
            <w:lang w:val="bg-BG"/>
          </w:rPr>
          <w:t>2006</w:t>
        </w:r>
        <w:r w:rsidR="00E301DA" w:rsidRPr="00FE6AC6">
          <w:rPr>
            <w:color w:val="000000"/>
            <w:lang w:val="bg-BG"/>
          </w:rPr>
          <w:t xml:space="preserve"> г</w:t>
        </w:r>
      </w:smartTag>
      <w:r w:rsidR="00E301DA" w:rsidRPr="00FE6AC6">
        <w:rPr>
          <w:color w:val="000000"/>
          <w:lang w:val="bg-BG"/>
        </w:rPr>
        <w:t>.</w:t>
      </w:r>
    </w:p>
    <w:p w14:paraId="3E5500F1" w14:textId="77777777" w:rsidR="001636FA" w:rsidRPr="00FE6AC6" w:rsidRDefault="001636FA" w:rsidP="0063575E">
      <w:pPr>
        <w:widowControl w:val="0"/>
        <w:spacing w:line="240" w:lineRule="auto"/>
        <w:rPr>
          <w:color w:val="000000"/>
          <w:lang w:val="ru-RU"/>
        </w:rPr>
      </w:pPr>
    </w:p>
    <w:p w14:paraId="3E5500F2" w14:textId="77777777" w:rsidR="001636FA" w:rsidRPr="00FE6AC6" w:rsidRDefault="001636FA" w:rsidP="0063575E">
      <w:pPr>
        <w:widowControl w:val="0"/>
        <w:spacing w:line="240" w:lineRule="auto"/>
        <w:rPr>
          <w:color w:val="000000"/>
          <w:lang w:val="ru-RU"/>
        </w:rPr>
      </w:pPr>
    </w:p>
    <w:p w14:paraId="3E5500F3" w14:textId="77777777" w:rsidR="001636FA" w:rsidRPr="00FE6AC6" w:rsidRDefault="00461FF0" w:rsidP="0063575E">
      <w:pPr>
        <w:widowControl w:val="0"/>
        <w:tabs>
          <w:tab w:val="clear" w:pos="567"/>
        </w:tabs>
        <w:spacing w:line="240" w:lineRule="auto"/>
        <w:outlineLvl w:val="0"/>
        <w:rPr>
          <w:b/>
          <w:color w:val="000000"/>
          <w:lang w:val="ru-RU"/>
        </w:rPr>
      </w:pPr>
      <w:r w:rsidRPr="00FE6AC6">
        <w:rPr>
          <w:b/>
          <w:color w:val="000000"/>
          <w:lang w:val="ru-RU"/>
        </w:rPr>
        <w:t>10.</w:t>
      </w:r>
      <w:r w:rsidRPr="00FE6AC6">
        <w:rPr>
          <w:b/>
          <w:color w:val="000000"/>
          <w:lang w:val="ru-RU"/>
        </w:rPr>
        <w:tab/>
      </w:r>
      <w:r w:rsidR="001636FA" w:rsidRPr="00FE6AC6">
        <w:rPr>
          <w:b/>
          <w:color w:val="000000"/>
          <w:lang w:val="bg-BG"/>
        </w:rPr>
        <w:t>ДАТА НА АКТУАЛИЗИРАНЕ НА ТЕКСТА</w:t>
      </w:r>
    </w:p>
    <w:p w14:paraId="3E5500F4" w14:textId="77777777" w:rsidR="00B42B96" w:rsidRPr="00FE6AC6" w:rsidRDefault="00B42B96" w:rsidP="0063575E">
      <w:pPr>
        <w:widowControl w:val="0"/>
        <w:numPr>
          <w:ilvl w:val="12"/>
          <w:numId w:val="0"/>
        </w:numPr>
        <w:tabs>
          <w:tab w:val="clear" w:pos="567"/>
        </w:tabs>
        <w:spacing w:line="240" w:lineRule="auto"/>
        <w:ind w:right="-2"/>
        <w:rPr>
          <w:noProof/>
          <w:lang w:val="ru-RU"/>
        </w:rPr>
      </w:pPr>
    </w:p>
    <w:p w14:paraId="3E5500F5" w14:textId="77777777" w:rsidR="00B42B96" w:rsidRPr="00FE6AC6" w:rsidRDefault="00B42B96" w:rsidP="0063575E">
      <w:pPr>
        <w:widowControl w:val="0"/>
        <w:numPr>
          <w:ilvl w:val="12"/>
          <w:numId w:val="0"/>
        </w:numPr>
        <w:tabs>
          <w:tab w:val="clear" w:pos="567"/>
        </w:tabs>
        <w:spacing w:line="240" w:lineRule="auto"/>
        <w:ind w:right="-2"/>
        <w:rPr>
          <w:noProof/>
          <w:lang w:val="ru-RU"/>
        </w:rPr>
      </w:pPr>
    </w:p>
    <w:p w14:paraId="3E5500F6" w14:textId="77777777" w:rsidR="00B42B96" w:rsidRPr="00FE6AC6" w:rsidRDefault="00B42B96" w:rsidP="0063575E">
      <w:pPr>
        <w:widowControl w:val="0"/>
        <w:numPr>
          <w:ilvl w:val="12"/>
          <w:numId w:val="0"/>
        </w:numPr>
        <w:tabs>
          <w:tab w:val="clear" w:pos="567"/>
        </w:tabs>
        <w:spacing w:line="240" w:lineRule="auto"/>
        <w:ind w:right="-2"/>
        <w:rPr>
          <w:noProof/>
          <w:color w:val="000000"/>
          <w:lang w:val="ru-RU"/>
        </w:rPr>
      </w:pPr>
      <w:r w:rsidRPr="00FE6AC6">
        <w:rPr>
          <w:noProof/>
          <w:lang w:val="bg-BG"/>
        </w:rPr>
        <w:t xml:space="preserve">Подробна информация за този лекарствен продукт е предоставена на уебсайта на Европейската агенция по лекарствата </w:t>
      </w:r>
      <w:hyperlink r:id="rId14" w:history="1">
        <w:r w:rsidR="005370AC" w:rsidRPr="00FE6AC6">
          <w:rPr>
            <w:rStyle w:val="Hyperlink"/>
            <w:noProof/>
          </w:rPr>
          <w:t>http</w:t>
        </w:r>
        <w:r w:rsidR="005370AC" w:rsidRPr="00FE6AC6">
          <w:rPr>
            <w:rStyle w:val="Hyperlink"/>
            <w:noProof/>
            <w:lang w:val="ru-RU"/>
          </w:rPr>
          <w:t>://</w:t>
        </w:r>
        <w:r w:rsidR="005370AC" w:rsidRPr="00FE6AC6">
          <w:rPr>
            <w:rStyle w:val="Hyperlink"/>
            <w:noProof/>
          </w:rPr>
          <w:t>www</w:t>
        </w:r>
        <w:r w:rsidR="005370AC" w:rsidRPr="00FE6AC6">
          <w:rPr>
            <w:rStyle w:val="Hyperlink"/>
            <w:noProof/>
            <w:lang w:val="ru-RU"/>
          </w:rPr>
          <w:t>.</w:t>
        </w:r>
        <w:r w:rsidR="005370AC" w:rsidRPr="00FE6AC6">
          <w:rPr>
            <w:rStyle w:val="Hyperlink"/>
            <w:noProof/>
          </w:rPr>
          <w:t>ema</w:t>
        </w:r>
        <w:r w:rsidR="005370AC" w:rsidRPr="00FE6AC6">
          <w:rPr>
            <w:rStyle w:val="Hyperlink"/>
            <w:noProof/>
            <w:lang w:val="ru-RU"/>
          </w:rPr>
          <w:t>.</w:t>
        </w:r>
        <w:r w:rsidR="005370AC" w:rsidRPr="00FE6AC6">
          <w:rPr>
            <w:rStyle w:val="Hyperlink"/>
            <w:noProof/>
          </w:rPr>
          <w:t>europa</w:t>
        </w:r>
        <w:r w:rsidR="005370AC" w:rsidRPr="00FE6AC6">
          <w:rPr>
            <w:rStyle w:val="Hyperlink"/>
            <w:noProof/>
            <w:lang w:val="ru-RU"/>
          </w:rPr>
          <w:t>.</w:t>
        </w:r>
        <w:r w:rsidR="005370AC" w:rsidRPr="00FE6AC6">
          <w:rPr>
            <w:rStyle w:val="Hyperlink"/>
            <w:noProof/>
          </w:rPr>
          <w:t>eu</w:t>
        </w:r>
      </w:hyperlink>
    </w:p>
    <w:p w14:paraId="3E5500F7" w14:textId="77777777" w:rsidR="00EC75FF" w:rsidRPr="00FE6AC6" w:rsidRDefault="00EC75FF" w:rsidP="0063575E">
      <w:pPr>
        <w:widowControl w:val="0"/>
        <w:spacing w:line="240" w:lineRule="auto"/>
        <w:rPr>
          <w:b/>
          <w:color w:val="000000"/>
          <w:lang w:val="bg-BG"/>
        </w:rPr>
      </w:pPr>
    </w:p>
    <w:p w14:paraId="3E5500F8" w14:textId="77777777" w:rsidR="00677D70" w:rsidRPr="00FE6AC6" w:rsidRDefault="00D73861" w:rsidP="0063575E">
      <w:pPr>
        <w:widowControl w:val="0"/>
        <w:spacing w:line="240" w:lineRule="auto"/>
        <w:rPr>
          <w:szCs w:val="22"/>
          <w:lang w:val="bg-BG"/>
        </w:rPr>
      </w:pPr>
      <w:r w:rsidRPr="00FE6AC6">
        <w:rPr>
          <w:b/>
          <w:color w:val="000000"/>
          <w:lang w:val="bg-BG"/>
        </w:rPr>
        <w:br w:type="page"/>
      </w:r>
      <w:r w:rsidR="00613193" w:rsidRPr="00FE6AC6">
        <w:rPr>
          <w:noProof/>
          <w:lang w:val="en-US"/>
        </w:rPr>
        <w:drawing>
          <wp:inline distT="0" distB="0" distL="0" distR="0" wp14:anchorId="3E550FD6" wp14:editId="3E550FD7">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677D70" w:rsidRPr="00FE6AC6">
        <w:rPr>
          <w:szCs w:val="22"/>
          <w:lang w:val="bg-BG"/>
        </w:rPr>
        <w:t>Този лекарствен продукт подлежи на допълнително наблюдение. Това ще позволи бързото установяване на нова информация относно безопасността. От медицинските специалисти се изисква да съобщават всяка подозирана нежелана реакция. За начина на съобщаване на нежелани реакции вижте точка</w:t>
      </w:r>
      <w:r w:rsidR="00677D70" w:rsidRPr="00FE6AC6">
        <w:rPr>
          <w:szCs w:val="22"/>
          <w:lang w:val="de-CH"/>
        </w:rPr>
        <w:t> </w:t>
      </w:r>
      <w:r w:rsidR="00677D70" w:rsidRPr="00FE6AC6">
        <w:rPr>
          <w:szCs w:val="22"/>
          <w:lang w:val="bg-BG"/>
        </w:rPr>
        <w:t>4.8.</w:t>
      </w:r>
    </w:p>
    <w:p w14:paraId="3E5500F9" w14:textId="77777777" w:rsidR="00677D70" w:rsidRPr="00FE6AC6" w:rsidRDefault="00677D70" w:rsidP="0063575E">
      <w:pPr>
        <w:widowControl w:val="0"/>
        <w:spacing w:line="240" w:lineRule="auto"/>
        <w:rPr>
          <w:szCs w:val="22"/>
          <w:lang w:val="bg-BG"/>
        </w:rPr>
      </w:pPr>
    </w:p>
    <w:p w14:paraId="3E5500FA" w14:textId="77777777" w:rsidR="00677D70" w:rsidRPr="00FE6AC6" w:rsidRDefault="00677D70" w:rsidP="0063575E">
      <w:pPr>
        <w:widowControl w:val="0"/>
        <w:spacing w:line="240" w:lineRule="auto"/>
        <w:rPr>
          <w:szCs w:val="22"/>
          <w:lang w:val="bg-BG"/>
        </w:rPr>
      </w:pPr>
    </w:p>
    <w:p w14:paraId="3E5500FB" w14:textId="77777777" w:rsidR="00D73861" w:rsidRPr="00FE6AC6" w:rsidRDefault="00D73861" w:rsidP="0063575E">
      <w:pPr>
        <w:widowControl w:val="0"/>
        <w:tabs>
          <w:tab w:val="clear" w:pos="567"/>
        </w:tabs>
        <w:spacing w:line="240" w:lineRule="auto"/>
        <w:rPr>
          <w:color w:val="000000"/>
          <w:lang w:val="bg-BG"/>
        </w:rPr>
      </w:pPr>
      <w:r w:rsidRPr="00FE6AC6">
        <w:rPr>
          <w:b/>
          <w:color w:val="000000"/>
          <w:lang w:val="bg-BG"/>
        </w:rPr>
        <w:t>1.</w:t>
      </w:r>
      <w:r w:rsidRPr="00FE6AC6">
        <w:rPr>
          <w:b/>
          <w:color w:val="000000"/>
          <w:lang w:val="bg-BG"/>
        </w:rPr>
        <w:tab/>
        <w:t>ИМЕ НА ЛЕКАРСТВЕНИЯ ПРОДУКТ</w:t>
      </w:r>
    </w:p>
    <w:p w14:paraId="3E5500FC" w14:textId="77777777" w:rsidR="00D73861" w:rsidRPr="00FE6AC6" w:rsidRDefault="00D73861" w:rsidP="0063575E">
      <w:pPr>
        <w:widowControl w:val="0"/>
        <w:tabs>
          <w:tab w:val="clear" w:pos="567"/>
        </w:tabs>
        <w:spacing w:line="240" w:lineRule="auto"/>
        <w:rPr>
          <w:color w:val="000000"/>
          <w:lang w:val="bg-BG"/>
        </w:rPr>
      </w:pPr>
    </w:p>
    <w:p w14:paraId="3E5500FD" w14:textId="77777777" w:rsidR="00D73861" w:rsidRPr="00FE6AC6" w:rsidRDefault="00D73861" w:rsidP="0063575E">
      <w:pPr>
        <w:widowControl w:val="0"/>
        <w:tabs>
          <w:tab w:val="clear" w:pos="567"/>
        </w:tabs>
        <w:spacing w:line="240" w:lineRule="auto"/>
        <w:rPr>
          <w:color w:val="000000"/>
          <w:lang w:val="bg-BG"/>
        </w:rPr>
      </w:pPr>
      <w:r w:rsidRPr="00FE6AC6">
        <w:rPr>
          <w:color w:val="000000"/>
          <w:lang w:val="da-DK"/>
        </w:rPr>
        <w:t>Glivec</w:t>
      </w:r>
      <w:r w:rsidRPr="00FE6AC6">
        <w:rPr>
          <w:color w:val="000000"/>
          <w:lang w:val="bg-BG"/>
        </w:rPr>
        <w:t xml:space="preserve"> 100</w:t>
      </w:r>
      <w:r w:rsidRPr="00FE6AC6">
        <w:rPr>
          <w:color w:val="000000"/>
          <w:lang w:val="da-DK"/>
        </w:rPr>
        <w:t> mg</w:t>
      </w:r>
      <w:r w:rsidRPr="00FE6AC6">
        <w:rPr>
          <w:color w:val="000000"/>
          <w:lang w:val="bg-BG"/>
        </w:rPr>
        <w:t xml:space="preserve"> филмирани таблетки</w:t>
      </w:r>
    </w:p>
    <w:p w14:paraId="3E5500FE" w14:textId="77777777" w:rsidR="00F16722" w:rsidRPr="00FE6AC6" w:rsidRDefault="00F16722" w:rsidP="0063575E">
      <w:pPr>
        <w:widowControl w:val="0"/>
        <w:tabs>
          <w:tab w:val="clear" w:pos="567"/>
        </w:tabs>
        <w:spacing w:line="240" w:lineRule="auto"/>
        <w:rPr>
          <w:color w:val="000000"/>
          <w:lang w:val="bg-BG"/>
        </w:rPr>
      </w:pPr>
      <w:r w:rsidRPr="00FE6AC6">
        <w:rPr>
          <w:color w:val="000000"/>
          <w:lang w:val="da-DK"/>
        </w:rPr>
        <w:t>Glivec</w:t>
      </w:r>
      <w:r w:rsidRPr="00FE6AC6">
        <w:rPr>
          <w:color w:val="000000"/>
          <w:lang w:val="bg-BG"/>
        </w:rPr>
        <w:t xml:space="preserve"> 400</w:t>
      </w:r>
      <w:r w:rsidRPr="00FE6AC6">
        <w:rPr>
          <w:color w:val="000000"/>
          <w:lang w:val="da-DK"/>
        </w:rPr>
        <w:t> mg</w:t>
      </w:r>
      <w:r w:rsidRPr="00FE6AC6">
        <w:rPr>
          <w:color w:val="000000"/>
          <w:lang w:val="bg-BG"/>
        </w:rPr>
        <w:t xml:space="preserve"> филмирани таблетки</w:t>
      </w:r>
    </w:p>
    <w:p w14:paraId="3E5500FF" w14:textId="77777777" w:rsidR="00D73861" w:rsidRPr="00FE6AC6" w:rsidRDefault="00D73861" w:rsidP="0063575E">
      <w:pPr>
        <w:widowControl w:val="0"/>
        <w:tabs>
          <w:tab w:val="clear" w:pos="567"/>
        </w:tabs>
        <w:spacing w:line="240" w:lineRule="auto"/>
        <w:rPr>
          <w:color w:val="000000"/>
          <w:lang w:val="bg-BG"/>
        </w:rPr>
      </w:pPr>
    </w:p>
    <w:p w14:paraId="3E550100" w14:textId="77777777" w:rsidR="00D73861" w:rsidRPr="00FE6AC6" w:rsidRDefault="00D73861" w:rsidP="0063575E">
      <w:pPr>
        <w:widowControl w:val="0"/>
        <w:tabs>
          <w:tab w:val="clear" w:pos="567"/>
        </w:tabs>
        <w:spacing w:line="240" w:lineRule="auto"/>
        <w:rPr>
          <w:color w:val="000000"/>
          <w:lang w:val="bg-BG"/>
        </w:rPr>
      </w:pPr>
    </w:p>
    <w:p w14:paraId="3E550101" w14:textId="77777777" w:rsidR="00D73861" w:rsidRPr="00FE6AC6" w:rsidRDefault="00D73861" w:rsidP="0063575E">
      <w:pPr>
        <w:keepNext/>
        <w:widowControl w:val="0"/>
        <w:tabs>
          <w:tab w:val="clear" w:pos="567"/>
        </w:tabs>
        <w:spacing w:line="240" w:lineRule="auto"/>
        <w:rPr>
          <w:color w:val="000000"/>
          <w:lang w:val="bg-BG"/>
        </w:rPr>
      </w:pPr>
      <w:r w:rsidRPr="00FE6AC6">
        <w:rPr>
          <w:b/>
          <w:color w:val="000000"/>
          <w:lang w:val="bg-BG"/>
        </w:rPr>
        <w:t>2.</w:t>
      </w:r>
      <w:r w:rsidRPr="00FE6AC6">
        <w:rPr>
          <w:b/>
          <w:color w:val="000000"/>
          <w:lang w:val="bg-BG"/>
        </w:rPr>
        <w:tab/>
        <w:t>КАЧЕСТВЕН И КОЛИЧЕСТВЕН СЪСТАВ</w:t>
      </w:r>
    </w:p>
    <w:p w14:paraId="3E550102" w14:textId="77777777" w:rsidR="00D73861" w:rsidRPr="00FE6AC6" w:rsidRDefault="00D73861" w:rsidP="0063575E">
      <w:pPr>
        <w:keepNext/>
        <w:widowControl w:val="0"/>
        <w:tabs>
          <w:tab w:val="clear" w:pos="567"/>
        </w:tabs>
        <w:spacing w:line="240" w:lineRule="auto"/>
        <w:rPr>
          <w:color w:val="000000"/>
          <w:lang w:val="bg-BG"/>
        </w:rPr>
      </w:pPr>
    </w:p>
    <w:p w14:paraId="3E550103" w14:textId="77777777" w:rsidR="00F16722" w:rsidRPr="00FE6AC6" w:rsidRDefault="00F16722" w:rsidP="0063575E">
      <w:pPr>
        <w:keepNext/>
        <w:widowControl w:val="0"/>
        <w:tabs>
          <w:tab w:val="clear" w:pos="567"/>
        </w:tabs>
        <w:spacing w:line="240" w:lineRule="auto"/>
        <w:rPr>
          <w:color w:val="000000"/>
          <w:u w:val="single"/>
          <w:lang w:val="bg-BG"/>
        </w:rPr>
      </w:pPr>
      <w:r w:rsidRPr="00FE6AC6">
        <w:rPr>
          <w:color w:val="000000"/>
          <w:u w:val="single"/>
          <w:lang w:val="da-DK"/>
        </w:rPr>
        <w:t>Glivec</w:t>
      </w:r>
      <w:r w:rsidRPr="00FE6AC6">
        <w:rPr>
          <w:color w:val="000000"/>
          <w:u w:val="single"/>
          <w:lang w:val="bg-BG"/>
        </w:rPr>
        <w:t xml:space="preserve"> 100</w:t>
      </w:r>
      <w:r w:rsidRPr="00FE6AC6">
        <w:rPr>
          <w:color w:val="000000"/>
          <w:u w:val="single"/>
          <w:lang w:val="da-DK"/>
        </w:rPr>
        <w:t> mg</w:t>
      </w:r>
      <w:r w:rsidRPr="00FE6AC6">
        <w:rPr>
          <w:color w:val="000000"/>
          <w:u w:val="single"/>
          <w:lang w:val="bg-BG"/>
        </w:rPr>
        <w:t xml:space="preserve"> филмирани таблетки</w:t>
      </w:r>
    </w:p>
    <w:p w14:paraId="3E550104" w14:textId="77777777" w:rsidR="00D73861" w:rsidRPr="00FE6AC6" w:rsidRDefault="00D73861" w:rsidP="0063575E">
      <w:pPr>
        <w:widowControl w:val="0"/>
        <w:tabs>
          <w:tab w:val="clear" w:pos="567"/>
        </w:tabs>
        <w:spacing w:line="240" w:lineRule="auto"/>
        <w:rPr>
          <w:color w:val="000000"/>
          <w:lang w:val="bg-BG"/>
        </w:rPr>
      </w:pPr>
      <w:r w:rsidRPr="00FE6AC6">
        <w:rPr>
          <w:color w:val="000000"/>
          <w:lang w:val="bg-BG"/>
        </w:rPr>
        <w:t>Всяка филмирана таблетка съдържа 100</w:t>
      </w:r>
      <w:r w:rsidRPr="00FE6AC6">
        <w:rPr>
          <w:color w:val="000000"/>
        </w:rPr>
        <w:t> mg</w:t>
      </w:r>
      <w:r w:rsidRPr="00FE6AC6">
        <w:rPr>
          <w:color w:val="000000"/>
          <w:lang w:val="bg-BG"/>
        </w:rPr>
        <w:t xml:space="preserve"> иматиниб (imatinib) (под формата на мезилат).</w:t>
      </w:r>
    </w:p>
    <w:p w14:paraId="3E550105" w14:textId="77777777" w:rsidR="00D73861" w:rsidRPr="00FE6AC6" w:rsidRDefault="00D73861" w:rsidP="0063575E">
      <w:pPr>
        <w:widowControl w:val="0"/>
        <w:spacing w:line="240" w:lineRule="auto"/>
        <w:rPr>
          <w:color w:val="000000"/>
          <w:lang w:val="bg-BG"/>
        </w:rPr>
      </w:pPr>
    </w:p>
    <w:p w14:paraId="3E550106" w14:textId="77777777" w:rsidR="005A293D" w:rsidRPr="00FE6AC6" w:rsidRDefault="005A293D" w:rsidP="0063575E">
      <w:pPr>
        <w:keepNext/>
        <w:widowControl w:val="0"/>
        <w:tabs>
          <w:tab w:val="clear" w:pos="567"/>
        </w:tabs>
        <w:spacing w:line="240" w:lineRule="auto"/>
        <w:rPr>
          <w:color w:val="000000"/>
          <w:lang w:val="bg-BG"/>
        </w:rPr>
      </w:pPr>
      <w:r w:rsidRPr="00FE6AC6">
        <w:rPr>
          <w:color w:val="000000"/>
          <w:lang w:val="da-DK"/>
        </w:rPr>
        <w:t>Glivec</w:t>
      </w:r>
      <w:r w:rsidRPr="00FE6AC6">
        <w:rPr>
          <w:color w:val="000000"/>
          <w:lang w:val="bg-BG"/>
        </w:rPr>
        <w:t xml:space="preserve"> 400</w:t>
      </w:r>
      <w:r w:rsidRPr="00FE6AC6">
        <w:rPr>
          <w:color w:val="000000"/>
          <w:lang w:val="da-DK"/>
        </w:rPr>
        <w:t> mg</w:t>
      </w:r>
      <w:r w:rsidRPr="00FE6AC6">
        <w:rPr>
          <w:color w:val="000000"/>
          <w:lang w:val="bg-BG"/>
        </w:rPr>
        <w:t xml:space="preserve"> филмирани таблетки</w:t>
      </w:r>
    </w:p>
    <w:p w14:paraId="3E550107" w14:textId="77777777" w:rsidR="005A293D" w:rsidRPr="00FE6AC6" w:rsidRDefault="005A293D" w:rsidP="0063575E">
      <w:pPr>
        <w:widowControl w:val="0"/>
        <w:tabs>
          <w:tab w:val="clear" w:pos="567"/>
        </w:tabs>
        <w:spacing w:line="240" w:lineRule="auto"/>
        <w:rPr>
          <w:color w:val="000000"/>
          <w:lang w:val="bg-BG"/>
        </w:rPr>
      </w:pPr>
      <w:r w:rsidRPr="00FE6AC6">
        <w:rPr>
          <w:color w:val="000000"/>
          <w:lang w:val="bg-BG"/>
        </w:rPr>
        <w:t>Всяка филмирана таблетка съдържа 400</w:t>
      </w:r>
      <w:r w:rsidRPr="00FE6AC6">
        <w:rPr>
          <w:color w:val="000000"/>
        </w:rPr>
        <w:t> mg</w:t>
      </w:r>
      <w:r w:rsidRPr="00FE6AC6">
        <w:rPr>
          <w:color w:val="000000"/>
          <w:lang w:val="bg-BG"/>
        </w:rPr>
        <w:t xml:space="preserve"> иматиниб (imatinib) (под формата на мезилат).</w:t>
      </w:r>
    </w:p>
    <w:p w14:paraId="3E550108" w14:textId="77777777" w:rsidR="00F16722" w:rsidRPr="00FE6AC6" w:rsidRDefault="00F16722" w:rsidP="0063575E">
      <w:pPr>
        <w:widowControl w:val="0"/>
        <w:spacing w:line="240" w:lineRule="auto"/>
        <w:rPr>
          <w:color w:val="000000"/>
          <w:lang w:val="bg-BG"/>
        </w:rPr>
      </w:pPr>
    </w:p>
    <w:p w14:paraId="3E550109" w14:textId="77777777" w:rsidR="00D73861" w:rsidRPr="00FE6AC6" w:rsidRDefault="00D73861" w:rsidP="0063575E">
      <w:pPr>
        <w:widowControl w:val="0"/>
        <w:spacing w:line="240" w:lineRule="auto"/>
        <w:rPr>
          <w:color w:val="000000"/>
          <w:lang w:val="bg-BG"/>
        </w:rPr>
      </w:pPr>
      <w:r w:rsidRPr="00FE6AC6">
        <w:rPr>
          <w:color w:val="000000"/>
          <w:lang w:val="bg-BG"/>
        </w:rPr>
        <w:t>За пълния списък на помощните вещества в</w:t>
      </w:r>
      <w:r w:rsidR="00A959BC" w:rsidRPr="00FE6AC6">
        <w:rPr>
          <w:color w:val="000000"/>
          <w:lang w:val="bg-BG"/>
        </w:rPr>
        <w:t>и</w:t>
      </w:r>
      <w:r w:rsidRPr="00FE6AC6">
        <w:rPr>
          <w:color w:val="000000"/>
          <w:lang w:val="bg-BG"/>
        </w:rPr>
        <w:t>ж</w:t>
      </w:r>
      <w:r w:rsidR="00A959BC" w:rsidRPr="00FE6AC6">
        <w:rPr>
          <w:color w:val="000000"/>
          <w:lang w:val="bg-BG"/>
        </w:rPr>
        <w:t>те</w:t>
      </w:r>
      <w:r w:rsidRPr="00FE6AC6">
        <w:rPr>
          <w:color w:val="000000"/>
          <w:lang w:val="bg-BG"/>
        </w:rPr>
        <w:t xml:space="preserve"> точка 6.1.</w:t>
      </w:r>
    </w:p>
    <w:p w14:paraId="3E55010A" w14:textId="77777777" w:rsidR="00D73861" w:rsidRPr="00FE6AC6" w:rsidRDefault="00D73861" w:rsidP="0063575E">
      <w:pPr>
        <w:widowControl w:val="0"/>
        <w:tabs>
          <w:tab w:val="clear" w:pos="567"/>
        </w:tabs>
        <w:spacing w:line="240" w:lineRule="auto"/>
        <w:rPr>
          <w:color w:val="000000"/>
          <w:lang w:val="bg-BG"/>
        </w:rPr>
      </w:pPr>
    </w:p>
    <w:p w14:paraId="3E55010B" w14:textId="77777777" w:rsidR="00D73861" w:rsidRPr="00FE6AC6" w:rsidRDefault="00D73861" w:rsidP="0063575E">
      <w:pPr>
        <w:widowControl w:val="0"/>
        <w:tabs>
          <w:tab w:val="clear" w:pos="567"/>
        </w:tabs>
        <w:spacing w:line="240" w:lineRule="auto"/>
        <w:rPr>
          <w:color w:val="000000"/>
          <w:lang w:val="bg-BG"/>
        </w:rPr>
      </w:pPr>
    </w:p>
    <w:p w14:paraId="3E55010C" w14:textId="77777777" w:rsidR="00D73861" w:rsidRPr="00FE6AC6" w:rsidRDefault="00D73861" w:rsidP="0063575E">
      <w:pPr>
        <w:keepNext/>
        <w:widowControl w:val="0"/>
        <w:spacing w:line="240" w:lineRule="auto"/>
        <w:ind w:left="567" w:hanging="567"/>
        <w:rPr>
          <w:b/>
          <w:caps/>
          <w:color w:val="000000"/>
          <w:lang w:val="bg-BG"/>
        </w:rPr>
      </w:pPr>
      <w:r w:rsidRPr="00FE6AC6">
        <w:rPr>
          <w:b/>
          <w:color w:val="000000"/>
          <w:lang w:val="bg-BG"/>
        </w:rPr>
        <w:t>3.</w:t>
      </w:r>
      <w:r w:rsidRPr="00FE6AC6">
        <w:rPr>
          <w:b/>
          <w:color w:val="000000"/>
          <w:lang w:val="bg-BG"/>
        </w:rPr>
        <w:tab/>
        <w:t>ЛЕКАРСТВЕНА ФОРМА</w:t>
      </w:r>
    </w:p>
    <w:p w14:paraId="3E55010D" w14:textId="77777777" w:rsidR="00D73861" w:rsidRPr="00FE6AC6" w:rsidRDefault="00D73861" w:rsidP="0063575E">
      <w:pPr>
        <w:keepNext/>
        <w:widowControl w:val="0"/>
        <w:spacing w:line="240" w:lineRule="auto"/>
        <w:rPr>
          <w:color w:val="000000"/>
          <w:lang w:val="bg-BG"/>
        </w:rPr>
      </w:pPr>
    </w:p>
    <w:p w14:paraId="3E55010E" w14:textId="77777777" w:rsidR="00D73861" w:rsidRPr="00FE6AC6" w:rsidRDefault="00D73861" w:rsidP="0063575E">
      <w:pPr>
        <w:widowControl w:val="0"/>
        <w:tabs>
          <w:tab w:val="clear" w:pos="567"/>
        </w:tabs>
        <w:spacing w:line="240" w:lineRule="auto"/>
        <w:rPr>
          <w:color w:val="000000"/>
          <w:lang w:val="bg-BG"/>
        </w:rPr>
      </w:pPr>
      <w:r w:rsidRPr="00FE6AC6">
        <w:rPr>
          <w:color w:val="000000"/>
          <w:lang w:val="bg-BG"/>
        </w:rPr>
        <w:t>Филмиран</w:t>
      </w:r>
      <w:r w:rsidR="00561E24" w:rsidRPr="00FE6AC6">
        <w:rPr>
          <w:color w:val="000000"/>
          <w:lang w:val="bg-BG"/>
        </w:rPr>
        <w:t>а</w:t>
      </w:r>
      <w:r w:rsidRPr="00FE6AC6">
        <w:rPr>
          <w:color w:val="000000"/>
          <w:lang w:val="bg-BG"/>
        </w:rPr>
        <w:t xml:space="preserve"> таблетк</w:t>
      </w:r>
      <w:r w:rsidR="00561E24" w:rsidRPr="00FE6AC6">
        <w:rPr>
          <w:color w:val="000000"/>
          <w:lang w:val="bg-BG"/>
        </w:rPr>
        <w:t>а</w:t>
      </w:r>
    </w:p>
    <w:p w14:paraId="3E55010F" w14:textId="77777777" w:rsidR="00D73861" w:rsidRPr="00FE6AC6" w:rsidRDefault="00D73861" w:rsidP="0063575E">
      <w:pPr>
        <w:widowControl w:val="0"/>
        <w:spacing w:line="240" w:lineRule="auto"/>
        <w:rPr>
          <w:color w:val="000000"/>
          <w:lang w:val="bg-BG"/>
        </w:rPr>
      </w:pPr>
    </w:p>
    <w:p w14:paraId="3E550110" w14:textId="77777777" w:rsidR="00002CD1" w:rsidRPr="00FE6AC6" w:rsidRDefault="00002CD1" w:rsidP="0063575E">
      <w:pPr>
        <w:keepNext/>
        <w:widowControl w:val="0"/>
        <w:tabs>
          <w:tab w:val="clear" w:pos="567"/>
        </w:tabs>
        <w:spacing w:line="240" w:lineRule="auto"/>
        <w:rPr>
          <w:color w:val="000000"/>
          <w:lang w:val="bg-BG"/>
        </w:rPr>
      </w:pPr>
      <w:r w:rsidRPr="00FE6AC6">
        <w:rPr>
          <w:color w:val="000000"/>
          <w:lang w:val="da-DK"/>
        </w:rPr>
        <w:t>Glivec</w:t>
      </w:r>
      <w:r w:rsidRPr="00FE6AC6">
        <w:rPr>
          <w:color w:val="000000"/>
          <w:lang w:val="bg-BG"/>
        </w:rPr>
        <w:t xml:space="preserve"> 100</w:t>
      </w:r>
      <w:r w:rsidRPr="00FE6AC6">
        <w:rPr>
          <w:color w:val="000000"/>
          <w:lang w:val="da-DK"/>
        </w:rPr>
        <w:t> mg</w:t>
      </w:r>
      <w:r w:rsidRPr="00FE6AC6">
        <w:rPr>
          <w:color w:val="000000"/>
          <w:lang w:val="bg-BG"/>
        </w:rPr>
        <w:t xml:space="preserve"> филмирани таблетки</w:t>
      </w:r>
    </w:p>
    <w:p w14:paraId="3E550111" w14:textId="77777777" w:rsidR="00D73861" w:rsidRPr="00FE6AC6" w:rsidRDefault="00D73861" w:rsidP="0063575E">
      <w:pPr>
        <w:widowControl w:val="0"/>
        <w:tabs>
          <w:tab w:val="clear" w:pos="567"/>
        </w:tabs>
        <w:spacing w:line="240" w:lineRule="auto"/>
        <w:rPr>
          <w:color w:val="000000"/>
          <w:lang w:val="bg-BG"/>
        </w:rPr>
      </w:pPr>
      <w:r w:rsidRPr="00FE6AC6">
        <w:rPr>
          <w:color w:val="000000"/>
          <w:lang w:val="bg-BG"/>
        </w:rPr>
        <w:t>Много тъмно жълта до кафяво-оранжева филмирана таблетка, кръгла, с надпис “</w:t>
      </w:r>
      <w:r w:rsidRPr="00FE6AC6">
        <w:rPr>
          <w:color w:val="000000"/>
        </w:rPr>
        <w:t>NVR</w:t>
      </w:r>
      <w:r w:rsidRPr="00FE6AC6">
        <w:rPr>
          <w:color w:val="000000"/>
          <w:lang w:val="bg-BG"/>
        </w:rPr>
        <w:t>” на едната страна и “</w:t>
      </w:r>
      <w:r w:rsidRPr="00FE6AC6">
        <w:rPr>
          <w:color w:val="000000"/>
        </w:rPr>
        <w:t>SA</w:t>
      </w:r>
      <w:r w:rsidRPr="00FE6AC6">
        <w:rPr>
          <w:color w:val="000000"/>
          <w:lang w:val="bg-BG"/>
        </w:rPr>
        <w:t>” и делителна черта от другата страна.</w:t>
      </w:r>
    </w:p>
    <w:p w14:paraId="3E550112" w14:textId="77777777" w:rsidR="00D73861" w:rsidRPr="00FE6AC6" w:rsidRDefault="00D73861" w:rsidP="0063575E">
      <w:pPr>
        <w:widowControl w:val="0"/>
        <w:spacing w:line="240" w:lineRule="auto"/>
        <w:rPr>
          <w:color w:val="000000"/>
          <w:lang w:val="bg-BG"/>
        </w:rPr>
      </w:pPr>
    </w:p>
    <w:p w14:paraId="3E550113" w14:textId="77777777" w:rsidR="00002CD1" w:rsidRPr="00FE6AC6" w:rsidRDefault="00002CD1" w:rsidP="0063575E">
      <w:pPr>
        <w:keepNext/>
        <w:widowControl w:val="0"/>
        <w:tabs>
          <w:tab w:val="clear" w:pos="567"/>
        </w:tabs>
        <w:spacing w:line="240" w:lineRule="auto"/>
        <w:rPr>
          <w:color w:val="000000"/>
          <w:lang w:val="bg-BG"/>
        </w:rPr>
      </w:pPr>
      <w:r w:rsidRPr="00FE6AC6">
        <w:rPr>
          <w:color w:val="000000"/>
          <w:lang w:val="da-DK"/>
        </w:rPr>
        <w:t>Glivec</w:t>
      </w:r>
      <w:r w:rsidRPr="00FE6AC6">
        <w:rPr>
          <w:color w:val="000000"/>
          <w:lang w:val="bg-BG"/>
        </w:rPr>
        <w:t xml:space="preserve"> 400</w:t>
      </w:r>
      <w:r w:rsidRPr="00FE6AC6">
        <w:rPr>
          <w:color w:val="000000"/>
          <w:lang w:val="da-DK"/>
        </w:rPr>
        <w:t> mg</w:t>
      </w:r>
      <w:r w:rsidRPr="00FE6AC6">
        <w:rPr>
          <w:color w:val="000000"/>
          <w:lang w:val="bg-BG"/>
        </w:rPr>
        <w:t xml:space="preserve"> филмирани таблетки</w:t>
      </w:r>
    </w:p>
    <w:p w14:paraId="3E550114" w14:textId="77777777" w:rsidR="00002CD1" w:rsidRPr="00FE6AC6" w:rsidRDefault="00002CD1" w:rsidP="0063575E">
      <w:pPr>
        <w:widowControl w:val="0"/>
        <w:tabs>
          <w:tab w:val="clear" w:pos="567"/>
        </w:tabs>
        <w:spacing w:line="240" w:lineRule="auto"/>
        <w:rPr>
          <w:color w:val="000000"/>
          <w:lang w:val="bg-BG"/>
        </w:rPr>
      </w:pPr>
      <w:r w:rsidRPr="00FE6AC6">
        <w:rPr>
          <w:color w:val="000000"/>
          <w:lang w:val="bg-BG"/>
        </w:rPr>
        <w:t>Много тъмно жълта до кафяво-оранжева, продълговата, двойноизпъкнала филмирана таблетка със скосени краища, с вдлъбнато релефно означение “</w:t>
      </w:r>
      <w:r w:rsidRPr="00FE6AC6">
        <w:rPr>
          <w:color w:val="000000"/>
          <w:szCs w:val="22"/>
        </w:rPr>
        <w:t>glivec</w:t>
      </w:r>
      <w:r w:rsidRPr="00FE6AC6">
        <w:rPr>
          <w:color w:val="000000"/>
          <w:lang w:val="bg-BG"/>
        </w:rPr>
        <w:t>” от едната страна.</w:t>
      </w:r>
    </w:p>
    <w:p w14:paraId="3E550115" w14:textId="77777777" w:rsidR="00002CD1" w:rsidRPr="00FE6AC6" w:rsidRDefault="00002CD1" w:rsidP="0063575E">
      <w:pPr>
        <w:widowControl w:val="0"/>
        <w:spacing w:line="240" w:lineRule="auto"/>
        <w:rPr>
          <w:color w:val="000000"/>
          <w:lang w:val="bg-BG"/>
        </w:rPr>
      </w:pPr>
    </w:p>
    <w:p w14:paraId="3E550116" w14:textId="77777777" w:rsidR="00D73861" w:rsidRPr="00FE6AC6" w:rsidRDefault="00D73861" w:rsidP="0063575E">
      <w:pPr>
        <w:widowControl w:val="0"/>
        <w:tabs>
          <w:tab w:val="clear" w:pos="567"/>
        </w:tabs>
        <w:spacing w:line="240" w:lineRule="auto"/>
        <w:rPr>
          <w:color w:val="000000"/>
          <w:lang w:val="bg-BG"/>
        </w:rPr>
      </w:pPr>
    </w:p>
    <w:p w14:paraId="3E550117" w14:textId="77777777" w:rsidR="00A44656" w:rsidRPr="00FE6AC6" w:rsidRDefault="00A44656" w:rsidP="0063575E">
      <w:pPr>
        <w:keepNext/>
        <w:widowControl w:val="0"/>
        <w:spacing w:line="240" w:lineRule="auto"/>
        <w:ind w:left="567" w:hanging="567"/>
        <w:rPr>
          <w:caps/>
          <w:color w:val="000000"/>
          <w:lang w:val="bg-BG"/>
        </w:rPr>
      </w:pPr>
      <w:r w:rsidRPr="00FE6AC6">
        <w:rPr>
          <w:b/>
          <w:caps/>
          <w:color w:val="000000"/>
          <w:lang w:val="bg-BG"/>
        </w:rPr>
        <w:t>4.</w:t>
      </w:r>
      <w:r w:rsidRPr="00FE6AC6">
        <w:rPr>
          <w:b/>
          <w:caps/>
          <w:color w:val="000000"/>
          <w:lang w:val="bg-BG"/>
        </w:rPr>
        <w:tab/>
        <w:t>КЛИНИЧНИ ДАННИ</w:t>
      </w:r>
    </w:p>
    <w:p w14:paraId="3E550118" w14:textId="77777777" w:rsidR="00A44656" w:rsidRPr="00FE6AC6" w:rsidRDefault="00A44656" w:rsidP="0063575E">
      <w:pPr>
        <w:keepNext/>
        <w:widowControl w:val="0"/>
        <w:tabs>
          <w:tab w:val="clear" w:pos="567"/>
        </w:tabs>
        <w:spacing w:line="240" w:lineRule="auto"/>
        <w:rPr>
          <w:color w:val="000000"/>
          <w:lang w:val="bg-BG"/>
        </w:rPr>
      </w:pPr>
    </w:p>
    <w:p w14:paraId="3E550119" w14:textId="77777777" w:rsidR="00A44656" w:rsidRPr="00FE6AC6" w:rsidRDefault="00A44656" w:rsidP="0063575E">
      <w:pPr>
        <w:keepNext/>
        <w:widowControl w:val="0"/>
        <w:spacing w:line="240" w:lineRule="auto"/>
        <w:ind w:left="567" w:hanging="567"/>
        <w:rPr>
          <w:color w:val="000000"/>
          <w:lang w:val="bg-BG"/>
        </w:rPr>
      </w:pPr>
      <w:r w:rsidRPr="00FE6AC6">
        <w:rPr>
          <w:b/>
          <w:color w:val="000000"/>
          <w:lang w:val="bg-BG"/>
        </w:rPr>
        <w:t>4.1</w:t>
      </w:r>
      <w:r w:rsidRPr="00FE6AC6">
        <w:rPr>
          <w:b/>
          <w:color w:val="000000"/>
          <w:lang w:val="bg-BG"/>
        </w:rPr>
        <w:tab/>
        <w:t>Терапевтични показания</w:t>
      </w:r>
    </w:p>
    <w:p w14:paraId="3E55011A" w14:textId="77777777" w:rsidR="00A44656" w:rsidRPr="00FE6AC6" w:rsidRDefault="00A44656" w:rsidP="0063575E">
      <w:pPr>
        <w:keepNext/>
        <w:widowControl w:val="0"/>
        <w:tabs>
          <w:tab w:val="clear" w:pos="567"/>
        </w:tabs>
        <w:spacing w:line="240" w:lineRule="auto"/>
        <w:rPr>
          <w:color w:val="000000"/>
          <w:lang w:val="bg-BG"/>
        </w:rPr>
      </w:pPr>
    </w:p>
    <w:p w14:paraId="3E55011B" w14:textId="77777777" w:rsidR="00A44656" w:rsidRPr="00FE6AC6" w:rsidRDefault="00A44656" w:rsidP="0063575E">
      <w:pPr>
        <w:keepNext/>
        <w:widowControl w:val="0"/>
        <w:spacing w:line="240" w:lineRule="auto"/>
        <w:rPr>
          <w:color w:val="000000"/>
          <w:lang w:val="bg-BG"/>
        </w:rPr>
      </w:pPr>
      <w:r w:rsidRPr="00FE6AC6">
        <w:rPr>
          <w:color w:val="000000"/>
          <w:lang w:val="bg-BG"/>
        </w:rPr>
        <w:t>Glivec е показан за лечение на</w:t>
      </w:r>
    </w:p>
    <w:p w14:paraId="3E55011C" w14:textId="77777777" w:rsidR="00A44656" w:rsidRPr="00FE6AC6" w:rsidRDefault="00A44656"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възрастни и педиатрични пациенти с новодиагностицирана, положителна </w:t>
      </w:r>
      <w:r w:rsidR="00D72B51" w:rsidRPr="00FE6AC6">
        <w:rPr>
          <w:color w:val="000000"/>
          <w:lang w:val="bg-BG"/>
        </w:rPr>
        <w:t>за</w:t>
      </w:r>
      <w:r w:rsidRPr="00FE6AC6">
        <w:rPr>
          <w:color w:val="000000"/>
          <w:lang w:val="bg-BG"/>
        </w:rPr>
        <w:t xml:space="preserve"> Филаделфийската хромозома (bcr-abl) (Ph+) хронична миелоидна левкемия (ХМЛ), при които костно-мозъчната трансплантация не се разглежда като първа линия лечение</w:t>
      </w:r>
      <w:r w:rsidRPr="00FE6AC6">
        <w:rPr>
          <w:color w:val="000000"/>
          <w:lang w:val="ru-RU"/>
        </w:rPr>
        <w:t>.</w:t>
      </w:r>
    </w:p>
    <w:p w14:paraId="3E55011D" w14:textId="77777777" w:rsidR="00A44656" w:rsidRPr="00FE6AC6" w:rsidRDefault="00A44656"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възрастни и педиатрични пациенти с Ph+ ХМЛ в хронична фаза след неуспех от лечението с интерферон-алфа или във фаза на акцелерация </w:t>
      </w:r>
      <w:r w:rsidR="00B959D1" w:rsidRPr="00FE6AC6">
        <w:rPr>
          <w:color w:val="000000"/>
          <w:lang w:val="bg-BG"/>
        </w:rPr>
        <w:t xml:space="preserve">(ФА) </w:t>
      </w:r>
      <w:r w:rsidRPr="00FE6AC6">
        <w:rPr>
          <w:color w:val="000000"/>
          <w:lang w:val="bg-BG"/>
        </w:rPr>
        <w:t>или бластна криза</w:t>
      </w:r>
      <w:r w:rsidR="00B959D1" w:rsidRPr="00FE6AC6">
        <w:rPr>
          <w:color w:val="000000"/>
          <w:lang w:val="bg-BG"/>
        </w:rPr>
        <w:t xml:space="preserve"> (БК)</w:t>
      </w:r>
      <w:r w:rsidRPr="00FE6AC6">
        <w:rPr>
          <w:color w:val="000000"/>
          <w:lang w:val="ru-RU"/>
        </w:rPr>
        <w:t>.</w:t>
      </w:r>
    </w:p>
    <w:p w14:paraId="3E55011E" w14:textId="77777777" w:rsidR="00A44656" w:rsidRPr="00FE6AC6" w:rsidRDefault="00A44656"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възрастни </w:t>
      </w:r>
      <w:r w:rsidR="008D0EF3" w:rsidRPr="00FE6AC6">
        <w:rPr>
          <w:color w:val="000000"/>
          <w:lang w:val="bg-BG"/>
        </w:rPr>
        <w:t xml:space="preserve">и педиатрични пациенти </w:t>
      </w:r>
      <w:r w:rsidRPr="00FE6AC6">
        <w:rPr>
          <w:color w:val="000000"/>
          <w:lang w:val="bg-BG"/>
        </w:rPr>
        <w:t xml:space="preserve">с новодиагностицирана положителна </w:t>
      </w:r>
      <w:r w:rsidR="00D72B51" w:rsidRPr="00FE6AC6">
        <w:rPr>
          <w:color w:val="000000"/>
          <w:lang w:val="bg-BG"/>
        </w:rPr>
        <w:t>за</w:t>
      </w:r>
      <w:r w:rsidRPr="00FE6AC6">
        <w:rPr>
          <w:color w:val="000000"/>
          <w:lang w:val="bg-BG"/>
        </w:rPr>
        <w:t xml:space="preserve"> Филаделфийска хромозома остра лимфобластна левкемия (</w:t>
      </w:r>
      <w:r w:rsidRPr="00FE6AC6">
        <w:rPr>
          <w:color w:val="000000"/>
          <w:lang w:val="en-US"/>
        </w:rPr>
        <w:t>Ph</w:t>
      </w:r>
      <w:r w:rsidRPr="00FE6AC6">
        <w:rPr>
          <w:color w:val="000000"/>
          <w:lang w:val="ru-RU"/>
        </w:rPr>
        <w:t>+ ОЛЛ)</w:t>
      </w:r>
      <w:r w:rsidR="00B959D1" w:rsidRPr="00FE6AC6">
        <w:rPr>
          <w:color w:val="000000"/>
          <w:lang w:val="ru-RU"/>
        </w:rPr>
        <w:t>,</w:t>
      </w:r>
      <w:r w:rsidRPr="00FE6AC6">
        <w:rPr>
          <w:color w:val="000000"/>
          <w:lang w:val="ru-RU"/>
        </w:rPr>
        <w:t xml:space="preserve"> заедно с химиот</w:t>
      </w:r>
      <w:r w:rsidRPr="00FE6AC6">
        <w:rPr>
          <w:color w:val="000000"/>
          <w:lang w:val="en-US"/>
        </w:rPr>
        <w:t>e</w:t>
      </w:r>
      <w:r w:rsidRPr="00FE6AC6">
        <w:rPr>
          <w:color w:val="000000"/>
          <w:lang w:val="ru-RU"/>
        </w:rPr>
        <w:t>рапия.</w:t>
      </w:r>
    </w:p>
    <w:p w14:paraId="3E55011F" w14:textId="77777777" w:rsidR="00A44656" w:rsidRPr="00FE6AC6" w:rsidRDefault="00A44656"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ru-RU"/>
        </w:rPr>
        <w:t xml:space="preserve">възрастни с </w:t>
      </w:r>
      <w:r w:rsidRPr="00FE6AC6">
        <w:rPr>
          <w:color w:val="000000"/>
          <w:lang w:val="bg-BG"/>
        </w:rPr>
        <w:t>рецидив</w:t>
      </w:r>
      <w:r w:rsidRPr="00FE6AC6">
        <w:rPr>
          <w:color w:val="000000"/>
          <w:lang w:val="ru-RU"/>
        </w:rPr>
        <w:t xml:space="preserve"> или рефракт</w:t>
      </w:r>
      <w:r w:rsidR="003E7585" w:rsidRPr="00FE6AC6">
        <w:rPr>
          <w:color w:val="000000"/>
          <w:lang w:val="ru-RU"/>
        </w:rPr>
        <w:t>е</w:t>
      </w:r>
      <w:r w:rsidRPr="00FE6AC6">
        <w:rPr>
          <w:color w:val="000000"/>
          <w:lang w:val="ru-RU"/>
        </w:rPr>
        <w:t xml:space="preserve">рна </w:t>
      </w:r>
      <w:r w:rsidRPr="00FE6AC6">
        <w:rPr>
          <w:color w:val="000000"/>
          <w:lang w:val="en-US"/>
        </w:rPr>
        <w:t>Ph</w:t>
      </w:r>
      <w:r w:rsidRPr="00FE6AC6">
        <w:rPr>
          <w:color w:val="000000"/>
          <w:lang w:val="ru-RU"/>
        </w:rPr>
        <w:t xml:space="preserve">+ </w:t>
      </w:r>
      <w:r w:rsidRPr="00FE6AC6">
        <w:rPr>
          <w:color w:val="000000"/>
          <w:lang w:val="bg-BG"/>
        </w:rPr>
        <w:t>ОЛЛ като монотерапия.</w:t>
      </w:r>
    </w:p>
    <w:p w14:paraId="3E550120" w14:textId="77777777" w:rsidR="00A44656" w:rsidRPr="00FE6AC6" w:rsidRDefault="00A44656" w:rsidP="0063575E">
      <w:pPr>
        <w:pStyle w:val="EndnoteText"/>
        <w:widowControl w:val="0"/>
        <w:numPr>
          <w:ilvl w:val="0"/>
          <w:numId w:val="10"/>
        </w:numPr>
        <w:rPr>
          <w:snapToGrid w:val="0"/>
          <w:color w:val="000000"/>
          <w:szCs w:val="22"/>
          <w:lang w:val="bg-BG" w:eastAsia="de-DE"/>
        </w:rPr>
      </w:pPr>
      <w:r w:rsidRPr="00FE6AC6">
        <w:rPr>
          <w:snapToGrid w:val="0"/>
          <w:color w:val="000000"/>
          <w:lang w:val="bg-BG"/>
        </w:rPr>
        <w:t xml:space="preserve">възрастни пациенти с миелодиспластичнен синдром/миелопролиферативни заболявания (МДС/МПЗ), свързани с генни </w:t>
      </w:r>
      <w:r w:rsidR="00933FF1" w:rsidRPr="00FE6AC6">
        <w:rPr>
          <w:snapToGrid w:val="0"/>
          <w:color w:val="000000"/>
          <w:lang w:val="bg-BG"/>
        </w:rPr>
        <w:t>пренареждания</w:t>
      </w:r>
      <w:r w:rsidRPr="00FE6AC6">
        <w:rPr>
          <w:snapToGrid w:val="0"/>
          <w:color w:val="000000"/>
          <w:lang w:val="bg-BG"/>
        </w:rPr>
        <w:t xml:space="preserve"> на рецептора на тромбоцитния растежен фактор (</w:t>
      </w:r>
      <w:r w:rsidRPr="00FE6AC6">
        <w:rPr>
          <w:snapToGrid w:val="0"/>
          <w:color w:val="000000"/>
          <w:szCs w:val="22"/>
        </w:rPr>
        <w:t>PDGFR</w:t>
      </w:r>
      <w:r w:rsidRPr="00FE6AC6">
        <w:rPr>
          <w:snapToGrid w:val="0"/>
          <w:color w:val="000000"/>
          <w:szCs w:val="22"/>
          <w:lang w:val="bg-BG"/>
        </w:rPr>
        <w:t>)</w:t>
      </w:r>
      <w:r w:rsidRPr="00FE6AC6">
        <w:rPr>
          <w:snapToGrid w:val="0"/>
          <w:color w:val="000000"/>
          <w:lang w:val="bg-BG"/>
        </w:rPr>
        <w:t>.</w:t>
      </w:r>
    </w:p>
    <w:p w14:paraId="3E550121" w14:textId="77777777" w:rsidR="00A44656" w:rsidRPr="00FE6AC6" w:rsidRDefault="00A44656"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възрастни пациенти с напреднал хипереозинофилен синдром (ХЕС) и/или хронична еозинофилна левкемия (ХЕЛ) с генни </w:t>
      </w:r>
      <w:r w:rsidR="00933FF1" w:rsidRPr="00FE6AC6">
        <w:rPr>
          <w:color w:val="000000"/>
          <w:lang w:val="bg-BG"/>
        </w:rPr>
        <w:t>пренареждания</w:t>
      </w:r>
      <w:r w:rsidRPr="00FE6AC6">
        <w:rPr>
          <w:color w:val="000000"/>
          <w:lang w:val="bg-BG"/>
        </w:rPr>
        <w:t xml:space="preserve"> на </w:t>
      </w:r>
      <w:r w:rsidRPr="00FE6AC6">
        <w:rPr>
          <w:color w:val="000000"/>
        </w:rPr>
        <w:t>FIP</w:t>
      </w:r>
      <w:r w:rsidRPr="00FE6AC6">
        <w:rPr>
          <w:color w:val="000000"/>
          <w:lang w:val="bg-BG"/>
        </w:rPr>
        <w:t>1</w:t>
      </w:r>
      <w:r w:rsidRPr="00FE6AC6">
        <w:rPr>
          <w:color w:val="000000"/>
        </w:rPr>
        <w:t>L</w:t>
      </w:r>
      <w:r w:rsidRPr="00FE6AC6">
        <w:rPr>
          <w:color w:val="000000"/>
          <w:lang w:val="bg-BG"/>
        </w:rPr>
        <w:t>1-</w:t>
      </w:r>
      <w:r w:rsidRPr="00FE6AC6">
        <w:rPr>
          <w:color w:val="000000"/>
        </w:rPr>
        <w:t>PDGFR</w:t>
      </w:r>
      <w:r w:rsidRPr="00FE6AC6">
        <w:rPr>
          <w:color w:val="000000"/>
        </w:rPr>
        <w:sym w:font="Symbol" w:char="F061"/>
      </w:r>
      <w:r w:rsidRPr="00FE6AC6">
        <w:rPr>
          <w:color w:val="000000"/>
          <w:lang w:val="bg-BG"/>
        </w:rPr>
        <w:t>.</w:t>
      </w:r>
    </w:p>
    <w:p w14:paraId="3E550122" w14:textId="77777777" w:rsidR="00A44656" w:rsidRPr="00FE6AC6" w:rsidRDefault="00A44656" w:rsidP="0063575E">
      <w:pPr>
        <w:widowControl w:val="0"/>
        <w:tabs>
          <w:tab w:val="clear" w:pos="567"/>
        </w:tabs>
        <w:spacing w:line="240" w:lineRule="auto"/>
        <w:rPr>
          <w:color w:val="000000"/>
          <w:lang w:val="bg-BG"/>
        </w:rPr>
      </w:pPr>
    </w:p>
    <w:p w14:paraId="3E550123" w14:textId="77777777" w:rsidR="00A44656" w:rsidRPr="00FE6AC6" w:rsidRDefault="00A44656" w:rsidP="0063575E">
      <w:pPr>
        <w:widowControl w:val="0"/>
        <w:spacing w:line="240" w:lineRule="auto"/>
        <w:rPr>
          <w:color w:val="000000"/>
          <w:lang w:val="bg-BG"/>
        </w:rPr>
      </w:pPr>
      <w:r w:rsidRPr="00FE6AC6">
        <w:rPr>
          <w:color w:val="000000"/>
          <w:lang w:val="bg-BG"/>
        </w:rPr>
        <w:t>Ефектът на Glivec върху резултата от костно-мозъчната трансплантация не е установен.</w:t>
      </w:r>
    </w:p>
    <w:p w14:paraId="3E550124" w14:textId="77777777" w:rsidR="00A44656" w:rsidRPr="00FE6AC6" w:rsidRDefault="00A44656" w:rsidP="0063575E">
      <w:pPr>
        <w:widowControl w:val="0"/>
        <w:spacing w:line="240" w:lineRule="auto"/>
        <w:rPr>
          <w:color w:val="000000"/>
          <w:lang w:val="bg-BG"/>
        </w:rPr>
      </w:pPr>
    </w:p>
    <w:p w14:paraId="3E550125" w14:textId="77777777" w:rsidR="00A44656" w:rsidRPr="00FE6AC6" w:rsidRDefault="00A44656" w:rsidP="0063575E">
      <w:pPr>
        <w:keepNext/>
        <w:widowControl w:val="0"/>
        <w:spacing w:line="240" w:lineRule="auto"/>
        <w:rPr>
          <w:color w:val="000000"/>
          <w:lang w:val="en-US"/>
        </w:rPr>
      </w:pPr>
      <w:r w:rsidRPr="00FE6AC6">
        <w:rPr>
          <w:color w:val="000000"/>
          <w:lang w:val="bg-BG"/>
        </w:rPr>
        <w:t>Glivec е показан за</w:t>
      </w:r>
    </w:p>
    <w:p w14:paraId="3E550126" w14:textId="77777777" w:rsidR="00A44656" w:rsidRPr="00FE6AC6" w:rsidRDefault="00A44656"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лечение на възрастни с положителни за Kit (CD 117) неподлежащи на резекция и/или метастатични малигнени гастро-интестинални стромални тумори (ГИСТ).</w:t>
      </w:r>
    </w:p>
    <w:p w14:paraId="3E550127" w14:textId="77777777" w:rsidR="00A44656" w:rsidRPr="00FE6AC6" w:rsidRDefault="00A44656"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 xml:space="preserve">адювантна терапия при възрастни пациенти с повишен риск от рецидив след резекция на </w:t>
      </w:r>
      <w:r w:rsidRPr="00FE6AC6">
        <w:rPr>
          <w:color w:val="000000"/>
          <w:lang w:val="en-US"/>
        </w:rPr>
        <w:t>Kit</w:t>
      </w:r>
      <w:r w:rsidRPr="00FE6AC6">
        <w:rPr>
          <w:color w:val="000000"/>
          <w:lang w:val="ru-RU"/>
        </w:rPr>
        <w:t xml:space="preserve"> (</w:t>
      </w:r>
      <w:r w:rsidRPr="00FE6AC6">
        <w:rPr>
          <w:color w:val="000000"/>
          <w:lang w:val="en-US"/>
        </w:rPr>
        <w:t>CD</w:t>
      </w:r>
      <w:r w:rsidRPr="00FE6AC6">
        <w:rPr>
          <w:color w:val="000000"/>
          <w:lang w:val="ru-RU"/>
        </w:rPr>
        <w:t xml:space="preserve">117)-позитивни ГИСТ. Пациентите с нисък или много нисък риск от рецидив не трябва да провеждат </w:t>
      </w:r>
      <w:r w:rsidRPr="00FE6AC6">
        <w:rPr>
          <w:color w:val="000000"/>
          <w:lang w:val="bg-BG"/>
        </w:rPr>
        <w:t>адювантна терапия.</w:t>
      </w:r>
    </w:p>
    <w:p w14:paraId="3E550128" w14:textId="77777777" w:rsidR="00A44656" w:rsidRPr="00FE6AC6" w:rsidRDefault="00A44656" w:rsidP="0063575E">
      <w:pPr>
        <w:widowControl w:val="0"/>
        <w:numPr>
          <w:ilvl w:val="0"/>
          <w:numId w:val="7"/>
        </w:numPr>
        <w:tabs>
          <w:tab w:val="clear" w:pos="567"/>
          <w:tab w:val="clear" w:pos="720"/>
        </w:tabs>
        <w:spacing w:line="240" w:lineRule="auto"/>
        <w:ind w:left="567" w:hanging="567"/>
        <w:rPr>
          <w:color w:val="000000"/>
          <w:lang w:val="bg-BG"/>
        </w:rPr>
      </w:pPr>
      <w:r w:rsidRPr="00FE6AC6">
        <w:rPr>
          <w:color w:val="000000"/>
          <w:lang w:val="bg-BG"/>
        </w:rPr>
        <w:t>лечение на възрастни с неподлежаща на резекция дерматофибросаркома протруберанс (ДФСП) и пациенти с рекурентни и/или метастатични ДФСП, които н</w:t>
      </w:r>
      <w:r w:rsidR="001B704F" w:rsidRPr="00FE6AC6">
        <w:rPr>
          <w:color w:val="000000"/>
          <w:lang w:val="bg-BG"/>
        </w:rPr>
        <w:t>е</w:t>
      </w:r>
      <w:r w:rsidRPr="00FE6AC6">
        <w:rPr>
          <w:color w:val="000000"/>
          <w:lang w:val="bg-BG"/>
        </w:rPr>
        <w:t xml:space="preserve"> са подходящи за хирургично лечение.</w:t>
      </w:r>
    </w:p>
    <w:p w14:paraId="3E550129" w14:textId="77777777" w:rsidR="00A44656" w:rsidRPr="00FE6AC6" w:rsidRDefault="00A44656" w:rsidP="0063575E">
      <w:pPr>
        <w:widowControl w:val="0"/>
        <w:spacing w:line="240" w:lineRule="auto"/>
        <w:rPr>
          <w:color w:val="000000"/>
          <w:lang w:val="bg-BG"/>
        </w:rPr>
      </w:pPr>
    </w:p>
    <w:p w14:paraId="3E55012A" w14:textId="77777777" w:rsidR="00A44656" w:rsidRPr="00FE6AC6" w:rsidRDefault="00A44656" w:rsidP="0063575E">
      <w:pPr>
        <w:widowControl w:val="0"/>
        <w:spacing w:line="240" w:lineRule="auto"/>
        <w:rPr>
          <w:color w:val="000000"/>
          <w:lang w:val="bg-BG"/>
        </w:rPr>
      </w:pPr>
      <w:r w:rsidRPr="00FE6AC6">
        <w:rPr>
          <w:color w:val="000000"/>
          <w:lang w:val="bg-BG"/>
        </w:rPr>
        <w:t xml:space="preserve">При възрастни и педиатрични пациенти, ефективността на Glivec се основава на общата степен на повлияване на хематологичния и цитогенетичен отговор и преживяемостта без прогресия при ХМЛ, на степента на повлияване на хематологичния и цитогенетичен отговор при </w:t>
      </w:r>
      <w:r w:rsidRPr="00FE6AC6">
        <w:rPr>
          <w:color w:val="000000"/>
          <w:lang w:val="en-US"/>
        </w:rPr>
        <w:t>Ph</w:t>
      </w:r>
      <w:r w:rsidRPr="00FE6AC6">
        <w:rPr>
          <w:color w:val="000000"/>
          <w:lang w:val="ru-RU"/>
        </w:rPr>
        <w:t>+ОЛЛ,</w:t>
      </w:r>
      <w:r w:rsidRPr="00FE6AC6">
        <w:rPr>
          <w:color w:val="000000"/>
          <w:szCs w:val="22"/>
          <w:lang w:val="bg-BG"/>
        </w:rPr>
        <w:t xml:space="preserve"> МДС/МПЗ, </w:t>
      </w:r>
      <w:r w:rsidRPr="00FE6AC6">
        <w:rPr>
          <w:color w:val="000000"/>
          <w:lang w:val="bg-BG"/>
        </w:rPr>
        <w:t xml:space="preserve">на степента на повлияване на хематологичния отговор при </w:t>
      </w:r>
      <w:r w:rsidRPr="00FE6AC6">
        <w:rPr>
          <w:color w:val="000000"/>
          <w:szCs w:val="22"/>
          <w:lang w:val="bg-BG"/>
        </w:rPr>
        <w:t>ХЕС/ХЕЛ</w:t>
      </w:r>
      <w:r w:rsidRPr="00FE6AC6">
        <w:rPr>
          <w:color w:val="000000"/>
          <w:lang w:val="bg-BG"/>
        </w:rPr>
        <w:t xml:space="preserve"> и обективната степен на повлияване при възрастни с неподлежащи на резекция и/или метастатични ГИСТ и ДФСП и на преживяемостта без рецидив при адювантна терапия на ГИСТ. </w:t>
      </w:r>
      <w:r w:rsidRPr="00FE6AC6">
        <w:rPr>
          <w:color w:val="000000"/>
          <w:szCs w:val="22"/>
          <w:lang w:val="bg-BG"/>
        </w:rPr>
        <w:t xml:space="preserve">Опитът с </w:t>
      </w:r>
      <w:r w:rsidRPr="00FE6AC6">
        <w:rPr>
          <w:color w:val="000000"/>
          <w:szCs w:val="22"/>
        </w:rPr>
        <w:t>Glivec</w:t>
      </w:r>
      <w:r w:rsidRPr="00FE6AC6">
        <w:rPr>
          <w:color w:val="000000"/>
          <w:szCs w:val="22"/>
          <w:lang w:val="bg-BG"/>
        </w:rPr>
        <w:t xml:space="preserve"> при пациенти с МДС/МПЗ</w:t>
      </w:r>
      <w:r w:rsidR="001B704F" w:rsidRPr="00FE6AC6">
        <w:rPr>
          <w:color w:val="000000"/>
          <w:szCs w:val="22"/>
          <w:lang w:val="bg-BG"/>
        </w:rPr>
        <w:t>,</w:t>
      </w:r>
      <w:r w:rsidRPr="00FE6AC6">
        <w:rPr>
          <w:color w:val="000000"/>
          <w:szCs w:val="22"/>
          <w:lang w:val="bg-BG"/>
        </w:rPr>
        <w:t xml:space="preserve"> свързани с генни </w:t>
      </w:r>
      <w:r w:rsidR="00933FF1" w:rsidRPr="00FE6AC6">
        <w:rPr>
          <w:color w:val="000000"/>
          <w:szCs w:val="22"/>
          <w:lang w:val="bg-BG"/>
        </w:rPr>
        <w:t>пренареждания</w:t>
      </w:r>
      <w:r w:rsidRPr="00FE6AC6">
        <w:rPr>
          <w:color w:val="000000"/>
          <w:szCs w:val="22"/>
          <w:lang w:val="bg-BG"/>
        </w:rPr>
        <w:t xml:space="preserve"> на </w:t>
      </w:r>
      <w:r w:rsidRPr="00FE6AC6">
        <w:rPr>
          <w:snapToGrid w:val="0"/>
          <w:color w:val="000000"/>
          <w:szCs w:val="22"/>
        </w:rPr>
        <w:t>PDGFR</w:t>
      </w:r>
      <w:r w:rsidR="001B704F" w:rsidRPr="00FE6AC6">
        <w:rPr>
          <w:snapToGrid w:val="0"/>
          <w:color w:val="000000"/>
          <w:szCs w:val="22"/>
          <w:lang w:val="bg-BG"/>
        </w:rPr>
        <w:t>,</w:t>
      </w:r>
      <w:r w:rsidRPr="00FE6AC6">
        <w:rPr>
          <w:snapToGrid w:val="0"/>
          <w:color w:val="000000"/>
          <w:szCs w:val="22"/>
          <w:lang w:val="bg-BG"/>
        </w:rPr>
        <w:t xml:space="preserve"> </w:t>
      </w:r>
      <w:r w:rsidRPr="00FE6AC6">
        <w:rPr>
          <w:color w:val="000000"/>
          <w:szCs w:val="22"/>
          <w:lang w:val="bg-BG"/>
        </w:rPr>
        <w:t>е много ограничен (вж. точка 5.1). Освен при ново диагностицирана ХМЛ в хронична фаза, л</w:t>
      </w:r>
      <w:r w:rsidRPr="00FE6AC6">
        <w:rPr>
          <w:color w:val="000000"/>
          <w:lang w:val="bg-BG"/>
        </w:rPr>
        <w:t>ипсват контролирани клинични проучвания, показващи клинична полза или повишена преживяемост при тези заболявания.</w:t>
      </w:r>
    </w:p>
    <w:p w14:paraId="3E55012B" w14:textId="77777777" w:rsidR="00A44656" w:rsidRPr="00FE6AC6" w:rsidRDefault="00A44656" w:rsidP="0063575E">
      <w:pPr>
        <w:widowControl w:val="0"/>
        <w:tabs>
          <w:tab w:val="clear" w:pos="567"/>
        </w:tabs>
        <w:spacing w:line="240" w:lineRule="auto"/>
        <w:rPr>
          <w:color w:val="000000"/>
          <w:lang w:val="bg-BG"/>
        </w:rPr>
      </w:pPr>
    </w:p>
    <w:p w14:paraId="3E55012C" w14:textId="77777777" w:rsidR="00A44656" w:rsidRPr="00FE6AC6" w:rsidRDefault="00A44656" w:rsidP="0063575E">
      <w:pPr>
        <w:keepNext/>
        <w:widowControl w:val="0"/>
        <w:spacing w:line="240" w:lineRule="auto"/>
        <w:ind w:left="567" w:hanging="567"/>
        <w:rPr>
          <w:b/>
          <w:color w:val="000000"/>
          <w:lang w:val="bg-BG"/>
        </w:rPr>
      </w:pPr>
      <w:r w:rsidRPr="00FE6AC6">
        <w:rPr>
          <w:b/>
          <w:color w:val="000000"/>
          <w:lang w:val="bg-BG"/>
        </w:rPr>
        <w:t>4.2</w:t>
      </w:r>
      <w:r w:rsidRPr="00FE6AC6">
        <w:rPr>
          <w:b/>
          <w:color w:val="000000"/>
          <w:lang w:val="bg-BG"/>
        </w:rPr>
        <w:tab/>
        <w:t>Дозировка и начин на приложение</w:t>
      </w:r>
    </w:p>
    <w:p w14:paraId="3E55012D" w14:textId="77777777" w:rsidR="00A44656" w:rsidRPr="00FE6AC6" w:rsidRDefault="00A44656" w:rsidP="0063575E">
      <w:pPr>
        <w:keepNext/>
        <w:widowControl w:val="0"/>
        <w:tabs>
          <w:tab w:val="clear" w:pos="567"/>
        </w:tabs>
        <w:spacing w:line="240" w:lineRule="auto"/>
        <w:rPr>
          <w:color w:val="000000"/>
          <w:lang w:val="bg-BG"/>
        </w:rPr>
      </w:pPr>
    </w:p>
    <w:p w14:paraId="3E55012E" w14:textId="77777777" w:rsidR="00D73861" w:rsidRPr="00FE6AC6" w:rsidRDefault="00D73861" w:rsidP="0063575E">
      <w:pPr>
        <w:widowControl w:val="0"/>
        <w:spacing w:line="240" w:lineRule="auto"/>
        <w:rPr>
          <w:color w:val="000000"/>
          <w:lang w:val="bg-BG"/>
        </w:rPr>
      </w:pPr>
      <w:r w:rsidRPr="00FE6AC6">
        <w:rPr>
          <w:color w:val="000000"/>
          <w:lang w:val="bg-BG"/>
        </w:rPr>
        <w:t xml:space="preserve">Терапията трябва да се започне от лекар с опит в лечението на пациенти с хематологични злокачествени заболявания и </w:t>
      </w:r>
      <w:r w:rsidR="005B07B6" w:rsidRPr="00FE6AC6">
        <w:rPr>
          <w:color w:val="000000"/>
          <w:lang w:val="bg-BG"/>
        </w:rPr>
        <w:t>малигнени</w:t>
      </w:r>
      <w:r w:rsidRPr="00FE6AC6">
        <w:rPr>
          <w:color w:val="000000"/>
          <w:lang w:val="bg-BG"/>
        </w:rPr>
        <w:t xml:space="preserve"> саркоми, според изискванията.</w:t>
      </w:r>
    </w:p>
    <w:p w14:paraId="3E55012F" w14:textId="77777777" w:rsidR="00D73861" w:rsidRPr="00FE6AC6" w:rsidRDefault="00D73861" w:rsidP="0063575E">
      <w:pPr>
        <w:widowControl w:val="0"/>
        <w:tabs>
          <w:tab w:val="clear" w:pos="567"/>
        </w:tabs>
        <w:spacing w:line="240" w:lineRule="auto"/>
        <w:rPr>
          <w:color w:val="000000"/>
          <w:lang w:val="bg-BG"/>
        </w:rPr>
      </w:pPr>
    </w:p>
    <w:p w14:paraId="3E550130" w14:textId="77777777" w:rsidR="00002CD1" w:rsidRPr="00FE6AC6" w:rsidRDefault="00002CD1" w:rsidP="0063575E">
      <w:pPr>
        <w:widowControl w:val="0"/>
        <w:tabs>
          <w:tab w:val="clear" w:pos="567"/>
        </w:tabs>
        <w:spacing w:line="240" w:lineRule="auto"/>
        <w:rPr>
          <w:color w:val="000000"/>
          <w:lang w:val="bg-BG"/>
        </w:rPr>
      </w:pPr>
      <w:r w:rsidRPr="00FE6AC6">
        <w:rPr>
          <w:color w:val="000000"/>
          <w:lang w:val="bg-BG"/>
        </w:rPr>
        <w:t>За дози различни от 400</w:t>
      </w:r>
      <w:r w:rsidRPr="00FE6AC6">
        <w:rPr>
          <w:color w:val="000000"/>
        </w:rPr>
        <w:t> mg</w:t>
      </w:r>
      <w:r w:rsidRPr="00FE6AC6">
        <w:rPr>
          <w:color w:val="000000"/>
          <w:lang w:val="bg-BG"/>
        </w:rPr>
        <w:t xml:space="preserve"> и 800</w:t>
      </w:r>
      <w:r w:rsidRPr="00FE6AC6">
        <w:rPr>
          <w:color w:val="000000"/>
          <w:lang w:val="en-US"/>
        </w:rPr>
        <w:t> mg</w:t>
      </w:r>
      <w:r w:rsidRPr="00FE6AC6">
        <w:rPr>
          <w:color w:val="000000"/>
          <w:lang w:val="bg-BG"/>
        </w:rPr>
        <w:t xml:space="preserve"> (вж. препоръките за дозиране по-долу) е налична делима таблетка от 100</w:t>
      </w:r>
      <w:r w:rsidRPr="00FE6AC6">
        <w:rPr>
          <w:color w:val="000000"/>
        </w:rPr>
        <w:t> mg</w:t>
      </w:r>
      <w:r w:rsidRPr="00FE6AC6">
        <w:rPr>
          <w:color w:val="000000"/>
          <w:lang w:val="bg-BG"/>
        </w:rPr>
        <w:t>.</w:t>
      </w:r>
    </w:p>
    <w:p w14:paraId="3E550131" w14:textId="77777777" w:rsidR="00D73861" w:rsidRPr="00FE6AC6" w:rsidRDefault="00D73861" w:rsidP="0063575E">
      <w:pPr>
        <w:widowControl w:val="0"/>
        <w:tabs>
          <w:tab w:val="clear" w:pos="567"/>
        </w:tabs>
        <w:spacing w:line="240" w:lineRule="auto"/>
        <w:rPr>
          <w:color w:val="000000"/>
          <w:lang w:val="bg-BG"/>
        </w:rPr>
      </w:pPr>
      <w:r w:rsidRPr="00FE6AC6">
        <w:rPr>
          <w:color w:val="000000"/>
          <w:lang w:val="bg-BG"/>
        </w:rPr>
        <w:t>За дози от 400</w:t>
      </w:r>
      <w:r w:rsidRPr="00FE6AC6">
        <w:rPr>
          <w:color w:val="000000"/>
        </w:rPr>
        <w:t> mg</w:t>
      </w:r>
      <w:r w:rsidRPr="00FE6AC6">
        <w:rPr>
          <w:color w:val="000000"/>
          <w:lang w:val="bg-BG"/>
        </w:rPr>
        <w:t xml:space="preserve"> и повече (вж. препоръките за дозиране по-долу) е налична (неделима) таблетка от 400</w:t>
      </w:r>
      <w:r w:rsidRPr="00FE6AC6">
        <w:rPr>
          <w:color w:val="000000"/>
        </w:rPr>
        <w:t> mg</w:t>
      </w:r>
      <w:r w:rsidRPr="00FE6AC6">
        <w:rPr>
          <w:color w:val="000000"/>
          <w:lang w:val="bg-BG"/>
        </w:rPr>
        <w:t>.</w:t>
      </w:r>
    </w:p>
    <w:p w14:paraId="3E550132" w14:textId="77777777" w:rsidR="00D73861" w:rsidRPr="00FE6AC6" w:rsidRDefault="00D73861" w:rsidP="0063575E">
      <w:pPr>
        <w:widowControl w:val="0"/>
        <w:spacing w:line="240" w:lineRule="auto"/>
        <w:rPr>
          <w:color w:val="000000"/>
          <w:lang w:val="bg-BG"/>
        </w:rPr>
      </w:pPr>
    </w:p>
    <w:p w14:paraId="3E550133" w14:textId="77777777" w:rsidR="00D73861" w:rsidRPr="00FE6AC6" w:rsidRDefault="00D73861" w:rsidP="0063575E">
      <w:pPr>
        <w:pStyle w:val="EndnoteText"/>
        <w:widowControl w:val="0"/>
        <w:tabs>
          <w:tab w:val="clear" w:pos="567"/>
        </w:tabs>
        <w:rPr>
          <w:color w:val="000000"/>
          <w:lang w:val="bg-BG"/>
        </w:rPr>
      </w:pPr>
      <w:r w:rsidRPr="00FE6AC6">
        <w:rPr>
          <w:color w:val="000000"/>
          <w:lang w:val="bg-BG"/>
        </w:rPr>
        <w:t>Предписаната доза трябва да се приема перорално с храна и голяма чаша вода, за да се минимизира риска от стомашно-чревни оплаквания. Дозите от 400</w:t>
      </w:r>
      <w:r w:rsidRPr="00FE6AC6">
        <w:rPr>
          <w:color w:val="000000"/>
        </w:rPr>
        <w:t> mg</w:t>
      </w:r>
      <w:r w:rsidRPr="00FE6AC6">
        <w:rPr>
          <w:color w:val="000000"/>
          <w:lang w:val="bg-BG"/>
        </w:rPr>
        <w:t xml:space="preserve"> или 600</w:t>
      </w:r>
      <w:r w:rsidRPr="00FE6AC6">
        <w:rPr>
          <w:color w:val="000000"/>
        </w:rPr>
        <w:t> mg</w:t>
      </w:r>
      <w:r w:rsidRPr="00FE6AC6">
        <w:rPr>
          <w:color w:val="000000"/>
          <w:lang w:val="bg-BG"/>
        </w:rPr>
        <w:t xml:space="preserve"> трябва да се приемат веднъж дневно, докато дневната доза от 800</w:t>
      </w:r>
      <w:r w:rsidRPr="00FE6AC6">
        <w:rPr>
          <w:color w:val="000000"/>
        </w:rPr>
        <w:t> mg</w:t>
      </w:r>
      <w:r w:rsidRPr="00FE6AC6">
        <w:rPr>
          <w:color w:val="000000"/>
          <w:lang w:val="bg-BG"/>
        </w:rPr>
        <w:t xml:space="preserve"> трябва да се приема в два приема дневно по 400</w:t>
      </w:r>
      <w:r w:rsidRPr="00FE6AC6">
        <w:rPr>
          <w:color w:val="000000"/>
        </w:rPr>
        <w:t> mg</w:t>
      </w:r>
      <w:r w:rsidRPr="00FE6AC6">
        <w:rPr>
          <w:color w:val="000000"/>
          <w:lang w:val="bg-BG"/>
        </w:rPr>
        <w:t>, сутрин и вечер.</w:t>
      </w:r>
    </w:p>
    <w:p w14:paraId="3E550134" w14:textId="77777777" w:rsidR="00D73861" w:rsidRPr="00FE6AC6" w:rsidRDefault="00D73861" w:rsidP="0063575E">
      <w:pPr>
        <w:pStyle w:val="EndnoteText"/>
        <w:widowControl w:val="0"/>
        <w:tabs>
          <w:tab w:val="clear" w:pos="567"/>
        </w:tabs>
        <w:rPr>
          <w:color w:val="000000"/>
          <w:lang w:val="bg-BG"/>
        </w:rPr>
      </w:pPr>
    </w:p>
    <w:p w14:paraId="3E550135" w14:textId="77777777" w:rsidR="00D73861" w:rsidRPr="00FE6AC6" w:rsidRDefault="00D73861" w:rsidP="0063575E">
      <w:pPr>
        <w:widowControl w:val="0"/>
        <w:tabs>
          <w:tab w:val="clear" w:pos="567"/>
        </w:tabs>
        <w:spacing w:line="240" w:lineRule="auto"/>
        <w:rPr>
          <w:color w:val="000000"/>
          <w:lang w:val="bg-BG"/>
        </w:rPr>
      </w:pPr>
      <w:r w:rsidRPr="00FE6AC6">
        <w:rPr>
          <w:color w:val="000000"/>
          <w:lang w:val="bg-BG"/>
        </w:rPr>
        <w:t xml:space="preserve">При пациенти, които не могат да преглъщат филмираните таблетки, таблетките може да се разтворят в чаша </w:t>
      </w:r>
      <w:r w:rsidR="002A1D44" w:rsidRPr="00FE6AC6">
        <w:rPr>
          <w:color w:val="000000"/>
          <w:lang w:val="bg-BG"/>
        </w:rPr>
        <w:t>негазирана</w:t>
      </w:r>
      <w:r w:rsidRPr="00FE6AC6">
        <w:rPr>
          <w:color w:val="000000"/>
          <w:lang w:val="bg-BG"/>
        </w:rPr>
        <w:t xml:space="preserve"> вода или ябълков сок. Необходимият брой таблетки трябва да се поставят в съответно количество напитка (приблизително 50</w:t>
      </w:r>
      <w:r w:rsidRPr="00FE6AC6">
        <w:rPr>
          <w:color w:val="000000"/>
        </w:rPr>
        <w:t> ml</w:t>
      </w:r>
      <w:r w:rsidRPr="00FE6AC6">
        <w:rPr>
          <w:color w:val="000000"/>
          <w:lang w:val="bg-BG"/>
        </w:rPr>
        <w:t xml:space="preserve"> за таблетка от 100</w:t>
      </w:r>
      <w:r w:rsidRPr="00FE6AC6">
        <w:rPr>
          <w:color w:val="000000"/>
        </w:rPr>
        <w:t> mg</w:t>
      </w:r>
      <w:r w:rsidRPr="00FE6AC6">
        <w:rPr>
          <w:color w:val="000000"/>
          <w:lang w:val="bg-BG"/>
        </w:rPr>
        <w:t>, и 200</w:t>
      </w:r>
      <w:r w:rsidRPr="00FE6AC6">
        <w:rPr>
          <w:color w:val="000000"/>
        </w:rPr>
        <w:t> ml</w:t>
      </w:r>
      <w:r w:rsidRPr="00FE6AC6">
        <w:rPr>
          <w:color w:val="000000"/>
          <w:lang w:val="bg-BG"/>
        </w:rPr>
        <w:t xml:space="preserve"> за таблетка от 400</w:t>
      </w:r>
      <w:r w:rsidRPr="00FE6AC6">
        <w:rPr>
          <w:color w:val="000000"/>
        </w:rPr>
        <w:t> mg</w:t>
      </w:r>
      <w:r w:rsidRPr="00FE6AC6">
        <w:rPr>
          <w:color w:val="000000"/>
          <w:lang w:val="bg-BG"/>
        </w:rPr>
        <w:t>) и да се стрият с лъжица. Суспензията трябва да се приеме веднага след пълното разграждане на таблетката (ите).</w:t>
      </w:r>
    </w:p>
    <w:p w14:paraId="3E550136" w14:textId="77777777" w:rsidR="00D73861" w:rsidRPr="00FE6AC6" w:rsidRDefault="00D73861" w:rsidP="0063575E">
      <w:pPr>
        <w:widowControl w:val="0"/>
        <w:spacing w:line="240" w:lineRule="auto"/>
        <w:rPr>
          <w:color w:val="000000"/>
          <w:lang w:val="bg-BG"/>
        </w:rPr>
      </w:pPr>
    </w:p>
    <w:p w14:paraId="3E550137"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Дозир</w:t>
      </w:r>
      <w:r w:rsidR="005E79A6" w:rsidRPr="00FE6AC6">
        <w:rPr>
          <w:color w:val="000000"/>
          <w:u w:val="single"/>
          <w:lang w:val="bg-BG"/>
        </w:rPr>
        <w:t>овка</w:t>
      </w:r>
      <w:r w:rsidRPr="00FE6AC6">
        <w:rPr>
          <w:color w:val="000000"/>
          <w:u w:val="single"/>
          <w:lang w:val="bg-BG"/>
        </w:rPr>
        <w:t xml:space="preserve"> при ХМЛ при възрастни</w:t>
      </w:r>
    </w:p>
    <w:p w14:paraId="3E550138" w14:textId="77777777" w:rsidR="00A44656" w:rsidRPr="00FE6AC6" w:rsidRDefault="00A44656" w:rsidP="0063575E">
      <w:pPr>
        <w:widowControl w:val="0"/>
        <w:spacing w:line="240" w:lineRule="auto"/>
        <w:rPr>
          <w:color w:val="000000"/>
          <w:lang w:val="bg-BG"/>
        </w:rPr>
      </w:pPr>
      <w:r w:rsidRPr="00FE6AC6">
        <w:rPr>
          <w:color w:val="000000"/>
          <w:lang w:val="bg-BG"/>
        </w:rPr>
        <w:t xml:space="preserve">При </w:t>
      </w:r>
      <w:r w:rsidR="007B7237" w:rsidRPr="00FE6AC6">
        <w:rPr>
          <w:color w:val="000000"/>
          <w:lang w:val="bg-BG"/>
        </w:rPr>
        <w:t xml:space="preserve">възрастни </w:t>
      </w:r>
      <w:r w:rsidRPr="00FE6AC6">
        <w:rPr>
          <w:color w:val="000000"/>
          <w:lang w:val="bg-BG"/>
        </w:rPr>
        <w:t>пациенти в хронична фазa на ХМЛ препоръчваната дозировка на Glivec е 400</w:t>
      </w:r>
      <w:r w:rsidRPr="00FE6AC6">
        <w:rPr>
          <w:color w:val="000000"/>
          <w:lang w:val="en-US"/>
        </w:rPr>
        <w:t> </w:t>
      </w:r>
      <w:r w:rsidRPr="00FE6AC6">
        <w:rPr>
          <w:color w:val="000000"/>
          <w:lang w:val="bg-BG"/>
        </w:rPr>
        <w:t>mg/ден. Хроничната фаза на ХМЛ се дефинира, ако са изпълнени всички следващи критерии: бласти &lt;15% в кръвта и костния мозък, базофили в периферната кръв &lt;20%, тромбоцити &gt;100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p w14:paraId="3E550139" w14:textId="77777777" w:rsidR="00A44656" w:rsidRPr="00FE6AC6" w:rsidRDefault="00A44656" w:rsidP="0063575E">
      <w:pPr>
        <w:widowControl w:val="0"/>
        <w:spacing w:line="240" w:lineRule="auto"/>
        <w:rPr>
          <w:color w:val="000000"/>
          <w:lang w:val="bg-BG"/>
        </w:rPr>
      </w:pPr>
    </w:p>
    <w:p w14:paraId="3E55013A" w14:textId="77777777" w:rsidR="00A44656" w:rsidRPr="00FE6AC6" w:rsidRDefault="00A44656" w:rsidP="0063575E">
      <w:pPr>
        <w:widowControl w:val="0"/>
        <w:spacing w:line="240" w:lineRule="auto"/>
        <w:rPr>
          <w:color w:val="000000"/>
          <w:lang w:val="bg-BG"/>
        </w:rPr>
      </w:pPr>
      <w:r w:rsidRPr="00FE6AC6">
        <w:rPr>
          <w:color w:val="000000"/>
          <w:lang w:val="bg-BG"/>
        </w:rPr>
        <w:t xml:space="preserve">При </w:t>
      </w:r>
      <w:r w:rsidR="007B7237" w:rsidRPr="00FE6AC6">
        <w:rPr>
          <w:color w:val="000000"/>
          <w:lang w:val="bg-BG"/>
        </w:rPr>
        <w:t xml:space="preserve">възрастни </w:t>
      </w:r>
      <w:r w:rsidRPr="00FE6AC6">
        <w:rPr>
          <w:color w:val="000000"/>
          <w:lang w:val="bg-BG"/>
        </w:rPr>
        <w:t>пациенти във фазa на акцелерация препоръчваната дозировка на Glivec е 600</w:t>
      </w:r>
      <w:r w:rsidRPr="00FE6AC6">
        <w:rPr>
          <w:color w:val="000000"/>
          <w:lang w:val="en-US"/>
        </w:rPr>
        <w:t> </w:t>
      </w:r>
      <w:r w:rsidRPr="00FE6AC6">
        <w:rPr>
          <w:color w:val="000000"/>
          <w:lang w:val="bg-BG"/>
        </w:rPr>
        <w:t>mg/ден. Фазата на акцелерация се дефинира от наличието на някой от следните критерии: бласти ≥15%, но &lt;30% в кръвта или костния мозък, бласти плюс промиелоцити ≥30% в кръвта или костния мозък (при &lt;30% бласти), базофили в периферната кръв ≥20%, тромбоцити &lt;100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r w:rsidR="003F3A73" w:rsidRPr="00FE6AC6">
        <w:rPr>
          <w:color w:val="000000"/>
          <w:lang w:val="bg-BG"/>
        </w:rPr>
        <w:t>,</w:t>
      </w:r>
      <w:r w:rsidRPr="00FE6AC6">
        <w:rPr>
          <w:color w:val="000000"/>
          <w:lang w:val="bg-BG"/>
        </w:rPr>
        <w:t xml:space="preserve"> независимо от лечението.</w:t>
      </w:r>
    </w:p>
    <w:p w14:paraId="3E55013B" w14:textId="77777777" w:rsidR="00A44656" w:rsidRPr="00FE6AC6" w:rsidRDefault="00A44656" w:rsidP="0063575E">
      <w:pPr>
        <w:widowControl w:val="0"/>
        <w:spacing w:line="240" w:lineRule="auto"/>
        <w:rPr>
          <w:color w:val="000000"/>
          <w:lang w:val="bg-BG"/>
        </w:rPr>
      </w:pPr>
    </w:p>
    <w:p w14:paraId="3E55013C" w14:textId="77777777" w:rsidR="00A44656" w:rsidRPr="00FE6AC6" w:rsidRDefault="00A44656" w:rsidP="0063575E">
      <w:pPr>
        <w:widowControl w:val="0"/>
        <w:spacing w:line="240" w:lineRule="auto"/>
        <w:rPr>
          <w:color w:val="000000"/>
          <w:lang w:val="bg-BG"/>
        </w:rPr>
      </w:pPr>
      <w:r w:rsidRPr="00FE6AC6">
        <w:rPr>
          <w:color w:val="000000"/>
          <w:lang w:val="bg-BG"/>
        </w:rPr>
        <w:t xml:space="preserve">При </w:t>
      </w:r>
      <w:r w:rsidR="007B7237" w:rsidRPr="00FE6AC6">
        <w:rPr>
          <w:color w:val="000000"/>
          <w:lang w:val="bg-BG"/>
        </w:rPr>
        <w:t xml:space="preserve">възрастни </w:t>
      </w:r>
      <w:r w:rsidRPr="00FE6AC6">
        <w:rPr>
          <w:color w:val="000000"/>
          <w:lang w:val="bg-BG"/>
        </w:rPr>
        <w:t>пациенти в бластна криза препоръчваната дозировка на Glivec е 600</w:t>
      </w:r>
      <w:r w:rsidRPr="00FE6AC6">
        <w:rPr>
          <w:color w:val="000000"/>
          <w:lang w:val="en-US"/>
        </w:rPr>
        <w:t> </w:t>
      </w:r>
      <w:r w:rsidRPr="00FE6AC6">
        <w:rPr>
          <w:color w:val="000000"/>
          <w:lang w:val="bg-BG"/>
        </w:rPr>
        <w:t>mg/ден. Бластната криза се дефинира като бласти ≥30% в кръвта или костния мозък или екстрамедуларно засягане</w:t>
      </w:r>
      <w:r w:rsidR="003F3A73" w:rsidRPr="00FE6AC6">
        <w:rPr>
          <w:color w:val="000000"/>
          <w:lang w:val="bg-BG"/>
        </w:rPr>
        <w:t>,</w:t>
      </w:r>
      <w:r w:rsidRPr="00FE6AC6">
        <w:rPr>
          <w:color w:val="000000"/>
          <w:lang w:val="bg-BG"/>
        </w:rPr>
        <w:t xml:space="preserve"> с изключение на хепатоспленомегалия.</w:t>
      </w:r>
    </w:p>
    <w:p w14:paraId="3E55013D" w14:textId="77777777" w:rsidR="00A44656" w:rsidRPr="00FE6AC6" w:rsidRDefault="00A44656" w:rsidP="0063575E">
      <w:pPr>
        <w:widowControl w:val="0"/>
        <w:spacing w:line="240" w:lineRule="auto"/>
        <w:rPr>
          <w:color w:val="000000"/>
          <w:lang w:val="bg-BG"/>
        </w:rPr>
      </w:pPr>
    </w:p>
    <w:p w14:paraId="3E55013E" w14:textId="77777777" w:rsidR="00A44656" w:rsidRPr="00FE6AC6" w:rsidRDefault="00A44656" w:rsidP="0063575E">
      <w:pPr>
        <w:widowControl w:val="0"/>
        <w:spacing w:line="240" w:lineRule="auto"/>
        <w:rPr>
          <w:color w:val="000000"/>
          <w:lang w:val="bg-BG"/>
        </w:rPr>
      </w:pPr>
      <w:r w:rsidRPr="00FE6AC6">
        <w:rPr>
          <w:color w:val="000000"/>
          <w:lang w:val="bg-BG"/>
        </w:rPr>
        <w:t>Продължителност на лечението: При клинични проучвания, лечението с Glivec е продължавано до прогресия на заболяването. Не е изследван ефектът от спиране на лечението след постигане на пълен цитогенетичен отговор.</w:t>
      </w:r>
    </w:p>
    <w:p w14:paraId="3E55013F" w14:textId="77777777" w:rsidR="00A44656" w:rsidRPr="00FE6AC6" w:rsidRDefault="00A44656" w:rsidP="0063575E">
      <w:pPr>
        <w:widowControl w:val="0"/>
        <w:spacing w:line="240" w:lineRule="auto"/>
        <w:rPr>
          <w:color w:val="000000"/>
          <w:lang w:val="bg-BG"/>
        </w:rPr>
      </w:pPr>
    </w:p>
    <w:p w14:paraId="3E550140" w14:textId="77777777" w:rsidR="00A44656" w:rsidRPr="00FE6AC6" w:rsidRDefault="00A44656" w:rsidP="0063575E">
      <w:pPr>
        <w:widowControl w:val="0"/>
        <w:spacing w:line="240" w:lineRule="auto"/>
        <w:rPr>
          <w:color w:val="000000"/>
          <w:lang w:val="bg-BG"/>
        </w:rPr>
      </w:pPr>
      <w:r w:rsidRPr="00FE6AC6">
        <w:rPr>
          <w:color w:val="000000"/>
          <w:lang w:val="bg-BG"/>
        </w:rPr>
        <w:t>Повишаването на дозите от 400</w:t>
      </w:r>
      <w:r w:rsidRPr="00FE6AC6">
        <w:rPr>
          <w:color w:val="000000"/>
          <w:lang w:val="en-US"/>
        </w:rPr>
        <w:t> </w:t>
      </w:r>
      <w:r w:rsidRPr="00FE6AC6">
        <w:rPr>
          <w:color w:val="000000"/>
          <w:lang w:val="bg-BG"/>
        </w:rPr>
        <w:t>mg на 600</w:t>
      </w:r>
      <w:r w:rsidRPr="00FE6AC6">
        <w:rPr>
          <w:color w:val="000000"/>
          <w:lang w:val="en-US"/>
        </w:rPr>
        <w:t> </w:t>
      </w:r>
      <w:r w:rsidRPr="00FE6AC6">
        <w:rPr>
          <w:color w:val="000000"/>
          <w:lang w:val="bg-BG"/>
        </w:rPr>
        <w:t>mg или 800</w:t>
      </w:r>
      <w:r w:rsidRPr="00FE6AC6">
        <w:rPr>
          <w:color w:val="000000"/>
          <w:lang w:val="en-US"/>
        </w:rPr>
        <w:t> </w:t>
      </w:r>
      <w:r w:rsidRPr="00FE6AC6">
        <w:rPr>
          <w:color w:val="000000"/>
          <w:lang w:val="bg-BG"/>
        </w:rPr>
        <w:t>mg при пациенти със заболяване в хронична фаза или от 600</w:t>
      </w:r>
      <w:r w:rsidRPr="00FE6AC6">
        <w:rPr>
          <w:color w:val="000000"/>
          <w:lang w:val="en-US"/>
        </w:rPr>
        <w:t> </w:t>
      </w:r>
      <w:r w:rsidRPr="00FE6AC6">
        <w:rPr>
          <w:color w:val="000000"/>
          <w:lang w:val="bg-BG"/>
        </w:rPr>
        <w:t>mg до максимум 800</w:t>
      </w:r>
      <w:r w:rsidRPr="00FE6AC6">
        <w:rPr>
          <w:color w:val="000000"/>
          <w:lang w:val="en-US"/>
        </w:rPr>
        <w:t> </w:t>
      </w:r>
      <w:r w:rsidRPr="00FE6AC6">
        <w:rPr>
          <w:color w:val="000000"/>
          <w:lang w:val="bg-BG"/>
        </w:rPr>
        <w:t>mg (давани като 400</w:t>
      </w:r>
      <w:r w:rsidRPr="00FE6AC6">
        <w:rPr>
          <w:color w:val="000000"/>
          <w:lang w:val="en-US"/>
        </w:rPr>
        <w:t> </w:t>
      </w:r>
      <w:r w:rsidRPr="00FE6AC6">
        <w:rPr>
          <w:color w:val="000000"/>
          <w:lang w:val="bg-BG"/>
        </w:rPr>
        <w:t>mg два пъти дневно) при пациенти във фаза на акцелерация или бластна криза</w:t>
      </w:r>
      <w:r w:rsidR="003F3A73" w:rsidRPr="00FE6AC6">
        <w:rPr>
          <w:color w:val="000000"/>
          <w:lang w:val="bg-BG"/>
        </w:rPr>
        <w:t>,</w:t>
      </w:r>
      <w:r w:rsidRPr="00FE6AC6">
        <w:rPr>
          <w:color w:val="000000"/>
          <w:lang w:val="bg-BG"/>
        </w:rPr>
        <w:t xml:space="preserve"> може да се обсъжда при липса на тежки нежелани лекарствени реакции и тежка</w:t>
      </w:r>
      <w:r w:rsidR="003F3A73" w:rsidRPr="00FE6AC6">
        <w:rPr>
          <w:color w:val="000000"/>
          <w:lang w:val="bg-BG"/>
        </w:rPr>
        <w:t>,</w:t>
      </w:r>
      <w:r w:rsidRPr="00FE6AC6">
        <w:rPr>
          <w:color w:val="000000"/>
          <w:lang w:val="bg-BG"/>
        </w:rPr>
        <w:t xml:space="preserve"> несвързана с левкемията неутропения или тромбоцитопения при следните обстоятелства: прогресия на заболяването (по всяко време); неуспех да се постигне задоволителен хематологичен отговор след поне 3</w:t>
      </w:r>
      <w:r w:rsidRPr="00FE6AC6">
        <w:rPr>
          <w:color w:val="000000"/>
          <w:lang w:val="en-US"/>
        </w:rPr>
        <w:t> </w:t>
      </w:r>
      <w:r w:rsidRPr="00FE6AC6">
        <w:rPr>
          <w:color w:val="000000"/>
          <w:lang w:val="bg-BG"/>
        </w:rPr>
        <w:t>месеца лечение; неуспех да се постигне цитогенетичен отговор след 12</w:t>
      </w:r>
      <w:r w:rsidRPr="00FE6AC6">
        <w:rPr>
          <w:color w:val="000000"/>
          <w:lang w:val="en-US"/>
        </w:rPr>
        <w:t> </w:t>
      </w:r>
      <w:r w:rsidRPr="00FE6AC6">
        <w:rPr>
          <w:color w:val="000000"/>
          <w:lang w:val="bg-BG"/>
        </w:rPr>
        <w:t>месеца лечение; или загуба на постигнат преди това хематологичен и/или цитогенетичен отговор. Пациентите трябва да се проследяват внимателно след повишаване на дозата</w:t>
      </w:r>
      <w:r w:rsidR="003F3A73" w:rsidRPr="00FE6AC6">
        <w:rPr>
          <w:color w:val="000000"/>
          <w:lang w:val="bg-BG"/>
        </w:rPr>
        <w:t>,</w:t>
      </w:r>
      <w:r w:rsidRPr="00FE6AC6">
        <w:rPr>
          <w:color w:val="000000"/>
          <w:lang w:val="bg-BG"/>
        </w:rPr>
        <w:t xml:space="preserve"> поради възможността за повишена честота на нежеланите реакции при по-високи дози.</w:t>
      </w:r>
    </w:p>
    <w:p w14:paraId="3E550141" w14:textId="77777777" w:rsidR="00A44656" w:rsidRPr="00FE6AC6" w:rsidRDefault="00A44656" w:rsidP="0063575E">
      <w:pPr>
        <w:widowControl w:val="0"/>
        <w:spacing w:line="240" w:lineRule="auto"/>
        <w:rPr>
          <w:color w:val="000000"/>
          <w:lang w:val="bg-BG"/>
        </w:rPr>
      </w:pPr>
    </w:p>
    <w:p w14:paraId="3E550142" w14:textId="77777777" w:rsidR="00A44656" w:rsidRPr="00FE6AC6" w:rsidRDefault="00A44656" w:rsidP="0063575E">
      <w:pPr>
        <w:keepNext/>
        <w:widowControl w:val="0"/>
        <w:tabs>
          <w:tab w:val="left" w:pos="8505"/>
        </w:tabs>
        <w:spacing w:line="240" w:lineRule="auto"/>
        <w:rPr>
          <w:color w:val="000000"/>
          <w:u w:val="single"/>
          <w:lang w:val="bg-BG"/>
        </w:rPr>
      </w:pPr>
      <w:r w:rsidRPr="00FE6AC6">
        <w:rPr>
          <w:color w:val="000000"/>
          <w:u w:val="single"/>
          <w:lang w:val="bg-BG"/>
        </w:rPr>
        <w:t>Дозир</w:t>
      </w:r>
      <w:r w:rsidR="005E79A6" w:rsidRPr="00FE6AC6">
        <w:rPr>
          <w:color w:val="000000"/>
          <w:u w:val="single"/>
          <w:lang w:val="bg-BG"/>
        </w:rPr>
        <w:t>овка</w:t>
      </w:r>
      <w:r w:rsidRPr="00FE6AC6">
        <w:rPr>
          <w:color w:val="000000"/>
          <w:u w:val="single"/>
          <w:lang w:val="bg-BG"/>
        </w:rPr>
        <w:t xml:space="preserve"> при ХМЛ при деца</w:t>
      </w:r>
    </w:p>
    <w:p w14:paraId="3E550143" w14:textId="77777777" w:rsidR="00A44656" w:rsidRPr="00FE6AC6" w:rsidRDefault="00A44656" w:rsidP="0063575E">
      <w:pPr>
        <w:widowControl w:val="0"/>
        <w:spacing w:line="240" w:lineRule="auto"/>
        <w:rPr>
          <w:color w:val="000000"/>
          <w:lang w:val="bg-BG"/>
        </w:rPr>
      </w:pPr>
      <w:r w:rsidRPr="00FE6AC6">
        <w:rPr>
          <w:color w:val="000000"/>
          <w:lang w:val="bg-BG"/>
        </w:rPr>
        <w:t>Дозирането при деца трябва да се основава на площта на телесната повърхност (mg/m</w:t>
      </w:r>
      <w:r w:rsidRPr="00FE6AC6">
        <w:rPr>
          <w:color w:val="000000"/>
          <w:vertAlign w:val="superscript"/>
          <w:lang w:val="bg-BG"/>
        </w:rPr>
        <w:t>2</w:t>
      </w:r>
      <w:r w:rsidRPr="00FE6AC6">
        <w:rPr>
          <w:color w:val="000000"/>
          <w:lang w:val="bg-BG"/>
        </w:rPr>
        <w:t>). Препоръчва се доза от 340 mg/m</w:t>
      </w:r>
      <w:r w:rsidRPr="00FE6AC6">
        <w:rPr>
          <w:color w:val="000000"/>
          <w:vertAlign w:val="superscript"/>
          <w:lang w:val="bg-BG"/>
        </w:rPr>
        <w:t>2 </w:t>
      </w:r>
      <w:r w:rsidRPr="00FE6AC6">
        <w:rPr>
          <w:color w:val="000000"/>
          <w:lang w:val="bg-BG"/>
        </w:rPr>
        <w:t>дневно за деца в хронична фаза на ХМЛ и в авансирала фаза на ХМЛ (не трябва да превишава общата доза от 800 </w:t>
      </w:r>
      <w:r w:rsidRPr="00FE6AC6">
        <w:rPr>
          <w:color w:val="000000"/>
          <w:lang w:val="en-US"/>
        </w:rPr>
        <w:t>mg</w:t>
      </w:r>
      <w:r w:rsidRPr="00FE6AC6">
        <w:rPr>
          <w:color w:val="000000"/>
          <w:lang w:val="bg-BG"/>
        </w:rPr>
        <w:t>). Лечението може да се прилага като еднократна дневна доза или като алтернатива дневната доза да се раздели на два приема – един сутрин и един вечер. Препоръката за дозата понастоящем се основава на малък брой педиатрични пациенти (вж. точки</w:t>
      </w:r>
      <w:r w:rsidRPr="00FE6AC6">
        <w:rPr>
          <w:color w:val="000000"/>
          <w:lang w:val="en-US"/>
        </w:rPr>
        <w:t> </w:t>
      </w:r>
      <w:r w:rsidRPr="00FE6AC6">
        <w:rPr>
          <w:color w:val="000000"/>
          <w:lang w:val="bg-BG"/>
        </w:rPr>
        <w:t>5.1</w:t>
      </w:r>
      <w:r w:rsidRPr="00FE6AC6">
        <w:rPr>
          <w:rFonts w:ascii="TimesNewRoman" w:hAnsi="TimesNewRoman"/>
          <w:color w:val="000000"/>
          <w:lang w:val="en-US"/>
        </w:rPr>
        <w:t> </w:t>
      </w:r>
      <w:r w:rsidRPr="00FE6AC6">
        <w:rPr>
          <w:color w:val="000000"/>
          <w:lang w:val="bg-BG"/>
        </w:rPr>
        <w:t>и 5.2). Липсва опит с лечението на деца под 2</w:t>
      </w:r>
      <w:r w:rsidRPr="00FE6AC6">
        <w:rPr>
          <w:color w:val="000000"/>
          <w:lang w:val="en-US"/>
        </w:rPr>
        <w:t> </w:t>
      </w:r>
      <w:r w:rsidRPr="00FE6AC6">
        <w:rPr>
          <w:color w:val="000000"/>
          <w:lang w:val="bg-BG"/>
        </w:rPr>
        <w:t>годишна възраст.</w:t>
      </w:r>
    </w:p>
    <w:p w14:paraId="3E550144" w14:textId="77777777" w:rsidR="00A44656" w:rsidRPr="00FE6AC6" w:rsidRDefault="00A44656" w:rsidP="0063575E">
      <w:pPr>
        <w:widowControl w:val="0"/>
        <w:spacing w:line="240" w:lineRule="auto"/>
        <w:rPr>
          <w:color w:val="000000"/>
          <w:lang w:val="bg-BG"/>
        </w:rPr>
      </w:pPr>
    </w:p>
    <w:p w14:paraId="3E550145" w14:textId="77777777" w:rsidR="00A44656" w:rsidRPr="00FE6AC6" w:rsidRDefault="00A44656" w:rsidP="0063575E">
      <w:pPr>
        <w:widowControl w:val="0"/>
        <w:spacing w:line="240" w:lineRule="auto"/>
        <w:rPr>
          <w:color w:val="000000"/>
          <w:lang w:val="bg-BG"/>
        </w:rPr>
      </w:pPr>
      <w:r w:rsidRPr="00FE6AC6">
        <w:rPr>
          <w:color w:val="000000"/>
          <w:lang w:val="bg-BG"/>
        </w:rPr>
        <w:t>Увеличаване на дозата от 340 </w:t>
      </w:r>
      <w:r w:rsidRPr="00FE6AC6">
        <w:rPr>
          <w:color w:val="000000"/>
          <w:lang w:val="en-US"/>
        </w:rPr>
        <w:t>mg</w:t>
      </w:r>
      <w:r w:rsidRPr="00FE6AC6">
        <w:rPr>
          <w:color w:val="000000"/>
          <w:lang w:val="ru-RU"/>
        </w:rPr>
        <w:t>/</w:t>
      </w:r>
      <w:r w:rsidRPr="00FE6AC6">
        <w:rPr>
          <w:color w:val="000000"/>
          <w:lang w:val="en-US"/>
        </w:rPr>
        <w:t>m</w:t>
      </w:r>
      <w:r w:rsidRPr="00FE6AC6">
        <w:rPr>
          <w:color w:val="000000"/>
          <w:vertAlign w:val="superscript"/>
          <w:lang w:val="ru-RU"/>
        </w:rPr>
        <w:t>2 </w:t>
      </w:r>
      <w:r w:rsidRPr="00FE6AC6">
        <w:rPr>
          <w:color w:val="000000"/>
          <w:lang w:val="ru-RU"/>
        </w:rPr>
        <w:t>дневно до 570 </w:t>
      </w:r>
      <w:r w:rsidRPr="00FE6AC6">
        <w:rPr>
          <w:color w:val="000000"/>
          <w:lang w:val="en-US"/>
        </w:rPr>
        <w:t>mg</w:t>
      </w:r>
      <w:r w:rsidRPr="00FE6AC6">
        <w:rPr>
          <w:color w:val="000000"/>
          <w:lang w:val="ru-RU"/>
        </w:rPr>
        <w:t>/</w:t>
      </w:r>
      <w:r w:rsidRPr="00FE6AC6">
        <w:rPr>
          <w:color w:val="000000"/>
          <w:lang w:val="en-US"/>
        </w:rPr>
        <w:t>m</w:t>
      </w:r>
      <w:r w:rsidRPr="00FE6AC6">
        <w:rPr>
          <w:color w:val="000000"/>
          <w:vertAlign w:val="superscript"/>
          <w:lang w:val="ru-RU"/>
        </w:rPr>
        <w:t>2 </w:t>
      </w:r>
      <w:r w:rsidRPr="00FE6AC6">
        <w:rPr>
          <w:color w:val="000000"/>
          <w:lang w:val="ru-RU"/>
        </w:rPr>
        <w:t>дневно (</w:t>
      </w:r>
      <w:r w:rsidRPr="00FE6AC6">
        <w:rPr>
          <w:color w:val="000000"/>
          <w:lang w:val="bg-BG"/>
        </w:rPr>
        <w:t>не трябва да превишава общата доза от 800 </w:t>
      </w:r>
      <w:r w:rsidRPr="00FE6AC6">
        <w:rPr>
          <w:color w:val="000000"/>
          <w:lang w:val="en-US"/>
        </w:rPr>
        <w:t>mg</w:t>
      </w:r>
      <w:r w:rsidRPr="00FE6AC6">
        <w:rPr>
          <w:color w:val="000000"/>
          <w:lang w:val="bg-BG"/>
        </w:rPr>
        <w:t>) може да бъде обсъждано при деца при липса на тежки нежелани лекарствени реакции и тежка</w:t>
      </w:r>
      <w:r w:rsidR="003F3A73" w:rsidRPr="00FE6AC6">
        <w:rPr>
          <w:color w:val="000000"/>
          <w:lang w:val="bg-BG"/>
        </w:rPr>
        <w:t>,</w:t>
      </w:r>
      <w:r w:rsidRPr="00FE6AC6">
        <w:rPr>
          <w:color w:val="000000"/>
          <w:lang w:val="bg-BG"/>
        </w:rPr>
        <w:t xml:space="preserve"> несвързана с левкемията неутропения или тромбоцитопения, при следните обстоятелства: прогресия на заболяването (по всяко време); неуспех за постигане на задоволителен хематологичен отговор след поне 3 месеца на лечение; неуспех за постигане на цитогенетичен отговор след 12 месеца на лечение; или загуба на постигнат преди това хематологичен и/или цитогенетичен отговор. Пациентите трябва да бъдат наблюдавани внимателно след увеличаване на дозата</w:t>
      </w:r>
      <w:r w:rsidR="003F3A73" w:rsidRPr="00FE6AC6">
        <w:rPr>
          <w:color w:val="000000"/>
          <w:lang w:val="bg-BG"/>
        </w:rPr>
        <w:t>, като се има</w:t>
      </w:r>
      <w:r w:rsidRPr="00FE6AC6">
        <w:rPr>
          <w:color w:val="000000"/>
          <w:lang w:val="bg-BG"/>
        </w:rPr>
        <w:t xml:space="preserve"> предвид потенциала за повишена честота на нежелани лекарствени реакции при по-високи дози.</w:t>
      </w:r>
    </w:p>
    <w:p w14:paraId="3E550146" w14:textId="77777777" w:rsidR="00A44656" w:rsidRPr="00FE6AC6" w:rsidRDefault="00A44656" w:rsidP="0063575E">
      <w:pPr>
        <w:widowControl w:val="0"/>
        <w:spacing w:line="240" w:lineRule="auto"/>
        <w:rPr>
          <w:color w:val="000000"/>
          <w:lang w:val="bg-BG"/>
        </w:rPr>
      </w:pPr>
    </w:p>
    <w:p w14:paraId="3E550147"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Дозир</w:t>
      </w:r>
      <w:r w:rsidR="005E79A6" w:rsidRPr="00FE6AC6">
        <w:rPr>
          <w:color w:val="000000"/>
          <w:u w:val="single"/>
          <w:lang w:val="bg-BG"/>
        </w:rPr>
        <w:t>овка</w:t>
      </w:r>
      <w:r w:rsidRPr="00FE6AC6">
        <w:rPr>
          <w:color w:val="000000"/>
          <w:u w:val="single"/>
          <w:lang w:val="bg-BG"/>
        </w:rPr>
        <w:t xml:space="preserve"> при </w:t>
      </w:r>
      <w:r w:rsidRPr="00FE6AC6">
        <w:rPr>
          <w:color w:val="000000"/>
          <w:u w:val="single"/>
          <w:lang w:val="en-US"/>
        </w:rPr>
        <w:t>Ph</w:t>
      </w:r>
      <w:r w:rsidRPr="00FE6AC6">
        <w:rPr>
          <w:color w:val="000000"/>
          <w:u w:val="single"/>
          <w:lang w:val="ru-RU"/>
        </w:rPr>
        <w:t>+</w:t>
      </w:r>
      <w:r w:rsidRPr="00FE6AC6">
        <w:rPr>
          <w:color w:val="000000"/>
          <w:u w:val="single"/>
          <w:lang w:val="bg-BG"/>
        </w:rPr>
        <w:t>ОЛЛ</w:t>
      </w:r>
      <w:r w:rsidR="00A11471" w:rsidRPr="00FE6AC6">
        <w:rPr>
          <w:color w:val="000000"/>
          <w:u w:val="single"/>
          <w:lang w:val="bg-BG"/>
        </w:rPr>
        <w:t xml:space="preserve"> при възрастни пациенти</w:t>
      </w:r>
    </w:p>
    <w:p w14:paraId="3E550148" w14:textId="77777777" w:rsidR="00A44656" w:rsidRPr="00FE6AC6" w:rsidRDefault="00A44656" w:rsidP="0063575E">
      <w:pPr>
        <w:widowControl w:val="0"/>
        <w:spacing w:line="240" w:lineRule="auto"/>
        <w:rPr>
          <w:color w:val="000000"/>
          <w:lang w:val="ru-RU"/>
        </w:rPr>
      </w:pPr>
      <w:r w:rsidRPr="00FE6AC6">
        <w:rPr>
          <w:color w:val="000000"/>
          <w:lang w:val="bg-BG"/>
        </w:rPr>
        <w:t xml:space="preserve">Препоръчваната доза Glivec е 600 mg/ден при </w:t>
      </w:r>
      <w:r w:rsidR="007B7237" w:rsidRPr="00FE6AC6">
        <w:rPr>
          <w:color w:val="000000"/>
          <w:lang w:val="bg-BG"/>
        </w:rPr>
        <w:t xml:space="preserve">възрастни </w:t>
      </w:r>
      <w:r w:rsidRPr="00FE6AC6">
        <w:rPr>
          <w:color w:val="000000"/>
          <w:lang w:val="bg-BG"/>
        </w:rPr>
        <w:t xml:space="preserve">пациенти с </w:t>
      </w:r>
      <w:r w:rsidRPr="00FE6AC6">
        <w:rPr>
          <w:color w:val="000000"/>
          <w:lang w:val="en-US"/>
        </w:rPr>
        <w:t>Ph</w:t>
      </w:r>
      <w:r w:rsidRPr="00FE6AC6">
        <w:rPr>
          <w:color w:val="000000"/>
          <w:lang w:val="ru-RU"/>
        </w:rPr>
        <w:t>+ОЛЛ. Хематолозите, експерти в лечението на това заболяване, трябва да проследяват терапията във всичките й фази.</w:t>
      </w:r>
    </w:p>
    <w:p w14:paraId="3E550149" w14:textId="77777777" w:rsidR="00A44656" w:rsidRPr="00FE6AC6" w:rsidRDefault="00A44656" w:rsidP="0063575E">
      <w:pPr>
        <w:widowControl w:val="0"/>
        <w:spacing w:line="240" w:lineRule="auto"/>
        <w:rPr>
          <w:color w:val="000000"/>
          <w:lang w:val="ru-RU"/>
        </w:rPr>
      </w:pPr>
    </w:p>
    <w:p w14:paraId="3E55014A" w14:textId="77777777" w:rsidR="00A44656" w:rsidRPr="00FE6AC6" w:rsidRDefault="00A44656" w:rsidP="0063575E">
      <w:pPr>
        <w:widowControl w:val="0"/>
        <w:spacing w:line="240" w:lineRule="auto"/>
        <w:rPr>
          <w:color w:val="000000"/>
          <w:lang w:val="ru-RU"/>
        </w:rPr>
      </w:pPr>
      <w:r w:rsidRPr="00FE6AC6">
        <w:rPr>
          <w:color w:val="000000"/>
          <w:lang w:val="ru-RU"/>
        </w:rPr>
        <w:t xml:space="preserve">Схема на лечение: Въз основа на наличните данни, е показано, че </w:t>
      </w:r>
      <w:r w:rsidRPr="00FE6AC6">
        <w:rPr>
          <w:color w:val="000000"/>
          <w:lang w:val="en-US"/>
        </w:rPr>
        <w:t>Glivec</w:t>
      </w:r>
      <w:r w:rsidRPr="00FE6AC6">
        <w:rPr>
          <w:color w:val="000000"/>
          <w:lang w:val="ru-RU"/>
        </w:rPr>
        <w:t xml:space="preserve"> е </w:t>
      </w:r>
      <w:r w:rsidRPr="00FE6AC6">
        <w:rPr>
          <w:color w:val="000000"/>
          <w:lang w:val="bg-BG"/>
        </w:rPr>
        <w:t>ефикасен</w:t>
      </w:r>
      <w:r w:rsidRPr="00FE6AC6">
        <w:rPr>
          <w:color w:val="000000"/>
          <w:lang w:val="ru-RU"/>
        </w:rPr>
        <w:t xml:space="preserve"> и безопасен</w:t>
      </w:r>
      <w:r w:rsidR="003F3A73" w:rsidRPr="00FE6AC6">
        <w:rPr>
          <w:color w:val="000000"/>
          <w:lang w:val="ru-RU"/>
        </w:rPr>
        <w:t>,</w:t>
      </w:r>
      <w:r w:rsidRPr="00FE6AC6">
        <w:rPr>
          <w:color w:val="000000"/>
          <w:lang w:val="ru-RU"/>
        </w:rPr>
        <w:t xml:space="preserve"> когато е прилаган в дози от 600 </w:t>
      </w:r>
      <w:r w:rsidRPr="00FE6AC6">
        <w:rPr>
          <w:color w:val="000000"/>
          <w:lang w:val="en-US"/>
        </w:rPr>
        <w:t>mg</w:t>
      </w:r>
      <w:r w:rsidRPr="00FE6AC6">
        <w:rPr>
          <w:color w:val="000000"/>
          <w:lang w:val="ru-RU"/>
        </w:rPr>
        <w:t xml:space="preserve">/ден в комбинация с химиотерапия във фазата на индукция, фазите на консолидация и поддържане на химиотерапията (вж. точка 5.1) при възрастни с новодиагностицирана </w:t>
      </w:r>
      <w:r w:rsidRPr="00FE6AC6">
        <w:rPr>
          <w:color w:val="000000"/>
          <w:lang w:val="en-US"/>
        </w:rPr>
        <w:t>Ph</w:t>
      </w:r>
      <w:r w:rsidRPr="00FE6AC6">
        <w:rPr>
          <w:color w:val="000000"/>
          <w:lang w:val="ru-RU"/>
        </w:rPr>
        <w:t xml:space="preserve">+ </w:t>
      </w:r>
      <w:r w:rsidRPr="00FE6AC6">
        <w:rPr>
          <w:color w:val="000000"/>
          <w:lang w:val="bg-BG"/>
        </w:rPr>
        <w:t>ОЛЛ.</w:t>
      </w:r>
      <w:r w:rsidRPr="00FE6AC6">
        <w:rPr>
          <w:color w:val="000000"/>
          <w:lang w:val="ru-RU"/>
        </w:rPr>
        <w:t xml:space="preserve"> Продължителността на лечението с </w:t>
      </w:r>
      <w:r w:rsidRPr="00FE6AC6">
        <w:rPr>
          <w:color w:val="000000"/>
          <w:lang w:val="en-US"/>
        </w:rPr>
        <w:t>Glivec</w:t>
      </w:r>
      <w:r w:rsidRPr="00FE6AC6">
        <w:rPr>
          <w:color w:val="000000"/>
          <w:lang w:val="bg-BG"/>
        </w:rPr>
        <w:t xml:space="preserve"> може да бъде различна в зависимост от избраната програма за лечение, но като цяло по-продължителният прием на </w:t>
      </w:r>
      <w:r w:rsidRPr="00FE6AC6">
        <w:rPr>
          <w:color w:val="000000"/>
          <w:lang w:val="en-US"/>
        </w:rPr>
        <w:t>Glivec</w:t>
      </w:r>
      <w:r w:rsidRPr="00FE6AC6">
        <w:rPr>
          <w:color w:val="000000"/>
          <w:lang w:val="ru-RU"/>
        </w:rPr>
        <w:t xml:space="preserve"> </w:t>
      </w:r>
      <w:r w:rsidRPr="00FE6AC6">
        <w:rPr>
          <w:color w:val="000000"/>
          <w:lang w:val="en-US"/>
        </w:rPr>
        <w:t>e</w:t>
      </w:r>
      <w:r w:rsidRPr="00FE6AC6">
        <w:rPr>
          <w:color w:val="000000"/>
          <w:lang w:val="ru-RU"/>
        </w:rPr>
        <w:t xml:space="preserve"> дал по-добри резултати.</w:t>
      </w:r>
    </w:p>
    <w:p w14:paraId="3E55014B" w14:textId="77777777" w:rsidR="00A44656" w:rsidRPr="00FE6AC6" w:rsidRDefault="00A44656" w:rsidP="0063575E">
      <w:pPr>
        <w:widowControl w:val="0"/>
        <w:spacing w:line="240" w:lineRule="auto"/>
        <w:rPr>
          <w:color w:val="000000"/>
          <w:lang w:val="ru-RU"/>
        </w:rPr>
      </w:pPr>
    </w:p>
    <w:p w14:paraId="3E55014C" w14:textId="77777777" w:rsidR="00A44656" w:rsidRPr="00FE6AC6" w:rsidRDefault="00A44656" w:rsidP="0063575E">
      <w:pPr>
        <w:widowControl w:val="0"/>
        <w:spacing w:line="240" w:lineRule="auto"/>
        <w:rPr>
          <w:color w:val="000000"/>
          <w:lang w:val="ru-RU"/>
        </w:rPr>
      </w:pPr>
      <w:r w:rsidRPr="00FE6AC6">
        <w:rPr>
          <w:color w:val="000000"/>
          <w:lang w:val="ru-RU"/>
        </w:rPr>
        <w:t xml:space="preserve">При възрастни пациенти с </w:t>
      </w:r>
      <w:r w:rsidRPr="00FE6AC6">
        <w:rPr>
          <w:color w:val="000000"/>
          <w:lang w:val="bg-BG"/>
        </w:rPr>
        <w:t>рецидив</w:t>
      </w:r>
      <w:r w:rsidRPr="00FE6AC6">
        <w:rPr>
          <w:color w:val="000000"/>
          <w:lang w:val="ru-RU"/>
        </w:rPr>
        <w:t xml:space="preserve"> или рефрактерна </w:t>
      </w:r>
      <w:r w:rsidRPr="00FE6AC6">
        <w:rPr>
          <w:color w:val="000000"/>
          <w:lang w:val="en-US"/>
        </w:rPr>
        <w:t>Ph</w:t>
      </w:r>
      <w:r w:rsidRPr="00FE6AC6">
        <w:rPr>
          <w:color w:val="000000"/>
          <w:lang w:val="ru-RU"/>
        </w:rPr>
        <w:t>+</w:t>
      </w:r>
      <w:r w:rsidRPr="00FE6AC6">
        <w:rPr>
          <w:color w:val="000000"/>
          <w:lang w:val="bg-BG"/>
        </w:rPr>
        <w:t xml:space="preserve">ОЛЛ, монотерапията с </w:t>
      </w:r>
      <w:r w:rsidRPr="00FE6AC6">
        <w:rPr>
          <w:color w:val="000000"/>
          <w:lang w:val="en-US"/>
        </w:rPr>
        <w:t>Glivec</w:t>
      </w:r>
      <w:r w:rsidRPr="00FE6AC6">
        <w:rPr>
          <w:color w:val="000000"/>
          <w:lang w:val="bg-BG"/>
        </w:rPr>
        <w:t xml:space="preserve"> от 600 </w:t>
      </w:r>
      <w:r w:rsidRPr="00FE6AC6">
        <w:rPr>
          <w:color w:val="000000"/>
          <w:lang w:val="en-US"/>
        </w:rPr>
        <w:t>mg</w:t>
      </w:r>
      <w:r w:rsidRPr="00FE6AC6">
        <w:rPr>
          <w:color w:val="000000"/>
          <w:lang w:val="ru-RU"/>
        </w:rPr>
        <w:t xml:space="preserve">/ден </w:t>
      </w:r>
      <w:r w:rsidRPr="00FE6AC6">
        <w:rPr>
          <w:color w:val="000000"/>
          <w:lang w:val="en-US"/>
        </w:rPr>
        <w:t>e</w:t>
      </w:r>
      <w:r w:rsidRPr="00FE6AC6">
        <w:rPr>
          <w:color w:val="000000"/>
          <w:lang w:val="ru-RU"/>
        </w:rPr>
        <w:t xml:space="preserve"> </w:t>
      </w:r>
      <w:r w:rsidRPr="00FE6AC6">
        <w:rPr>
          <w:color w:val="000000"/>
          <w:lang w:val="bg-BG"/>
        </w:rPr>
        <w:t>безопасна, ефективна и може да бъде прилагана до настъпване на прогресия на заболяването.</w:t>
      </w:r>
    </w:p>
    <w:p w14:paraId="3E55014D" w14:textId="77777777" w:rsidR="00A11471" w:rsidRPr="00FE6AC6" w:rsidRDefault="00A11471" w:rsidP="0063575E">
      <w:pPr>
        <w:widowControl w:val="0"/>
        <w:spacing w:line="240" w:lineRule="auto"/>
        <w:rPr>
          <w:rFonts w:eastAsia="MS Mincho"/>
          <w:color w:val="000000"/>
          <w:lang w:val="ru-RU" w:eastAsia="ja-JP"/>
        </w:rPr>
      </w:pPr>
    </w:p>
    <w:p w14:paraId="3E55014E" w14:textId="77777777" w:rsidR="00A11471" w:rsidRPr="00FE6AC6" w:rsidRDefault="00A11471" w:rsidP="0063575E">
      <w:pPr>
        <w:keepNext/>
        <w:widowControl w:val="0"/>
        <w:spacing w:line="240" w:lineRule="auto"/>
        <w:rPr>
          <w:rFonts w:eastAsia="MS Mincho"/>
          <w:color w:val="000000"/>
          <w:u w:val="single"/>
          <w:lang w:val="ru-RU" w:eastAsia="ja-JP"/>
        </w:rPr>
      </w:pPr>
      <w:r w:rsidRPr="00FE6AC6">
        <w:rPr>
          <w:color w:val="000000"/>
          <w:u w:val="single"/>
          <w:lang w:val="bg-BG"/>
        </w:rPr>
        <w:t>Дозир</w:t>
      </w:r>
      <w:r w:rsidR="005E79A6" w:rsidRPr="00FE6AC6">
        <w:rPr>
          <w:color w:val="000000"/>
          <w:u w:val="single"/>
          <w:lang w:val="bg-BG"/>
        </w:rPr>
        <w:t>овка</w:t>
      </w:r>
      <w:r w:rsidRPr="00FE6AC6">
        <w:rPr>
          <w:color w:val="000000"/>
          <w:u w:val="single"/>
          <w:lang w:val="bg-BG"/>
        </w:rPr>
        <w:t xml:space="preserve"> при </w:t>
      </w:r>
      <w:r w:rsidRPr="00FE6AC6">
        <w:rPr>
          <w:color w:val="000000"/>
          <w:u w:val="single"/>
          <w:lang w:val="en-US"/>
        </w:rPr>
        <w:t>Ph</w:t>
      </w:r>
      <w:r w:rsidRPr="00FE6AC6">
        <w:rPr>
          <w:color w:val="000000"/>
          <w:u w:val="single"/>
          <w:lang w:val="ru-RU"/>
        </w:rPr>
        <w:t>+</w:t>
      </w:r>
      <w:r w:rsidRPr="00FE6AC6">
        <w:rPr>
          <w:color w:val="000000"/>
          <w:u w:val="single"/>
          <w:lang w:val="bg-BG"/>
        </w:rPr>
        <w:t>ОЛЛ при деца</w:t>
      </w:r>
    </w:p>
    <w:p w14:paraId="3E55014F" w14:textId="77777777" w:rsidR="00A11471" w:rsidRPr="00FE6AC6" w:rsidRDefault="00A11471" w:rsidP="0063575E">
      <w:pPr>
        <w:widowControl w:val="0"/>
        <w:spacing w:line="240" w:lineRule="auto"/>
        <w:rPr>
          <w:color w:val="000000"/>
          <w:lang w:val="ru-RU"/>
        </w:rPr>
      </w:pPr>
      <w:r w:rsidRPr="00FE6AC6">
        <w:rPr>
          <w:color w:val="000000"/>
          <w:szCs w:val="22"/>
          <w:lang w:val="bg-BG"/>
        </w:rPr>
        <w:t xml:space="preserve">Дозата при деца се изчислява на базата на телесната повърхност </w:t>
      </w:r>
      <w:r w:rsidRPr="00FE6AC6">
        <w:rPr>
          <w:color w:val="000000"/>
          <w:szCs w:val="22"/>
          <w:lang w:val="ru-RU"/>
        </w:rPr>
        <w:t>(</w:t>
      </w:r>
      <w:r w:rsidRPr="00FE6AC6">
        <w:rPr>
          <w:color w:val="000000"/>
          <w:szCs w:val="22"/>
        </w:rPr>
        <w:t>mg</w:t>
      </w:r>
      <w:r w:rsidRPr="00FE6AC6">
        <w:rPr>
          <w:color w:val="000000"/>
          <w:szCs w:val="22"/>
          <w:lang w:val="ru-RU"/>
        </w:rPr>
        <w:t>/</w:t>
      </w:r>
      <w:r w:rsidRPr="00FE6AC6">
        <w:rPr>
          <w:color w:val="000000"/>
          <w:szCs w:val="22"/>
        </w:rPr>
        <w:t>m</w:t>
      </w:r>
      <w:r w:rsidRPr="00FE6AC6">
        <w:rPr>
          <w:color w:val="000000"/>
          <w:szCs w:val="22"/>
          <w:vertAlign w:val="superscript"/>
          <w:lang w:val="ru-RU"/>
        </w:rPr>
        <w:t>2</w:t>
      </w:r>
      <w:r w:rsidRPr="00FE6AC6">
        <w:rPr>
          <w:color w:val="000000"/>
          <w:szCs w:val="22"/>
          <w:lang w:val="ru-RU"/>
        </w:rPr>
        <w:t xml:space="preserve">). </w:t>
      </w:r>
      <w:r w:rsidRPr="00FE6AC6">
        <w:rPr>
          <w:color w:val="000000"/>
          <w:szCs w:val="22"/>
          <w:lang w:val="bg-BG"/>
        </w:rPr>
        <w:t>Препоръчва се доза от</w:t>
      </w:r>
      <w:r w:rsidRPr="00FE6AC6">
        <w:rPr>
          <w:color w:val="000000"/>
          <w:lang w:val="ru-RU"/>
        </w:rPr>
        <w:t xml:space="preserve"> 340</w:t>
      </w:r>
      <w:r w:rsidRPr="00FE6AC6">
        <w:rPr>
          <w:color w:val="000000"/>
        </w:rPr>
        <w:t> mg</w:t>
      </w:r>
      <w:r w:rsidRPr="00FE6AC6">
        <w:rPr>
          <w:color w:val="000000"/>
          <w:lang w:val="ru-RU"/>
        </w:rPr>
        <w:t>/</w:t>
      </w:r>
      <w:r w:rsidRPr="00FE6AC6">
        <w:rPr>
          <w:color w:val="000000"/>
        </w:rPr>
        <w:t>m</w:t>
      </w:r>
      <w:r w:rsidRPr="00FE6AC6">
        <w:rPr>
          <w:color w:val="000000"/>
          <w:vertAlign w:val="superscript"/>
          <w:lang w:val="ru-RU"/>
        </w:rPr>
        <w:t>2</w:t>
      </w:r>
      <w:r w:rsidRPr="00FE6AC6">
        <w:rPr>
          <w:color w:val="000000"/>
          <w:lang w:val="ru-RU"/>
        </w:rPr>
        <w:t xml:space="preserve"> </w:t>
      </w:r>
      <w:r w:rsidRPr="00FE6AC6">
        <w:rPr>
          <w:color w:val="000000"/>
          <w:lang w:val="bg-BG"/>
        </w:rPr>
        <w:t xml:space="preserve">дневно при деца с </w:t>
      </w:r>
      <w:r w:rsidRPr="00FE6AC6">
        <w:rPr>
          <w:color w:val="000000"/>
        </w:rPr>
        <w:t>Ph</w:t>
      </w:r>
      <w:r w:rsidRPr="00FE6AC6">
        <w:rPr>
          <w:color w:val="000000"/>
          <w:lang w:val="ru-RU"/>
        </w:rPr>
        <w:t xml:space="preserve">+ </w:t>
      </w:r>
      <w:r w:rsidRPr="00FE6AC6">
        <w:rPr>
          <w:color w:val="000000"/>
          <w:lang w:val="bg-BG"/>
        </w:rPr>
        <w:t>ОЛЛ</w:t>
      </w:r>
      <w:r w:rsidRPr="00FE6AC6">
        <w:rPr>
          <w:color w:val="000000"/>
          <w:lang w:val="ru-RU"/>
        </w:rPr>
        <w:t xml:space="preserve"> (</w:t>
      </w:r>
      <w:r w:rsidRPr="00FE6AC6">
        <w:rPr>
          <w:color w:val="000000"/>
          <w:lang w:val="bg-BG"/>
        </w:rPr>
        <w:t xml:space="preserve">не трябва да се превишава общата доза от </w:t>
      </w:r>
      <w:r w:rsidRPr="00FE6AC6">
        <w:rPr>
          <w:color w:val="000000"/>
          <w:lang w:val="ru-RU"/>
        </w:rPr>
        <w:t>600</w:t>
      </w:r>
      <w:r w:rsidRPr="00FE6AC6">
        <w:rPr>
          <w:color w:val="000000"/>
        </w:rPr>
        <w:t> mg</w:t>
      </w:r>
      <w:r w:rsidRPr="00FE6AC6">
        <w:rPr>
          <w:color w:val="000000"/>
          <w:lang w:val="ru-RU"/>
        </w:rPr>
        <w:t>).</w:t>
      </w:r>
    </w:p>
    <w:p w14:paraId="3E550150" w14:textId="77777777" w:rsidR="00A44656" w:rsidRPr="00FE6AC6" w:rsidRDefault="00A44656" w:rsidP="0063575E">
      <w:pPr>
        <w:widowControl w:val="0"/>
        <w:spacing w:line="240" w:lineRule="auto"/>
        <w:rPr>
          <w:color w:val="000000"/>
          <w:lang w:val="ru-RU"/>
        </w:rPr>
      </w:pPr>
    </w:p>
    <w:p w14:paraId="3E550151" w14:textId="77777777" w:rsidR="00A44656" w:rsidRPr="00FE6AC6" w:rsidRDefault="00A44656" w:rsidP="0063575E">
      <w:pPr>
        <w:pStyle w:val="EndnoteText"/>
        <w:keepNext/>
        <w:widowControl w:val="0"/>
        <w:tabs>
          <w:tab w:val="clear" w:pos="567"/>
        </w:tabs>
        <w:rPr>
          <w:color w:val="000000"/>
          <w:szCs w:val="22"/>
          <w:u w:val="single"/>
          <w:lang w:val="bg-BG"/>
        </w:rPr>
      </w:pPr>
      <w:r w:rsidRPr="00FE6AC6">
        <w:rPr>
          <w:color w:val="000000"/>
          <w:u w:val="single"/>
          <w:lang w:val="bg-BG"/>
        </w:rPr>
        <w:t>Дозир</w:t>
      </w:r>
      <w:r w:rsidR="005E79A6" w:rsidRPr="00FE6AC6">
        <w:rPr>
          <w:color w:val="000000"/>
          <w:u w:val="single"/>
          <w:lang w:val="bg-BG"/>
        </w:rPr>
        <w:t>овка</w:t>
      </w:r>
      <w:r w:rsidRPr="00FE6AC6">
        <w:rPr>
          <w:color w:val="000000"/>
          <w:u w:val="single"/>
          <w:lang w:val="bg-BG"/>
        </w:rPr>
        <w:t xml:space="preserve"> при МДС/МПЗ</w:t>
      </w:r>
    </w:p>
    <w:p w14:paraId="3E550152" w14:textId="77777777" w:rsidR="00A44656" w:rsidRPr="00FE6AC6" w:rsidRDefault="00A44656" w:rsidP="0063575E">
      <w:pPr>
        <w:pStyle w:val="EndnoteText"/>
        <w:widowControl w:val="0"/>
        <w:tabs>
          <w:tab w:val="clear" w:pos="567"/>
        </w:tabs>
        <w:rPr>
          <w:color w:val="000000"/>
          <w:szCs w:val="22"/>
          <w:lang w:val="bg-BG"/>
        </w:rPr>
      </w:pPr>
      <w:r w:rsidRPr="00FE6AC6">
        <w:rPr>
          <w:color w:val="000000"/>
          <w:lang w:val="bg-BG"/>
        </w:rPr>
        <w:t xml:space="preserve">Препоръчваната доза </w:t>
      </w:r>
      <w:r w:rsidRPr="00FE6AC6">
        <w:rPr>
          <w:color w:val="000000"/>
        </w:rPr>
        <w:t>Glivec</w:t>
      </w:r>
      <w:r w:rsidRPr="00FE6AC6">
        <w:rPr>
          <w:color w:val="000000"/>
          <w:lang w:val="bg-BG"/>
        </w:rPr>
        <w:t xml:space="preserve"> е 400</w:t>
      </w:r>
      <w:r w:rsidRPr="00FE6AC6">
        <w:rPr>
          <w:color w:val="000000"/>
        </w:rPr>
        <w:t> mg</w:t>
      </w:r>
      <w:r w:rsidRPr="00FE6AC6">
        <w:rPr>
          <w:color w:val="000000"/>
          <w:lang w:val="bg-BG"/>
        </w:rPr>
        <w:t xml:space="preserve">/ден при </w:t>
      </w:r>
      <w:r w:rsidR="007B7237" w:rsidRPr="00FE6AC6">
        <w:rPr>
          <w:color w:val="000000"/>
          <w:lang w:val="bg-BG"/>
        </w:rPr>
        <w:t xml:space="preserve">възрастни </w:t>
      </w:r>
      <w:r w:rsidRPr="00FE6AC6">
        <w:rPr>
          <w:color w:val="000000"/>
          <w:lang w:val="bg-BG"/>
        </w:rPr>
        <w:t>пациенти с МДС/МПЗ.</w:t>
      </w:r>
    </w:p>
    <w:p w14:paraId="3E550153" w14:textId="77777777" w:rsidR="00A44656" w:rsidRPr="00FE6AC6" w:rsidRDefault="00A44656" w:rsidP="0063575E">
      <w:pPr>
        <w:pStyle w:val="EndnoteText"/>
        <w:widowControl w:val="0"/>
        <w:tabs>
          <w:tab w:val="clear" w:pos="567"/>
        </w:tabs>
        <w:rPr>
          <w:color w:val="000000"/>
          <w:szCs w:val="22"/>
          <w:lang w:val="bg-BG"/>
        </w:rPr>
      </w:pPr>
    </w:p>
    <w:p w14:paraId="3E550154" w14:textId="77777777" w:rsidR="00A44656" w:rsidRPr="00FE6AC6" w:rsidRDefault="00A44656" w:rsidP="0063575E">
      <w:pPr>
        <w:pStyle w:val="EndnoteText"/>
        <w:widowControl w:val="0"/>
        <w:tabs>
          <w:tab w:val="clear" w:pos="567"/>
        </w:tabs>
        <w:rPr>
          <w:color w:val="000000"/>
          <w:szCs w:val="22"/>
          <w:lang w:val="bg-BG"/>
        </w:rPr>
      </w:pPr>
      <w:r w:rsidRPr="00FE6AC6">
        <w:rPr>
          <w:color w:val="000000"/>
          <w:szCs w:val="22"/>
          <w:lang w:val="bg-BG"/>
        </w:rPr>
        <w:t xml:space="preserve">Продължителност на лечението: в единственото клинично проучване проведено досега, лечението с </w:t>
      </w:r>
      <w:r w:rsidRPr="00FE6AC6">
        <w:rPr>
          <w:color w:val="000000"/>
          <w:szCs w:val="22"/>
        </w:rPr>
        <w:t>Glivec</w:t>
      </w:r>
      <w:r w:rsidRPr="00FE6AC6">
        <w:rPr>
          <w:color w:val="000000"/>
          <w:szCs w:val="22"/>
          <w:lang w:val="bg-BG"/>
        </w:rPr>
        <w:t xml:space="preserve"> е продължило до прогресия на заболяването (вж. точка 5.1). Към момента на анализа, средната продължителност на лечението е била 47</w:t>
      </w:r>
      <w:r w:rsidRPr="00FE6AC6">
        <w:rPr>
          <w:color w:val="000000"/>
          <w:szCs w:val="22"/>
        </w:rPr>
        <w:t> </w:t>
      </w:r>
      <w:r w:rsidRPr="00FE6AC6">
        <w:rPr>
          <w:color w:val="000000"/>
          <w:szCs w:val="22"/>
          <w:lang w:val="bg-BG"/>
        </w:rPr>
        <w:t>месеца (24</w:t>
      </w:r>
      <w:r w:rsidRPr="00FE6AC6">
        <w:rPr>
          <w:color w:val="000000"/>
          <w:szCs w:val="22"/>
        </w:rPr>
        <w:t> </w:t>
      </w:r>
      <w:r w:rsidRPr="00FE6AC6">
        <w:rPr>
          <w:color w:val="000000"/>
          <w:szCs w:val="22"/>
          <w:lang w:val="bg-BG"/>
        </w:rPr>
        <w:t>дни - 60</w:t>
      </w:r>
      <w:r w:rsidRPr="00FE6AC6">
        <w:rPr>
          <w:color w:val="000000"/>
          <w:szCs w:val="22"/>
        </w:rPr>
        <w:t> </w:t>
      </w:r>
      <w:r w:rsidRPr="00FE6AC6">
        <w:rPr>
          <w:color w:val="000000"/>
          <w:szCs w:val="22"/>
          <w:lang w:val="bg-BG"/>
        </w:rPr>
        <w:t>месеца).</w:t>
      </w:r>
    </w:p>
    <w:p w14:paraId="3E550155" w14:textId="77777777" w:rsidR="00A44656" w:rsidRPr="00FE6AC6" w:rsidRDefault="00A44656" w:rsidP="0063575E">
      <w:pPr>
        <w:pStyle w:val="EndnoteText"/>
        <w:widowControl w:val="0"/>
        <w:tabs>
          <w:tab w:val="clear" w:pos="567"/>
        </w:tabs>
        <w:rPr>
          <w:color w:val="000000"/>
          <w:szCs w:val="22"/>
          <w:lang w:val="bg-BG"/>
        </w:rPr>
      </w:pPr>
    </w:p>
    <w:p w14:paraId="3E550156" w14:textId="77777777" w:rsidR="00A44656" w:rsidRPr="00FE6AC6" w:rsidRDefault="00A44656" w:rsidP="0063575E">
      <w:pPr>
        <w:pStyle w:val="EndnoteText"/>
        <w:keepNext/>
        <w:widowControl w:val="0"/>
        <w:tabs>
          <w:tab w:val="clear" w:pos="567"/>
        </w:tabs>
        <w:rPr>
          <w:color w:val="000000"/>
          <w:szCs w:val="22"/>
          <w:u w:val="single"/>
          <w:lang w:val="bg-BG"/>
        </w:rPr>
      </w:pPr>
      <w:r w:rsidRPr="00FE6AC6">
        <w:rPr>
          <w:color w:val="000000"/>
          <w:szCs w:val="22"/>
          <w:u w:val="single"/>
          <w:lang w:val="bg-BG"/>
        </w:rPr>
        <w:t>Дозир</w:t>
      </w:r>
      <w:r w:rsidR="005E79A6" w:rsidRPr="00FE6AC6">
        <w:rPr>
          <w:color w:val="000000"/>
          <w:szCs w:val="22"/>
          <w:u w:val="single"/>
          <w:lang w:val="bg-BG"/>
        </w:rPr>
        <w:t>овка</w:t>
      </w:r>
      <w:r w:rsidRPr="00FE6AC6">
        <w:rPr>
          <w:color w:val="000000"/>
          <w:szCs w:val="22"/>
          <w:u w:val="single"/>
          <w:lang w:val="bg-BG"/>
        </w:rPr>
        <w:t xml:space="preserve"> при ХЕС/ХЕЛ</w:t>
      </w:r>
    </w:p>
    <w:p w14:paraId="3E550157" w14:textId="77777777" w:rsidR="00A44656" w:rsidRPr="00FE6AC6" w:rsidRDefault="00A44656" w:rsidP="0063575E">
      <w:pPr>
        <w:pStyle w:val="Text"/>
        <w:widowControl w:val="0"/>
        <w:spacing w:before="0"/>
        <w:jc w:val="left"/>
        <w:rPr>
          <w:color w:val="000000"/>
          <w:sz w:val="22"/>
          <w:szCs w:val="22"/>
          <w:lang w:val="bg-BG"/>
        </w:rPr>
      </w:pPr>
      <w:r w:rsidRPr="00FE6AC6">
        <w:rPr>
          <w:color w:val="000000"/>
          <w:sz w:val="22"/>
          <w:szCs w:val="22"/>
          <w:lang w:val="bg-BG"/>
        </w:rPr>
        <w:t xml:space="preserve">Препоръчваната доза </w:t>
      </w:r>
      <w:r w:rsidRPr="00FE6AC6">
        <w:rPr>
          <w:color w:val="000000"/>
          <w:sz w:val="22"/>
          <w:szCs w:val="22"/>
          <w:lang w:val="en-GB"/>
        </w:rPr>
        <w:t>Glivec</w:t>
      </w:r>
      <w:r w:rsidRPr="00FE6AC6">
        <w:rPr>
          <w:color w:val="000000"/>
          <w:sz w:val="22"/>
          <w:szCs w:val="22"/>
          <w:lang w:val="bg-BG"/>
        </w:rPr>
        <w:t xml:space="preserve"> е 100</w:t>
      </w:r>
      <w:r w:rsidRPr="00FE6AC6">
        <w:rPr>
          <w:color w:val="000000"/>
          <w:sz w:val="22"/>
          <w:szCs w:val="22"/>
          <w:lang w:val="en-GB"/>
        </w:rPr>
        <w:t> mg</w:t>
      </w:r>
      <w:r w:rsidRPr="00FE6AC6">
        <w:rPr>
          <w:color w:val="000000"/>
          <w:sz w:val="22"/>
          <w:szCs w:val="22"/>
          <w:lang w:val="bg-BG"/>
        </w:rPr>
        <w:t xml:space="preserve">/ден при </w:t>
      </w:r>
      <w:r w:rsidR="007B7237" w:rsidRPr="00FE6AC6">
        <w:rPr>
          <w:color w:val="000000"/>
          <w:lang w:val="bg-BG"/>
        </w:rPr>
        <w:t xml:space="preserve">възрастни </w:t>
      </w:r>
      <w:r w:rsidRPr="00FE6AC6">
        <w:rPr>
          <w:color w:val="000000"/>
          <w:sz w:val="22"/>
          <w:szCs w:val="22"/>
          <w:lang w:val="bg-BG"/>
        </w:rPr>
        <w:t>пациенти с ХЕС/ХЕЛ.</w:t>
      </w:r>
    </w:p>
    <w:p w14:paraId="3E550158" w14:textId="77777777" w:rsidR="00A44656" w:rsidRPr="00FE6AC6" w:rsidRDefault="00A44656" w:rsidP="0063575E">
      <w:pPr>
        <w:pStyle w:val="Text"/>
        <w:widowControl w:val="0"/>
        <w:spacing w:before="0"/>
        <w:jc w:val="left"/>
        <w:rPr>
          <w:color w:val="000000"/>
          <w:sz w:val="22"/>
          <w:szCs w:val="22"/>
          <w:lang w:val="bg-BG"/>
        </w:rPr>
      </w:pPr>
    </w:p>
    <w:p w14:paraId="3E550159" w14:textId="77777777" w:rsidR="00A44656" w:rsidRPr="00FE6AC6" w:rsidRDefault="00A44656" w:rsidP="0063575E">
      <w:pPr>
        <w:widowControl w:val="0"/>
        <w:spacing w:line="240" w:lineRule="auto"/>
        <w:rPr>
          <w:color w:val="000000"/>
          <w:szCs w:val="22"/>
          <w:lang w:val="bg-BG"/>
        </w:rPr>
      </w:pPr>
      <w:r w:rsidRPr="00FE6AC6">
        <w:rPr>
          <w:color w:val="000000"/>
          <w:szCs w:val="22"/>
          <w:lang w:val="bg-BG"/>
        </w:rPr>
        <w:t>Увеличаване на дозата от 100</w:t>
      </w:r>
      <w:r w:rsidRPr="00FE6AC6">
        <w:rPr>
          <w:color w:val="000000"/>
          <w:szCs w:val="22"/>
        </w:rPr>
        <w:t> mg</w:t>
      </w:r>
      <w:r w:rsidRPr="00FE6AC6">
        <w:rPr>
          <w:color w:val="000000"/>
          <w:szCs w:val="22"/>
          <w:lang w:val="bg-BG"/>
        </w:rPr>
        <w:t xml:space="preserve"> на 400</w:t>
      </w:r>
      <w:r w:rsidRPr="00FE6AC6">
        <w:rPr>
          <w:color w:val="000000"/>
          <w:szCs w:val="22"/>
        </w:rPr>
        <w:t> mg</w:t>
      </w:r>
      <w:r w:rsidRPr="00FE6AC6">
        <w:rPr>
          <w:color w:val="000000"/>
          <w:szCs w:val="22"/>
          <w:lang w:val="bg-BG"/>
        </w:rPr>
        <w:t xml:space="preserve"> може да се има предвид при лип</w:t>
      </w:r>
      <w:r w:rsidRPr="00FE6AC6">
        <w:rPr>
          <w:color w:val="000000"/>
          <w:szCs w:val="22"/>
          <w:lang w:val="ru-RU"/>
        </w:rPr>
        <w:t>с</w:t>
      </w:r>
      <w:r w:rsidRPr="00FE6AC6">
        <w:rPr>
          <w:color w:val="000000"/>
          <w:szCs w:val="22"/>
          <w:lang w:val="bg-BG"/>
        </w:rPr>
        <w:t>а на нежелани лекарствени реакции, ако оценката свидетелства за незадоволителен терапевтичен отговор.</w:t>
      </w:r>
    </w:p>
    <w:p w14:paraId="3E55015A" w14:textId="77777777" w:rsidR="00A44656" w:rsidRPr="00FE6AC6" w:rsidRDefault="00A44656" w:rsidP="0063575E">
      <w:pPr>
        <w:widowControl w:val="0"/>
        <w:spacing w:line="240" w:lineRule="auto"/>
        <w:rPr>
          <w:color w:val="000000"/>
          <w:lang w:val="bg-BG"/>
        </w:rPr>
      </w:pPr>
    </w:p>
    <w:p w14:paraId="3E55015B" w14:textId="77777777" w:rsidR="00A44656" w:rsidRPr="00FE6AC6" w:rsidRDefault="00A44656" w:rsidP="0063575E">
      <w:pPr>
        <w:widowControl w:val="0"/>
        <w:spacing w:line="240" w:lineRule="auto"/>
        <w:rPr>
          <w:color w:val="000000"/>
          <w:lang w:val="bg-BG"/>
        </w:rPr>
      </w:pPr>
      <w:r w:rsidRPr="00FE6AC6">
        <w:rPr>
          <w:color w:val="000000"/>
          <w:lang w:val="bg-BG"/>
        </w:rPr>
        <w:t>Лечението трябва да се продължи</w:t>
      </w:r>
      <w:r w:rsidR="003F3A73" w:rsidRPr="00FE6AC6">
        <w:rPr>
          <w:color w:val="000000"/>
          <w:lang w:val="bg-BG"/>
        </w:rPr>
        <w:t>,</w:t>
      </w:r>
      <w:r w:rsidRPr="00FE6AC6">
        <w:rPr>
          <w:color w:val="000000"/>
          <w:lang w:val="bg-BG"/>
        </w:rPr>
        <w:t xml:space="preserve"> докато пациентът се повлиява от него.</w:t>
      </w:r>
    </w:p>
    <w:p w14:paraId="3E55015C" w14:textId="77777777" w:rsidR="00A44656" w:rsidRPr="00FE6AC6" w:rsidRDefault="00A44656" w:rsidP="0063575E">
      <w:pPr>
        <w:widowControl w:val="0"/>
        <w:spacing w:line="240" w:lineRule="auto"/>
        <w:rPr>
          <w:color w:val="000000"/>
          <w:lang w:val="bg-BG"/>
        </w:rPr>
      </w:pPr>
    </w:p>
    <w:p w14:paraId="3E55015D"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Дозир</w:t>
      </w:r>
      <w:r w:rsidR="005E79A6" w:rsidRPr="00FE6AC6">
        <w:rPr>
          <w:color w:val="000000"/>
          <w:u w:val="single"/>
          <w:lang w:val="bg-BG"/>
        </w:rPr>
        <w:t>овка</w:t>
      </w:r>
      <w:r w:rsidRPr="00FE6AC6">
        <w:rPr>
          <w:color w:val="000000"/>
          <w:u w:val="single"/>
          <w:lang w:val="bg-BG"/>
        </w:rPr>
        <w:t xml:space="preserve"> при ГИСТ</w:t>
      </w:r>
    </w:p>
    <w:p w14:paraId="3E55015E" w14:textId="77777777" w:rsidR="00A44656" w:rsidRPr="00FE6AC6" w:rsidRDefault="00A44656" w:rsidP="0063575E">
      <w:pPr>
        <w:widowControl w:val="0"/>
        <w:spacing w:line="240" w:lineRule="auto"/>
        <w:rPr>
          <w:color w:val="000000"/>
          <w:lang w:val="bg-BG"/>
        </w:rPr>
      </w:pPr>
      <w:r w:rsidRPr="00FE6AC6">
        <w:rPr>
          <w:color w:val="000000"/>
          <w:lang w:val="bg-BG"/>
        </w:rPr>
        <w:t xml:space="preserve">При </w:t>
      </w:r>
      <w:r w:rsidR="007B7237" w:rsidRPr="00FE6AC6">
        <w:rPr>
          <w:color w:val="000000"/>
          <w:lang w:val="bg-BG"/>
        </w:rPr>
        <w:t xml:space="preserve">възрастни </w:t>
      </w:r>
      <w:r w:rsidRPr="00FE6AC6">
        <w:rPr>
          <w:color w:val="000000"/>
          <w:lang w:val="bg-BG"/>
        </w:rPr>
        <w:t>пациенти с неподлежащи на резекция и/или метастатични малигнени ГИСТ препоръчваната доза на Glivec е 400</w:t>
      </w:r>
      <w:r w:rsidRPr="00FE6AC6">
        <w:rPr>
          <w:color w:val="000000"/>
          <w:lang w:val="en-US"/>
        </w:rPr>
        <w:t> </w:t>
      </w:r>
      <w:r w:rsidRPr="00FE6AC6">
        <w:rPr>
          <w:color w:val="000000"/>
          <w:lang w:val="bg-BG"/>
        </w:rPr>
        <w:t>mg/ден.</w:t>
      </w:r>
    </w:p>
    <w:p w14:paraId="3E55015F" w14:textId="77777777" w:rsidR="00A44656" w:rsidRPr="00FE6AC6" w:rsidRDefault="00A44656" w:rsidP="0063575E">
      <w:pPr>
        <w:widowControl w:val="0"/>
        <w:spacing w:line="240" w:lineRule="auto"/>
        <w:rPr>
          <w:color w:val="000000"/>
          <w:lang w:val="bg-BG"/>
        </w:rPr>
      </w:pPr>
    </w:p>
    <w:p w14:paraId="3E550160" w14:textId="77777777" w:rsidR="00A44656" w:rsidRPr="00FE6AC6" w:rsidRDefault="00A44656" w:rsidP="0063575E">
      <w:pPr>
        <w:widowControl w:val="0"/>
        <w:spacing w:line="240" w:lineRule="auto"/>
        <w:rPr>
          <w:color w:val="000000"/>
          <w:lang w:val="bg-BG"/>
        </w:rPr>
      </w:pPr>
      <w:r w:rsidRPr="00FE6AC6">
        <w:rPr>
          <w:color w:val="000000"/>
          <w:lang w:val="bg-BG"/>
        </w:rPr>
        <w:t>Известни са ограничени данни за ефекта на повишението на дозата от 400</w:t>
      </w:r>
      <w:r w:rsidRPr="00FE6AC6">
        <w:rPr>
          <w:color w:val="000000"/>
          <w:lang w:val="en-US"/>
        </w:rPr>
        <w:t> </w:t>
      </w:r>
      <w:r w:rsidRPr="00FE6AC6">
        <w:rPr>
          <w:color w:val="000000"/>
          <w:lang w:val="bg-BG"/>
        </w:rPr>
        <w:t>mg до 600</w:t>
      </w:r>
      <w:r w:rsidRPr="00FE6AC6">
        <w:rPr>
          <w:color w:val="000000"/>
          <w:lang w:val="en-US"/>
        </w:rPr>
        <w:t> </w:t>
      </w:r>
      <w:r w:rsidRPr="00FE6AC6">
        <w:rPr>
          <w:color w:val="000000"/>
          <w:lang w:val="bg-BG"/>
        </w:rPr>
        <w:t>mg или 800</w:t>
      </w:r>
      <w:r w:rsidRPr="00FE6AC6">
        <w:rPr>
          <w:color w:val="000000"/>
          <w:lang w:val="en-US"/>
        </w:rPr>
        <w:t> </w:t>
      </w:r>
      <w:r w:rsidRPr="00FE6AC6">
        <w:rPr>
          <w:color w:val="000000"/>
          <w:lang w:val="bg-BG"/>
        </w:rPr>
        <w:t>mg при пациенти с прогресия при по-ниската доза (вж. точка 5.1).</w:t>
      </w:r>
    </w:p>
    <w:p w14:paraId="3E550161" w14:textId="77777777" w:rsidR="00A44656" w:rsidRPr="00FE6AC6" w:rsidRDefault="00A44656" w:rsidP="0063575E">
      <w:pPr>
        <w:widowControl w:val="0"/>
        <w:spacing w:line="240" w:lineRule="auto"/>
        <w:rPr>
          <w:color w:val="000000"/>
          <w:lang w:val="bg-BG"/>
        </w:rPr>
      </w:pPr>
    </w:p>
    <w:p w14:paraId="3E550162" w14:textId="77777777" w:rsidR="00A44656" w:rsidRPr="00FE6AC6" w:rsidRDefault="00A44656" w:rsidP="0063575E">
      <w:pPr>
        <w:widowControl w:val="0"/>
        <w:spacing w:line="240" w:lineRule="auto"/>
        <w:rPr>
          <w:color w:val="000000"/>
          <w:lang w:val="bg-BG"/>
        </w:rPr>
      </w:pPr>
      <w:r w:rsidRPr="00FE6AC6">
        <w:rPr>
          <w:color w:val="000000"/>
          <w:lang w:val="bg-BG"/>
        </w:rPr>
        <w:t>Продължителност на лечението: При клиничните проучвания при пациенти с ГИСТ</w:t>
      </w:r>
      <w:r w:rsidR="003F3A73" w:rsidRPr="00FE6AC6">
        <w:rPr>
          <w:color w:val="000000"/>
          <w:lang w:val="bg-BG"/>
        </w:rPr>
        <w:t>,</w:t>
      </w:r>
      <w:r w:rsidRPr="00FE6AC6">
        <w:rPr>
          <w:color w:val="000000"/>
          <w:lang w:val="bg-BG"/>
        </w:rPr>
        <w:t xml:space="preserve"> лечението с Glivec продължава до прогресиране на заболяването. Към момента на анализа продължителността на лечението е средно 7</w:t>
      </w:r>
      <w:r w:rsidRPr="00FE6AC6">
        <w:rPr>
          <w:color w:val="000000"/>
          <w:lang w:val="en-US"/>
        </w:rPr>
        <w:t> </w:t>
      </w:r>
      <w:r w:rsidRPr="00FE6AC6">
        <w:rPr>
          <w:color w:val="000000"/>
          <w:lang w:val="bg-BG"/>
        </w:rPr>
        <w:t>месеца (7</w:t>
      </w:r>
      <w:r w:rsidRPr="00FE6AC6">
        <w:rPr>
          <w:color w:val="000000"/>
          <w:lang w:val="en-US"/>
        </w:rPr>
        <w:t> </w:t>
      </w:r>
      <w:r w:rsidRPr="00FE6AC6">
        <w:rPr>
          <w:color w:val="000000"/>
          <w:lang w:val="bg-BG"/>
        </w:rPr>
        <w:t>дни до 13</w:t>
      </w:r>
      <w:r w:rsidRPr="00FE6AC6">
        <w:rPr>
          <w:color w:val="000000"/>
          <w:lang w:val="en-US"/>
        </w:rPr>
        <w:t> </w:t>
      </w:r>
      <w:r w:rsidRPr="00FE6AC6">
        <w:rPr>
          <w:color w:val="000000"/>
          <w:lang w:val="bg-BG"/>
        </w:rPr>
        <w:t>месеца). Не е изследван ефектът от спирането на лечението след постигане на отговор.</w:t>
      </w:r>
    </w:p>
    <w:p w14:paraId="3E550163" w14:textId="77777777" w:rsidR="00A44656" w:rsidRPr="00FE6AC6" w:rsidRDefault="00A44656" w:rsidP="0063575E">
      <w:pPr>
        <w:widowControl w:val="0"/>
        <w:spacing w:line="240" w:lineRule="auto"/>
        <w:rPr>
          <w:color w:val="000000"/>
          <w:lang w:val="bg-BG"/>
        </w:rPr>
      </w:pPr>
    </w:p>
    <w:p w14:paraId="3E550164" w14:textId="77777777" w:rsidR="00A44656" w:rsidRPr="00FE6AC6" w:rsidRDefault="00A44656" w:rsidP="0063575E">
      <w:pPr>
        <w:widowControl w:val="0"/>
        <w:spacing w:line="240" w:lineRule="auto"/>
        <w:rPr>
          <w:color w:val="000000"/>
          <w:lang w:val="bg-BG"/>
        </w:rPr>
      </w:pPr>
      <w:r w:rsidRPr="00FE6AC6">
        <w:rPr>
          <w:color w:val="000000"/>
          <w:lang w:val="bg-BG"/>
        </w:rPr>
        <w:t xml:space="preserve">Препоръчваната доза </w:t>
      </w:r>
      <w:r w:rsidRPr="00FE6AC6">
        <w:rPr>
          <w:color w:val="000000"/>
          <w:lang w:val="en-US"/>
        </w:rPr>
        <w:t>Glivec</w:t>
      </w:r>
      <w:r w:rsidRPr="00FE6AC6">
        <w:rPr>
          <w:color w:val="000000"/>
          <w:lang w:val="bg-BG"/>
        </w:rPr>
        <w:t xml:space="preserve">, прилаган като адювантна терапия при възрастни пациенти след резекция на ГИСТ, е </w:t>
      </w:r>
      <w:r w:rsidRPr="00FE6AC6">
        <w:rPr>
          <w:color w:val="000000"/>
          <w:lang w:val="ru-RU"/>
        </w:rPr>
        <w:t>400</w:t>
      </w:r>
      <w:r w:rsidRPr="00FE6AC6">
        <w:rPr>
          <w:color w:val="000000"/>
          <w:lang w:val="en-US"/>
        </w:rPr>
        <w:t> mg</w:t>
      </w:r>
      <w:r w:rsidRPr="00FE6AC6">
        <w:rPr>
          <w:color w:val="000000"/>
          <w:lang w:val="ru-RU"/>
        </w:rPr>
        <w:t xml:space="preserve">/ден. Оптималната продължителност на лечението все още не е установена. Продължителността на лечението по време на клиничните изпитвания в подкрепа на тази индикация е била </w:t>
      </w:r>
      <w:r w:rsidR="004E0B61" w:rsidRPr="00FE6AC6">
        <w:rPr>
          <w:color w:val="000000"/>
          <w:lang w:val="ru-RU"/>
        </w:rPr>
        <w:t>36</w:t>
      </w:r>
      <w:r w:rsidRPr="00FE6AC6">
        <w:rPr>
          <w:color w:val="000000"/>
          <w:lang w:val="ru-RU"/>
        </w:rPr>
        <w:t> месеца</w:t>
      </w:r>
      <w:r w:rsidR="004E0B61" w:rsidRPr="00FE6AC6">
        <w:rPr>
          <w:color w:val="000000"/>
          <w:lang w:val="ru-RU"/>
        </w:rPr>
        <w:t xml:space="preserve"> (вж. точка 5.1)</w:t>
      </w:r>
      <w:r w:rsidRPr="00FE6AC6">
        <w:rPr>
          <w:color w:val="000000"/>
          <w:lang w:val="bg-BG"/>
        </w:rPr>
        <w:t>.</w:t>
      </w:r>
    </w:p>
    <w:p w14:paraId="3E550165" w14:textId="77777777" w:rsidR="00A44656" w:rsidRPr="00FE6AC6" w:rsidRDefault="00A44656" w:rsidP="0063575E">
      <w:pPr>
        <w:widowControl w:val="0"/>
        <w:spacing w:line="240" w:lineRule="auto"/>
        <w:rPr>
          <w:color w:val="000000"/>
          <w:lang w:val="bg-BG"/>
        </w:rPr>
      </w:pPr>
    </w:p>
    <w:p w14:paraId="3E550166"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Дозир</w:t>
      </w:r>
      <w:r w:rsidR="005E79A6" w:rsidRPr="00FE6AC6">
        <w:rPr>
          <w:color w:val="000000"/>
          <w:u w:val="single"/>
          <w:lang w:val="bg-BG"/>
        </w:rPr>
        <w:t>овка</w:t>
      </w:r>
      <w:r w:rsidRPr="00FE6AC6">
        <w:rPr>
          <w:color w:val="000000"/>
          <w:u w:val="single"/>
          <w:lang w:val="bg-BG"/>
        </w:rPr>
        <w:t xml:space="preserve"> при ДФСП</w:t>
      </w:r>
    </w:p>
    <w:p w14:paraId="3E550167" w14:textId="77777777" w:rsidR="00A44656" w:rsidRPr="00FE6AC6" w:rsidRDefault="00A44656" w:rsidP="0063575E">
      <w:pPr>
        <w:widowControl w:val="0"/>
        <w:spacing w:line="240" w:lineRule="auto"/>
        <w:rPr>
          <w:color w:val="000000"/>
          <w:lang w:val="bg-BG"/>
        </w:rPr>
      </w:pPr>
      <w:r w:rsidRPr="00FE6AC6">
        <w:rPr>
          <w:color w:val="000000"/>
          <w:lang w:val="bg-BG"/>
        </w:rPr>
        <w:t xml:space="preserve">При </w:t>
      </w:r>
      <w:r w:rsidR="007B7237" w:rsidRPr="00FE6AC6">
        <w:rPr>
          <w:color w:val="000000"/>
          <w:lang w:val="bg-BG"/>
        </w:rPr>
        <w:t xml:space="preserve">възрастни </w:t>
      </w:r>
      <w:r w:rsidRPr="00FE6AC6">
        <w:rPr>
          <w:color w:val="000000"/>
          <w:lang w:val="bg-BG"/>
        </w:rPr>
        <w:t>пациенти с ДФСП</w:t>
      </w:r>
      <w:r w:rsidR="003F3A73" w:rsidRPr="00FE6AC6">
        <w:rPr>
          <w:color w:val="000000"/>
          <w:lang w:val="bg-BG"/>
        </w:rPr>
        <w:t>,</w:t>
      </w:r>
      <w:r w:rsidRPr="00FE6AC6">
        <w:rPr>
          <w:color w:val="000000"/>
          <w:lang w:val="bg-BG"/>
        </w:rPr>
        <w:t xml:space="preserve"> препоръчваната доза на </w:t>
      </w:r>
      <w:r w:rsidRPr="00FE6AC6">
        <w:rPr>
          <w:color w:val="000000"/>
          <w:lang w:val="en-US"/>
        </w:rPr>
        <w:t>Glivec</w:t>
      </w:r>
      <w:r w:rsidRPr="00FE6AC6">
        <w:rPr>
          <w:color w:val="000000"/>
          <w:lang w:val="ru-RU"/>
        </w:rPr>
        <w:t xml:space="preserve"> </w:t>
      </w:r>
      <w:r w:rsidRPr="00FE6AC6">
        <w:rPr>
          <w:color w:val="000000"/>
          <w:lang w:val="en-US"/>
        </w:rPr>
        <w:t>e</w:t>
      </w:r>
      <w:r w:rsidRPr="00FE6AC6">
        <w:rPr>
          <w:color w:val="000000"/>
          <w:lang w:val="ru-RU"/>
        </w:rPr>
        <w:t> 800 </w:t>
      </w:r>
      <w:r w:rsidRPr="00FE6AC6">
        <w:rPr>
          <w:color w:val="000000"/>
          <w:lang w:val="en-US"/>
        </w:rPr>
        <w:t>mg</w:t>
      </w:r>
      <w:r w:rsidRPr="00FE6AC6">
        <w:rPr>
          <w:color w:val="000000"/>
          <w:lang w:val="bg-BG"/>
        </w:rPr>
        <w:t>/ден.</w:t>
      </w:r>
    </w:p>
    <w:p w14:paraId="3E550168" w14:textId="77777777" w:rsidR="00A44656" w:rsidRPr="00FE6AC6" w:rsidRDefault="00A44656" w:rsidP="0063575E">
      <w:pPr>
        <w:widowControl w:val="0"/>
        <w:spacing w:line="240" w:lineRule="auto"/>
        <w:rPr>
          <w:color w:val="000000"/>
          <w:lang w:val="bg-BG"/>
        </w:rPr>
      </w:pPr>
    </w:p>
    <w:p w14:paraId="3E550169"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Промяна на дозата при нежелани реакции</w:t>
      </w:r>
    </w:p>
    <w:p w14:paraId="3E55016A" w14:textId="77777777" w:rsidR="00A44656" w:rsidRPr="00FE6AC6" w:rsidRDefault="00A44656" w:rsidP="0063575E">
      <w:pPr>
        <w:keepNext/>
        <w:widowControl w:val="0"/>
        <w:spacing w:line="240" w:lineRule="auto"/>
        <w:rPr>
          <w:i/>
          <w:color w:val="000000"/>
          <w:u w:val="single"/>
          <w:lang w:val="bg-BG"/>
        </w:rPr>
      </w:pPr>
      <w:r w:rsidRPr="00FE6AC6">
        <w:rPr>
          <w:i/>
          <w:color w:val="000000"/>
          <w:lang w:val="bg-BG"/>
        </w:rPr>
        <w:t>Нехематологични нежелани реакции</w:t>
      </w:r>
    </w:p>
    <w:p w14:paraId="3E55016B" w14:textId="77777777" w:rsidR="00A44656" w:rsidRPr="00FE6AC6" w:rsidRDefault="00A44656" w:rsidP="0063575E">
      <w:pPr>
        <w:widowControl w:val="0"/>
        <w:spacing w:line="240" w:lineRule="auto"/>
        <w:rPr>
          <w:color w:val="000000"/>
          <w:lang w:val="bg-BG"/>
        </w:rPr>
      </w:pPr>
      <w:r w:rsidRPr="00FE6AC6">
        <w:rPr>
          <w:color w:val="000000"/>
          <w:lang w:val="bg-BG"/>
        </w:rPr>
        <w:t>Ако при употреба на Glivec се развие сериозна нехематологична нежелана реакция, лечението трябва да се спре, докато реакцията отзвучи. След това лечението може да се възобнови</w:t>
      </w:r>
      <w:r w:rsidR="003F3A73" w:rsidRPr="00FE6AC6">
        <w:rPr>
          <w:color w:val="000000"/>
          <w:lang w:val="bg-BG"/>
        </w:rPr>
        <w:t>,</w:t>
      </w:r>
      <w:r w:rsidRPr="00FE6AC6">
        <w:rPr>
          <w:color w:val="000000"/>
          <w:lang w:val="bg-BG"/>
        </w:rPr>
        <w:t xml:space="preserve"> в зависимост от началната тежест на реакцията.</w:t>
      </w:r>
    </w:p>
    <w:p w14:paraId="3E55016C" w14:textId="77777777" w:rsidR="00A44656" w:rsidRPr="00FE6AC6" w:rsidRDefault="00A44656" w:rsidP="0063575E">
      <w:pPr>
        <w:widowControl w:val="0"/>
        <w:spacing w:line="240" w:lineRule="auto"/>
        <w:rPr>
          <w:color w:val="000000"/>
          <w:lang w:val="bg-BG"/>
        </w:rPr>
      </w:pPr>
    </w:p>
    <w:p w14:paraId="3E55016D" w14:textId="77777777" w:rsidR="00A44656" w:rsidRPr="00FE6AC6" w:rsidRDefault="00A44656" w:rsidP="0063575E">
      <w:pPr>
        <w:widowControl w:val="0"/>
        <w:spacing w:line="240" w:lineRule="auto"/>
        <w:rPr>
          <w:color w:val="000000"/>
          <w:lang w:val="bg-BG"/>
        </w:rPr>
      </w:pPr>
      <w:r w:rsidRPr="00FE6AC6">
        <w:rPr>
          <w:color w:val="000000"/>
          <w:lang w:val="bg-BG"/>
        </w:rPr>
        <w:t>При повишение на билирубина &gt;3</w:t>
      </w:r>
      <w:r w:rsidRPr="00FE6AC6">
        <w:rPr>
          <w:color w:val="000000"/>
          <w:lang w:val="en-US"/>
        </w:rPr>
        <w:t> </w:t>
      </w:r>
      <w:r w:rsidRPr="00FE6AC6">
        <w:rPr>
          <w:color w:val="000000"/>
          <w:lang w:val="bg-BG"/>
        </w:rPr>
        <w:t>пъти над горната референтна граница на нормата за лечебното заведение (IULN) или на чернодробните трансаминази &gt;5</w:t>
      </w:r>
      <w:r w:rsidRPr="00FE6AC6">
        <w:rPr>
          <w:color w:val="000000"/>
          <w:lang w:val="en-US"/>
        </w:rPr>
        <w:t> </w:t>
      </w:r>
      <w:r w:rsidRPr="00FE6AC6">
        <w:rPr>
          <w:color w:val="000000"/>
          <w:lang w:val="bg-BG"/>
        </w:rPr>
        <w:t>пъти спрямо IULN</w:t>
      </w:r>
      <w:r w:rsidR="003F3A73" w:rsidRPr="00FE6AC6">
        <w:rPr>
          <w:color w:val="000000"/>
          <w:lang w:val="bg-BG"/>
        </w:rPr>
        <w:t>,</w:t>
      </w:r>
      <w:r w:rsidRPr="00FE6AC6">
        <w:rPr>
          <w:color w:val="000000"/>
          <w:lang w:val="bg-BG"/>
        </w:rPr>
        <w:t xml:space="preserve"> Glivec трябва да се спре</w:t>
      </w:r>
      <w:r w:rsidR="003F3A73" w:rsidRPr="00FE6AC6">
        <w:rPr>
          <w:color w:val="000000"/>
          <w:lang w:val="bg-BG"/>
        </w:rPr>
        <w:t>,</w:t>
      </w:r>
      <w:r w:rsidRPr="00FE6AC6">
        <w:rPr>
          <w:color w:val="000000"/>
          <w:lang w:val="bg-BG"/>
        </w:rPr>
        <w:t xml:space="preserve"> докато нивата на билирубина се върнат до &lt;1,5</w:t>
      </w:r>
      <w:r w:rsidRPr="00FE6AC6">
        <w:rPr>
          <w:rFonts w:ascii="TimesNewRoman" w:hAnsi="TimesNewRoman"/>
          <w:color w:val="000000"/>
          <w:lang w:val="en-US"/>
        </w:rPr>
        <w:t> </w:t>
      </w:r>
      <w:r w:rsidRPr="00FE6AC6">
        <w:rPr>
          <w:color w:val="000000"/>
          <w:lang w:val="bg-BG"/>
        </w:rPr>
        <w:t>пъти спрямо IULN, а нивата на трансаминазите до &lt;2,5</w:t>
      </w:r>
      <w:r w:rsidRPr="00FE6AC6">
        <w:rPr>
          <w:color w:val="000000"/>
          <w:lang w:val="en-US"/>
        </w:rPr>
        <w:t> </w:t>
      </w:r>
      <w:r w:rsidRPr="00FE6AC6">
        <w:rPr>
          <w:color w:val="000000"/>
          <w:lang w:val="bg-BG"/>
        </w:rPr>
        <w:t>пъти спрямо IULN. Лечението с Glivec след това може да се продължи с намалена дневна доза. При възрастни</w:t>
      </w:r>
      <w:r w:rsidR="003F3A73" w:rsidRPr="00FE6AC6">
        <w:rPr>
          <w:color w:val="000000"/>
          <w:lang w:val="bg-BG"/>
        </w:rPr>
        <w:t>,</w:t>
      </w:r>
      <w:r w:rsidRPr="00FE6AC6">
        <w:rPr>
          <w:color w:val="000000"/>
          <w:lang w:val="bg-BG"/>
        </w:rPr>
        <w:t xml:space="preserve"> дозата трябва да се намали от</w:t>
      </w:r>
      <w:r w:rsidRPr="00FE6AC6">
        <w:rPr>
          <w:color w:val="000000"/>
          <w:lang w:val="en-US"/>
        </w:rPr>
        <w:t> </w:t>
      </w:r>
      <w:r w:rsidRPr="00FE6AC6">
        <w:rPr>
          <w:color w:val="000000"/>
          <w:lang w:val="bg-BG"/>
        </w:rPr>
        <w:t>400</w:t>
      </w:r>
      <w:r w:rsidRPr="00FE6AC6">
        <w:rPr>
          <w:color w:val="000000"/>
          <w:lang w:val="en-US"/>
        </w:rPr>
        <w:t> </w:t>
      </w:r>
      <w:r w:rsidRPr="00FE6AC6">
        <w:rPr>
          <w:color w:val="000000"/>
          <w:lang w:val="bg-BG"/>
        </w:rPr>
        <w:t>на</w:t>
      </w:r>
      <w:r w:rsidRPr="00FE6AC6">
        <w:rPr>
          <w:color w:val="000000"/>
          <w:lang w:val="en-US"/>
        </w:rPr>
        <w:t> </w:t>
      </w:r>
      <w:r w:rsidRPr="00FE6AC6">
        <w:rPr>
          <w:color w:val="000000"/>
          <w:lang w:val="bg-BG"/>
        </w:rPr>
        <w:t>300</w:t>
      </w:r>
      <w:r w:rsidRPr="00FE6AC6">
        <w:rPr>
          <w:color w:val="000000"/>
          <w:lang w:val="en-US"/>
        </w:rPr>
        <w:t> </w:t>
      </w:r>
      <w:r w:rsidRPr="00FE6AC6">
        <w:rPr>
          <w:color w:val="000000"/>
          <w:lang w:val="bg-BG"/>
        </w:rPr>
        <w:t>mg или от</w:t>
      </w:r>
      <w:r w:rsidRPr="00FE6AC6">
        <w:rPr>
          <w:color w:val="000000"/>
          <w:lang w:val="en-US"/>
        </w:rPr>
        <w:t> </w:t>
      </w:r>
      <w:r w:rsidRPr="00FE6AC6">
        <w:rPr>
          <w:color w:val="000000"/>
          <w:lang w:val="bg-BG"/>
        </w:rPr>
        <w:t>600</w:t>
      </w:r>
      <w:r w:rsidRPr="00FE6AC6">
        <w:rPr>
          <w:color w:val="000000"/>
          <w:lang w:val="en-US"/>
        </w:rPr>
        <w:t> </w:t>
      </w:r>
      <w:r w:rsidRPr="00FE6AC6">
        <w:rPr>
          <w:color w:val="000000"/>
          <w:lang w:val="bg-BG"/>
        </w:rPr>
        <w:t>на</w:t>
      </w:r>
      <w:r w:rsidRPr="00FE6AC6">
        <w:rPr>
          <w:color w:val="000000"/>
          <w:lang w:val="en-US"/>
        </w:rPr>
        <w:t> </w:t>
      </w:r>
      <w:r w:rsidRPr="00FE6AC6">
        <w:rPr>
          <w:color w:val="000000"/>
          <w:lang w:val="bg-BG"/>
        </w:rPr>
        <w:t>400</w:t>
      </w:r>
      <w:r w:rsidRPr="00FE6AC6">
        <w:rPr>
          <w:color w:val="000000"/>
          <w:lang w:val="en-US"/>
        </w:rPr>
        <w:t> </w:t>
      </w:r>
      <w:r w:rsidRPr="00FE6AC6">
        <w:rPr>
          <w:color w:val="000000"/>
          <w:lang w:val="bg-BG"/>
        </w:rPr>
        <w:t>mg, или от</w:t>
      </w:r>
      <w:r w:rsidRPr="00FE6AC6">
        <w:rPr>
          <w:color w:val="000000"/>
          <w:lang w:val="en-US"/>
        </w:rPr>
        <w:t> </w:t>
      </w:r>
      <w:r w:rsidRPr="00FE6AC6">
        <w:rPr>
          <w:color w:val="000000"/>
          <w:lang w:val="bg-BG"/>
        </w:rPr>
        <w:t>800</w:t>
      </w:r>
      <w:r w:rsidRPr="00FE6AC6">
        <w:rPr>
          <w:color w:val="000000"/>
          <w:lang w:val="en-US"/>
        </w:rPr>
        <w:t> mg</w:t>
      </w:r>
      <w:r w:rsidRPr="00FE6AC6">
        <w:rPr>
          <w:color w:val="000000"/>
          <w:lang w:val="bg-BG"/>
        </w:rPr>
        <w:t xml:space="preserve"> на</w:t>
      </w:r>
      <w:r w:rsidRPr="00FE6AC6">
        <w:rPr>
          <w:color w:val="000000"/>
          <w:lang w:val="en-US"/>
        </w:rPr>
        <w:t> </w:t>
      </w:r>
      <w:r w:rsidRPr="00FE6AC6">
        <w:rPr>
          <w:color w:val="000000"/>
          <w:lang w:val="bg-BG"/>
        </w:rPr>
        <w:t>600</w:t>
      </w:r>
      <w:r w:rsidRPr="00FE6AC6">
        <w:rPr>
          <w:color w:val="000000"/>
          <w:lang w:val="en-US"/>
        </w:rPr>
        <w:t> mg</w:t>
      </w:r>
      <w:r w:rsidRPr="00FE6AC6">
        <w:rPr>
          <w:color w:val="000000"/>
          <w:lang w:val="bg-BG"/>
        </w:rPr>
        <w:t>, а при деца от</w:t>
      </w:r>
      <w:r w:rsidRPr="00FE6AC6">
        <w:rPr>
          <w:color w:val="000000"/>
          <w:lang w:val="en-US"/>
        </w:rPr>
        <w:t> </w:t>
      </w:r>
      <w:r w:rsidRPr="00FE6AC6">
        <w:rPr>
          <w:color w:val="000000"/>
          <w:lang w:val="bg-BG"/>
        </w:rPr>
        <w:t>340 на</w:t>
      </w:r>
      <w:r w:rsidRPr="00FE6AC6">
        <w:rPr>
          <w:color w:val="000000"/>
          <w:lang w:val="en-US"/>
        </w:rPr>
        <w:t> </w:t>
      </w:r>
      <w:r w:rsidRPr="00FE6AC6">
        <w:rPr>
          <w:color w:val="000000"/>
          <w:lang w:val="bg-BG"/>
        </w:rPr>
        <w:t>260 mg/m</w:t>
      </w:r>
      <w:r w:rsidRPr="00FE6AC6">
        <w:rPr>
          <w:color w:val="000000"/>
          <w:vertAlign w:val="superscript"/>
          <w:lang w:val="bg-BG"/>
        </w:rPr>
        <w:t>2</w:t>
      </w:r>
      <w:r w:rsidRPr="00FE6AC6">
        <w:rPr>
          <w:color w:val="000000"/>
          <w:lang w:val="bg-BG"/>
        </w:rPr>
        <w:t>/ден.</w:t>
      </w:r>
    </w:p>
    <w:p w14:paraId="3E55016E" w14:textId="77777777" w:rsidR="00A44656" w:rsidRPr="00FE6AC6" w:rsidRDefault="00A44656" w:rsidP="0063575E">
      <w:pPr>
        <w:widowControl w:val="0"/>
        <w:spacing w:line="240" w:lineRule="auto"/>
        <w:rPr>
          <w:color w:val="000000"/>
          <w:lang w:val="bg-BG"/>
        </w:rPr>
      </w:pPr>
    </w:p>
    <w:p w14:paraId="3E55016F" w14:textId="77777777" w:rsidR="00A44656" w:rsidRPr="00FE6AC6" w:rsidRDefault="00A44656" w:rsidP="0063575E">
      <w:pPr>
        <w:keepNext/>
        <w:widowControl w:val="0"/>
        <w:spacing w:line="240" w:lineRule="auto"/>
        <w:rPr>
          <w:i/>
          <w:color w:val="000000"/>
          <w:lang w:val="bg-BG"/>
        </w:rPr>
      </w:pPr>
      <w:r w:rsidRPr="00FE6AC6">
        <w:rPr>
          <w:i/>
          <w:color w:val="000000"/>
          <w:lang w:val="bg-BG"/>
        </w:rPr>
        <w:t>Хематологични нежелани реакции</w:t>
      </w:r>
    </w:p>
    <w:p w14:paraId="3E550170" w14:textId="77777777" w:rsidR="00A44656" w:rsidRPr="00FE6AC6" w:rsidRDefault="00A44656" w:rsidP="0063575E">
      <w:pPr>
        <w:widowControl w:val="0"/>
        <w:spacing w:line="240" w:lineRule="auto"/>
        <w:rPr>
          <w:color w:val="000000"/>
          <w:lang w:val="bg-BG"/>
        </w:rPr>
      </w:pPr>
      <w:r w:rsidRPr="00FE6AC6">
        <w:rPr>
          <w:color w:val="000000"/>
          <w:lang w:val="bg-BG"/>
        </w:rPr>
        <w:t>Понижаването на дозата или прекъсването на лечението</w:t>
      </w:r>
      <w:r w:rsidR="003F3A73" w:rsidRPr="00FE6AC6">
        <w:rPr>
          <w:color w:val="000000"/>
          <w:lang w:val="bg-BG"/>
        </w:rPr>
        <w:t>,</w:t>
      </w:r>
      <w:r w:rsidRPr="00FE6AC6">
        <w:rPr>
          <w:color w:val="000000"/>
          <w:lang w:val="bg-BG"/>
        </w:rPr>
        <w:t xml:space="preserve"> поради тежка неутропения и тромбоцитопения се препоръчват, както е посочено в таблицата по-долу.</w:t>
      </w:r>
    </w:p>
    <w:p w14:paraId="3E550171" w14:textId="77777777" w:rsidR="00A44656" w:rsidRPr="00FE6AC6" w:rsidRDefault="00A44656" w:rsidP="0063575E">
      <w:pPr>
        <w:widowControl w:val="0"/>
        <w:spacing w:line="240" w:lineRule="auto"/>
        <w:rPr>
          <w:color w:val="000000"/>
          <w:lang w:val="bg-BG"/>
        </w:rPr>
      </w:pPr>
    </w:p>
    <w:p w14:paraId="3E550172" w14:textId="77777777" w:rsidR="00A44656" w:rsidRPr="00FE6AC6" w:rsidRDefault="00A44656" w:rsidP="008143B1">
      <w:pPr>
        <w:keepNext/>
        <w:widowControl w:val="0"/>
        <w:spacing w:line="240" w:lineRule="auto"/>
        <w:rPr>
          <w:color w:val="000000"/>
          <w:lang w:val="bg-BG"/>
        </w:rPr>
      </w:pPr>
      <w:r w:rsidRPr="00FE6AC6">
        <w:rPr>
          <w:color w:val="000000"/>
          <w:lang w:val="bg-BG"/>
        </w:rPr>
        <w:t>Промени в дозата при неутропения и тромбоцитопения:</w:t>
      </w:r>
    </w:p>
    <w:p w14:paraId="3E550173" w14:textId="77777777" w:rsidR="003F3A73" w:rsidRPr="00FE6AC6" w:rsidRDefault="003F3A73" w:rsidP="008143B1">
      <w:pPr>
        <w:keepNext/>
        <w:widowControl w:val="0"/>
        <w:spacing w:line="240" w:lineRule="auto"/>
        <w:rPr>
          <w:color w:val="000000"/>
          <w:lang w:val="bg-BG"/>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2459"/>
        <w:gridCol w:w="4804"/>
      </w:tblGrid>
      <w:tr w:rsidR="003F3A73" w:rsidRPr="004015AA" w14:paraId="3E55017A" w14:textId="77777777" w:rsidTr="00F40727">
        <w:trPr>
          <w:cantSplit/>
        </w:trPr>
        <w:tc>
          <w:tcPr>
            <w:tcW w:w="2059" w:type="dxa"/>
          </w:tcPr>
          <w:p w14:paraId="3E550174" w14:textId="77777777" w:rsidR="003F3A73" w:rsidRPr="00FE6AC6" w:rsidRDefault="003F3A73" w:rsidP="008143B1">
            <w:pPr>
              <w:keepNext/>
              <w:widowControl w:val="0"/>
              <w:spacing w:line="240" w:lineRule="auto"/>
              <w:rPr>
                <w:color w:val="000000"/>
                <w:lang w:val="bg-BG"/>
              </w:rPr>
            </w:pPr>
            <w:r w:rsidRPr="00FE6AC6">
              <w:rPr>
                <w:color w:val="000000"/>
                <w:szCs w:val="22"/>
                <w:lang w:val="bg-BG"/>
              </w:rPr>
              <w:t>ХЕС/ХЕЛ (начална доза 100</w:t>
            </w:r>
            <w:r w:rsidRPr="00FE6AC6">
              <w:rPr>
                <w:color w:val="000000"/>
                <w:szCs w:val="22"/>
                <w:lang w:val="nb-NO"/>
              </w:rPr>
              <w:t> mg</w:t>
            </w:r>
            <w:r w:rsidRPr="00FE6AC6">
              <w:rPr>
                <w:color w:val="000000"/>
                <w:szCs w:val="22"/>
                <w:lang w:val="bg-BG"/>
              </w:rPr>
              <w:t>)</w:t>
            </w:r>
          </w:p>
        </w:tc>
        <w:tc>
          <w:tcPr>
            <w:tcW w:w="2459" w:type="dxa"/>
          </w:tcPr>
          <w:p w14:paraId="3E550175" w14:textId="77777777" w:rsidR="003F3A73" w:rsidRPr="00FE6AC6" w:rsidRDefault="003F3A73" w:rsidP="008143B1">
            <w:pPr>
              <w:pStyle w:val="Table"/>
              <w:keepLines w:val="0"/>
              <w:widowControl w:val="0"/>
              <w:suppressLineNumbers/>
              <w:spacing w:before="0" w:after="0"/>
              <w:rPr>
                <w:rFonts w:ascii="Times New Roman" w:hAnsi="Times New Roman"/>
                <w:color w:val="000000"/>
                <w:sz w:val="22"/>
                <w:szCs w:val="22"/>
                <w:lang w:val="bg-BG"/>
              </w:rPr>
            </w:pPr>
            <w:r w:rsidRPr="00FE6AC6">
              <w:rPr>
                <w:rFonts w:ascii="Times New Roman" w:hAnsi="Times New Roman"/>
                <w:color w:val="000000"/>
                <w:sz w:val="22"/>
                <w:szCs w:val="22"/>
                <w:lang w:val="en-GB"/>
              </w:rPr>
              <w:t>ANC</w:t>
            </w:r>
            <w:r w:rsidRPr="00FE6AC6">
              <w:rPr>
                <w:rFonts w:ascii="Times New Roman" w:hAnsi="Times New Roman"/>
                <w:color w:val="000000"/>
                <w:sz w:val="22"/>
                <w:szCs w:val="22"/>
                <w:lang w:val="bg-BG"/>
              </w:rPr>
              <w:t xml:space="preserve"> &lt;1,0</w:t>
            </w:r>
            <w:r w:rsidRPr="00FE6AC6">
              <w:rPr>
                <w:rFonts w:ascii="Times New Roman" w:hAnsi="Times New Roman"/>
                <w:color w:val="000000"/>
                <w:sz w:val="22"/>
                <w:szCs w:val="22"/>
                <w:lang w:val="en-GB"/>
              </w:rPr>
              <w:t> x </w:t>
            </w:r>
            <w:r w:rsidRPr="00FE6AC6">
              <w:rPr>
                <w:rFonts w:ascii="Times New Roman" w:hAnsi="Times New Roman"/>
                <w:color w:val="000000"/>
                <w:sz w:val="22"/>
                <w:szCs w:val="22"/>
                <w:lang w:val="bg-BG"/>
              </w:rPr>
              <w:t>10</w:t>
            </w:r>
            <w:r w:rsidRPr="00FE6AC6">
              <w:rPr>
                <w:rFonts w:ascii="Times New Roman" w:hAnsi="Times New Roman"/>
                <w:color w:val="000000"/>
                <w:sz w:val="22"/>
                <w:szCs w:val="22"/>
                <w:vertAlign w:val="superscript"/>
                <w:lang w:val="bg-BG"/>
              </w:rPr>
              <w:t>9</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l</w:t>
            </w:r>
          </w:p>
          <w:p w14:paraId="3E550176" w14:textId="77777777" w:rsidR="003F3A73" w:rsidRPr="00FE6AC6" w:rsidRDefault="003F3A73" w:rsidP="008143B1">
            <w:pPr>
              <w:pStyle w:val="Table"/>
              <w:keepLines w:val="0"/>
              <w:widowControl w:val="0"/>
              <w:suppressLineNumbers/>
              <w:spacing w:before="0" w:after="0"/>
              <w:rPr>
                <w:rFonts w:ascii="Times New Roman" w:hAnsi="Times New Roman"/>
                <w:color w:val="000000"/>
                <w:sz w:val="22"/>
                <w:szCs w:val="22"/>
                <w:lang w:val="bg-BG"/>
              </w:rPr>
            </w:pPr>
            <w:r w:rsidRPr="00FE6AC6">
              <w:rPr>
                <w:rFonts w:ascii="Times New Roman" w:hAnsi="Times New Roman"/>
                <w:color w:val="000000"/>
                <w:sz w:val="22"/>
                <w:szCs w:val="22"/>
                <w:lang w:val="bg-BG"/>
              </w:rPr>
              <w:t>и/или</w:t>
            </w:r>
          </w:p>
          <w:p w14:paraId="3E550177" w14:textId="77777777" w:rsidR="003F3A73" w:rsidRPr="00FE6AC6" w:rsidRDefault="003F3A73" w:rsidP="008143B1">
            <w:pPr>
              <w:keepNext/>
              <w:widowControl w:val="0"/>
              <w:spacing w:line="240" w:lineRule="auto"/>
              <w:rPr>
                <w:color w:val="000000"/>
                <w:lang w:val="bg-BG"/>
              </w:rPr>
            </w:pPr>
            <w:r w:rsidRPr="00FE6AC6">
              <w:rPr>
                <w:color w:val="000000"/>
                <w:szCs w:val="22"/>
                <w:lang w:val="bg-BG"/>
              </w:rPr>
              <w:t>тромбоцити &lt;50</w:t>
            </w:r>
            <w:r w:rsidRPr="00FE6AC6">
              <w:rPr>
                <w:color w:val="000000"/>
                <w:szCs w:val="22"/>
              </w:rPr>
              <w:t> x </w:t>
            </w:r>
            <w:r w:rsidRPr="00FE6AC6">
              <w:rPr>
                <w:color w:val="000000"/>
                <w:szCs w:val="22"/>
                <w:lang w:val="bg-BG"/>
              </w:rPr>
              <w:t>10</w:t>
            </w:r>
            <w:r w:rsidRPr="00FE6AC6">
              <w:rPr>
                <w:color w:val="000000"/>
                <w:szCs w:val="22"/>
                <w:vertAlign w:val="superscript"/>
                <w:lang w:val="bg-BG"/>
              </w:rPr>
              <w:t>9</w:t>
            </w:r>
            <w:r w:rsidRPr="00FE6AC6">
              <w:rPr>
                <w:color w:val="000000"/>
                <w:szCs w:val="22"/>
                <w:lang w:val="bg-BG"/>
              </w:rPr>
              <w:t>/</w:t>
            </w:r>
            <w:r w:rsidRPr="00FE6AC6">
              <w:rPr>
                <w:color w:val="000000"/>
                <w:szCs w:val="22"/>
              </w:rPr>
              <w:t>l</w:t>
            </w:r>
          </w:p>
        </w:tc>
        <w:tc>
          <w:tcPr>
            <w:tcW w:w="4804" w:type="dxa"/>
          </w:tcPr>
          <w:p w14:paraId="3E550178" w14:textId="77777777" w:rsidR="003F3A73" w:rsidRPr="00FE6AC6" w:rsidRDefault="003F3A73" w:rsidP="008143B1">
            <w:pPr>
              <w:pStyle w:val="Table"/>
              <w:keepLines w:val="0"/>
              <w:widowControl w:val="0"/>
              <w:suppressLineNumbers/>
              <w:tabs>
                <w:tab w:val="clear" w:pos="284"/>
              </w:tabs>
              <w:spacing w:before="0" w:after="0"/>
              <w:ind w:left="444" w:hanging="444"/>
              <w:rPr>
                <w:rFonts w:ascii="Times New Roman" w:hAnsi="Times New Roman"/>
                <w:color w:val="000000"/>
                <w:sz w:val="22"/>
                <w:szCs w:val="22"/>
                <w:lang w:val="bg-BG"/>
              </w:rPr>
            </w:pPr>
            <w:r w:rsidRPr="00FE6AC6">
              <w:rPr>
                <w:rFonts w:ascii="Times New Roman" w:hAnsi="Times New Roman"/>
                <w:color w:val="000000"/>
                <w:sz w:val="22"/>
                <w:szCs w:val="22"/>
                <w:lang w:val="bg-BG"/>
              </w:rPr>
              <w:t>1.</w:t>
            </w:r>
            <w:r w:rsidRPr="00FE6AC6">
              <w:rPr>
                <w:rFonts w:ascii="Times New Roman" w:hAnsi="Times New Roman"/>
                <w:color w:val="000000"/>
                <w:sz w:val="22"/>
                <w:szCs w:val="22"/>
                <w:lang w:val="bg-BG"/>
              </w:rPr>
              <w:tab/>
              <w:t xml:space="preserve">Прекратете приема на </w:t>
            </w:r>
            <w:r w:rsidRPr="00FE6AC6">
              <w:rPr>
                <w:rFonts w:ascii="Times New Roman" w:hAnsi="Times New Roman"/>
                <w:color w:val="000000"/>
                <w:sz w:val="22"/>
                <w:szCs w:val="22"/>
                <w:lang w:val="de-CH"/>
              </w:rPr>
              <w:t>Glivec</w:t>
            </w:r>
            <w:r w:rsidRPr="00FE6AC6">
              <w:rPr>
                <w:rFonts w:ascii="Times New Roman" w:hAnsi="Times New Roman"/>
                <w:color w:val="000000"/>
                <w:sz w:val="22"/>
                <w:szCs w:val="22"/>
                <w:lang w:val="bg-BG"/>
              </w:rPr>
              <w:t xml:space="preserve">, до възстановяването на </w:t>
            </w:r>
            <w:r w:rsidRPr="00FE6AC6">
              <w:rPr>
                <w:rFonts w:ascii="Times New Roman" w:hAnsi="Times New Roman"/>
                <w:color w:val="000000"/>
                <w:sz w:val="22"/>
                <w:szCs w:val="22"/>
                <w:lang w:val="de-CH"/>
              </w:rPr>
              <w:t>ANC</w:t>
            </w:r>
            <w:r w:rsidRPr="00FE6AC6">
              <w:rPr>
                <w:rFonts w:ascii="Times New Roman" w:hAnsi="Times New Roman"/>
                <w:color w:val="000000"/>
                <w:sz w:val="22"/>
                <w:szCs w:val="22"/>
                <w:lang w:val="bg-BG"/>
              </w:rPr>
              <w:t xml:space="preserve"> </w:t>
            </w:r>
            <w:r w:rsidRPr="00FE6AC6">
              <w:rPr>
                <w:rFonts w:ascii="Times New Roman" w:hAnsi="Times New Roman"/>
                <w:color w:val="000000"/>
                <w:sz w:val="22"/>
                <w:szCs w:val="22"/>
                <w:lang w:val="en-GB"/>
              </w:rPr>
              <w:sym w:font="Symbol" w:char="F0B3"/>
            </w:r>
            <w:r w:rsidRPr="00FE6AC6">
              <w:rPr>
                <w:rFonts w:ascii="Times New Roman" w:hAnsi="Times New Roman"/>
                <w:color w:val="000000"/>
                <w:sz w:val="22"/>
                <w:szCs w:val="22"/>
                <w:lang w:val="bg-BG"/>
              </w:rPr>
              <w:t>1,5</w:t>
            </w:r>
            <w:r w:rsidRPr="00FE6AC6">
              <w:rPr>
                <w:rFonts w:ascii="Times New Roman" w:hAnsi="Times New Roman"/>
                <w:color w:val="000000"/>
                <w:sz w:val="22"/>
                <w:szCs w:val="22"/>
                <w:lang w:val="de-CH"/>
              </w:rPr>
              <w:t> x </w:t>
            </w:r>
            <w:r w:rsidRPr="00FE6AC6">
              <w:rPr>
                <w:rFonts w:ascii="Times New Roman" w:hAnsi="Times New Roman"/>
                <w:color w:val="000000"/>
                <w:sz w:val="22"/>
                <w:szCs w:val="22"/>
                <w:lang w:val="bg-BG"/>
              </w:rPr>
              <w:t>10</w:t>
            </w:r>
            <w:r w:rsidRPr="00FE6AC6">
              <w:rPr>
                <w:rFonts w:ascii="Times New Roman" w:hAnsi="Times New Roman"/>
                <w:color w:val="000000"/>
                <w:sz w:val="22"/>
                <w:szCs w:val="22"/>
                <w:vertAlign w:val="superscript"/>
                <w:lang w:val="bg-BG"/>
              </w:rPr>
              <w:t>9</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de-CH"/>
              </w:rPr>
              <w:t>l</w:t>
            </w:r>
            <w:r w:rsidRPr="00FE6AC6">
              <w:rPr>
                <w:rFonts w:ascii="Times New Roman" w:hAnsi="Times New Roman"/>
                <w:color w:val="000000"/>
                <w:sz w:val="22"/>
                <w:szCs w:val="22"/>
                <w:lang w:val="bg-BG"/>
              </w:rPr>
              <w:t xml:space="preserve"> и тромбоцитите </w:t>
            </w:r>
            <w:r w:rsidRPr="00FE6AC6">
              <w:rPr>
                <w:rFonts w:ascii="Times New Roman" w:hAnsi="Times New Roman"/>
                <w:color w:val="000000"/>
                <w:sz w:val="22"/>
                <w:szCs w:val="22"/>
                <w:lang w:val="en-GB"/>
              </w:rPr>
              <w:sym w:font="Symbol" w:char="F0B3"/>
            </w:r>
            <w:r w:rsidRPr="00FE6AC6">
              <w:rPr>
                <w:rFonts w:ascii="Times New Roman" w:hAnsi="Times New Roman"/>
                <w:color w:val="000000"/>
                <w:sz w:val="22"/>
                <w:szCs w:val="22"/>
                <w:lang w:val="bg-BG"/>
              </w:rPr>
              <w:t>75</w:t>
            </w:r>
            <w:r w:rsidRPr="00FE6AC6">
              <w:rPr>
                <w:rFonts w:ascii="Times New Roman" w:hAnsi="Times New Roman"/>
                <w:color w:val="000000"/>
                <w:sz w:val="22"/>
                <w:szCs w:val="22"/>
                <w:lang w:val="de-CH"/>
              </w:rPr>
              <w:t> x </w:t>
            </w:r>
            <w:r w:rsidRPr="00FE6AC6">
              <w:rPr>
                <w:rFonts w:ascii="Times New Roman" w:hAnsi="Times New Roman"/>
                <w:color w:val="000000"/>
                <w:sz w:val="22"/>
                <w:szCs w:val="22"/>
                <w:lang w:val="bg-BG"/>
              </w:rPr>
              <w:t>10</w:t>
            </w:r>
            <w:r w:rsidRPr="00FE6AC6">
              <w:rPr>
                <w:rFonts w:ascii="Times New Roman" w:hAnsi="Times New Roman"/>
                <w:color w:val="000000"/>
                <w:sz w:val="22"/>
                <w:szCs w:val="22"/>
                <w:vertAlign w:val="superscript"/>
                <w:lang w:val="bg-BG"/>
              </w:rPr>
              <w:t>9</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de-CH"/>
              </w:rPr>
              <w:t>l</w:t>
            </w:r>
            <w:r w:rsidRPr="00FE6AC6">
              <w:rPr>
                <w:rFonts w:ascii="Times New Roman" w:hAnsi="Times New Roman"/>
                <w:color w:val="000000"/>
                <w:sz w:val="22"/>
                <w:szCs w:val="22"/>
                <w:lang w:val="bg-BG"/>
              </w:rPr>
              <w:t>.</w:t>
            </w:r>
          </w:p>
          <w:p w14:paraId="3E550179" w14:textId="77777777" w:rsidR="003F3A73" w:rsidRPr="00FE6AC6" w:rsidRDefault="003F3A73" w:rsidP="008143B1">
            <w:pPr>
              <w:keepNext/>
              <w:widowControl w:val="0"/>
              <w:tabs>
                <w:tab w:val="clear" w:pos="567"/>
                <w:tab w:val="left" w:pos="585"/>
              </w:tabs>
              <w:spacing w:line="240" w:lineRule="auto"/>
              <w:ind w:left="444" w:hanging="444"/>
              <w:rPr>
                <w:color w:val="000000"/>
                <w:lang w:val="bg-BG"/>
              </w:rPr>
            </w:pPr>
            <w:r w:rsidRPr="00FE6AC6">
              <w:rPr>
                <w:color w:val="000000"/>
                <w:szCs w:val="22"/>
                <w:lang w:val="bg-BG"/>
              </w:rPr>
              <w:t>2.</w:t>
            </w:r>
            <w:r w:rsidRPr="00FE6AC6">
              <w:rPr>
                <w:color w:val="000000"/>
                <w:szCs w:val="22"/>
                <w:lang w:val="bg-BG"/>
              </w:rPr>
              <w:tab/>
              <w:t xml:space="preserve">Възобновете лечението с </w:t>
            </w:r>
            <w:r w:rsidRPr="00FE6AC6">
              <w:rPr>
                <w:color w:val="000000"/>
                <w:szCs w:val="22"/>
                <w:lang w:val="de-CH"/>
              </w:rPr>
              <w:t>Glivec</w:t>
            </w:r>
            <w:r w:rsidRPr="00FE6AC6">
              <w:rPr>
                <w:color w:val="000000"/>
                <w:szCs w:val="22"/>
                <w:lang w:val="bg-BG"/>
              </w:rPr>
              <w:t xml:space="preserve"> на предишната доза (т.е. тази, преди тежката нежелана лекарствена реакция).</w:t>
            </w:r>
          </w:p>
        </w:tc>
      </w:tr>
      <w:tr w:rsidR="003F3A73" w:rsidRPr="004015AA" w14:paraId="3E550182" w14:textId="77777777" w:rsidTr="00F40727">
        <w:trPr>
          <w:cantSplit/>
        </w:trPr>
        <w:tc>
          <w:tcPr>
            <w:tcW w:w="2059" w:type="dxa"/>
          </w:tcPr>
          <w:p w14:paraId="3E55017B" w14:textId="77777777" w:rsidR="003F3A73" w:rsidRPr="00FE6AC6" w:rsidRDefault="003F3A73" w:rsidP="0063575E">
            <w:pPr>
              <w:pStyle w:val="EndnoteText"/>
              <w:widowControl w:val="0"/>
              <w:tabs>
                <w:tab w:val="clear" w:pos="567"/>
              </w:tabs>
              <w:rPr>
                <w:color w:val="000000"/>
                <w:szCs w:val="22"/>
                <w:lang w:val="bg-BG"/>
              </w:rPr>
            </w:pPr>
            <w:r w:rsidRPr="00FE6AC6">
              <w:rPr>
                <w:color w:val="000000"/>
                <w:lang w:val="bg-BG"/>
              </w:rPr>
              <w:t>Хронична фаза на ХМЛ</w:t>
            </w:r>
            <w:r w:rsidRPr="00FE6AC6">
              <w:rPr>
                <w:color w:val="000000"/>
                <w:szCs w:val="22"/>
                <w:lang w:val="bg-BG"/>
              </w:rPr>
              <w:t>, МДС/МПЗ</w:t>
            </w:r>
            <w:r w:rsidRPr="00FE6AC6">
              <w:rPr>
                <w:color w:val="000000"/>
                <w:lang w:val="bg-BG"/>
              </w:rPr>
              <w:t xml:space="preserve"> и ГИСТ (начална доза</w:t>
            </w:r>
            <w:r w:rsidRPr="00FE6AC6">
              <w:rPr>
                <w:color w:val="000000"/>
                <w:lang w:val="en-US"/>
              </w:rPr>
              <w:t> </w:t>
            </w:r>
            <w:r w:rsidRPr="00FE6AC6">
              <w:rPr>
                <w:color w:val="000000"/>
                <w:lang w:val="bg-BG"/>
              </w:rPr>
              <w:t xml:space="preserve">400 mg) </w:t>
            </w:r>
            <w:r w:rsidRPr="00FE6AC6">
              <w:rPr>
                <w:color w:val="000000"/>
                <w:szCs w:val="22"/>
                <w:lang w:val="bg-BG"/>
              </w:rPr>
              <w:t>ХЕС/ХЕЛ</w:t>
            </w:r>
          </w:p>
          <w:p w14:paraId="3E55017C" w14:textId="77777777" w:rsidR="003F3A73" w:rsidRPr="00FE6AC6" w:rsidRDefault="003F3A73" w:rsidP="0063575E">
            <w:pPr>
              <w:widowControl w:val="0"/>
              <w:spacing w:line="240" w:lineRule="auto"/>
              <w:rPr>
                <w:color w:val="000000"/>
                <w:lang w:val="bg-BG"/>
              </w:rPr>
            </w:pPr>
            <w:r w:rsidRPr="00FE6AC6">
              <w:rPr>
                <w:color w:val="000000"/>
                <w:szCs w:val="22"/>
              </w:rPr>
              <w:t>(</w:t>
            </w:r>
            <w:r w:rsidRPr="00FE6AC6">
              <w:rPr>
                <w:color w:val="000000"/>
                <w:szCs w:val="22"/>
                <w:lang w:val="bg-BG"/>
              </w:rPr>
              <w:t>в доза от</w:t>
            </w:r>
            <w:r w:rsidRPr="00FE6AC6">
              <w:rPr>
                <w:color w:val="000000"/>
                <w:szCs w:val="22"/>
              </w:rPr>
              <w:t xml:space="preserve"> 400 mg)</w:t>
            </w:r>
          </w:p>
        </w:tc>
        <w:tc>
          <w:tcPr>
            <w:tcW w:w="2459" w:type="dxa"/>
          </w:tcPr>
          <w:p w14:paraId="3E55017D" w14:textId="77777777" w:rsidR="003F3A73" w:rsidRPr="00FE6AC6" w:rsidRDefault="003F3A73" w:rsidP="0063575E">
            <w:pPr>
              <w:widowControl w:val="0"/>
              <w:spacing w:line="240" w:lineRule="auto"/>
              <w:rPr>
                <w:color w:val="000000"/>
                <w:lang w:val="bg-BG"/>
              </w:rPr>
            </w:pPr>
            <w:r w:rsidRPr="00FE6AC6">
              <w:rPr>
                <w:color w:val="000000"/>
                <w:lang w:val="bg-BG"/>
              </w:rPr>
              <w:t>ANC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w:t>
            </w:r>
          </w:p>
          <w:p w14:paraId="3E55017E" w14:textId="77777777" w:rsidR="003F3A73" w:rsidRPr="00FE6AC6" w:rsidRDefault="003F3A73" w:rsidP="0063575E">
            <w:pPr>
              <w:widowControl w:val="0"/>
              <w:spacing w:line="240" w:lineRule="auto"/>
              <w:rPr>
                <w:color w:val="000000"/>
                <w:lang w:val="bg-BG"/>
              </w:rPr>
            </w:pPr>
            <w:r w:rsidRPr="00FE6AC6">
              <w:rPr>
                <w:color w:val="000000"/>
                <w:lang w:val="bg-BG"/>
              </w:rPr>
              <w:t>тромбоцити &lt;50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tc>
        <w:tc>
          <w:tcPr>
            <w:tcW w:w="4804" w:type="dxa"/>
          </w:tcPr>
          <w:p w14:paraId="3E55017F" w14:textId="77777777" w:rsidR="003F3A73" w:rsidRPr="00FE6AC6" w:rsidRDefault="003F3A73" w:rsidP="0063575E">
            <w:pPr>
              <w:widowControl w:val="0"/>
              <w:tabs>
                <w:tab w:val="clear" w:pos="567"/>
              </w:tabs>
              <w:spacing w:line="240" w:lineRule="auto"/>
              <w:ind w:left="444" w:hanging="444"/>
              <w:rPr>
                <w:color w:val="000000"/>
                <w:lang w:val="bg-BG"/>
              </w:rPr>
            </w:pPr>
            <w:r w:rsidRPr="00FE6AC6">
              <w:rPr>
                <w:color w:val="000000"/>
                <w:lang w:val="bg-BG"/>
              </w:rPr>
              <w:t>1.</w:t>
            </w:r>
            <w:r w:rsidRPr="00FE6AC6">
              <w:rPr>
                <w:color w:val="000000"/>
                <w:lang w:val="bg-BG"/>
              </w:rPr>
              <w:tab/>
              <w:t>Прекратете приема на Glivec, до възстановяването на ANC ≥1,5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тромбоцитите ≥</w:t>
            </w:r>
            <w:r w:rsidRPr="00FE6AC6">
              <w:rPr>
                <w:color w:val="000000"/>
                <w:lang w:val="ru-RU"/>
              </w:rPr>
              <w:t>75</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p w14:paraId="3E550180" w14:textId="77777777" w:rsidR="003F3A73" w:rsidRPr="00FE6AC6" w:rsidRDefault="003F3A73" w:rsidP="0063575E">
            <w:pPr>
              <w:widowControl w:val="0"/>
              <w:tabs>
                <w:tab w:val="clear" w:pos="567"/>
              </w:tabs>
              <w:spacing w:line="240" w:lineRule="auto"/>
              <w:ind w:left="444" w:hanging="444"/>
              <w:rPr>
                <w:color w:val="000000"/>
                <w:lang w:val="bg-BG"/>
              </w:rPr>
            </w:pPr>
            <w:r w:rsidRPr="00FE6AC6">
              <w:rPr>
                <w:color w:val="000000"/>
                <w:lang w:val="bg-BG"/>
              </w:rPr>
              <w:t>2.</w:t>
            </w:r>
            <w:r w:rsidRPr="00FE6AC6">
              <w:rPr>
                <w:color w:val="000000"/>
                <w:lang w:val="bg-BG"/>
              </w:rPr>
              <w:tab/>
              <w:t>Възобновете лечението с Glivec на предишната доза (т.е. преди тежката нежелана реакция).</w:t>
            </w:r>
          </w:p>
          <w:p w14:paraId="3E550181" w14:textId="77777777" w:rsidR="003F3A73" w:rsidRPr="00FE6AC6" w:rsidRDefault="003F3A73" w:rsidP="0063575E">
            <w:pPr>
              <w:widowControl w:val="0"/>
              <w:tabs>
                <w:tab w:val="clear" w:pos="567"/>
              </w:tabs>
              <w:spacing w:line="240" w:lineRule="auto"/>
              <w:ind w:left="444" w:hanging="444"/>
              <w:rPr>
                <w:color w:val="000000"/>
                <w:lang w:val="bg-BG"/>
              </w:rPr>
            </w:pPr>
            <w:r w:rsidRPr="00FE6AC6">
              <w:rPr>
                <w:color w:val="000000"/>
                <w:lang w:val="bg-BG"/>
              </w:rPr>
              <w:t>3.</w:t>
            </w:r>
            <w:r w:rsidRPr="00FE6AC6">
              <w:rPr>
                <w:color w:val="000000"/>
                <w:lang w:val="bg-BG"/>
              </w:rPr>
              <w:tab/>
              <w:t>В случай на повторно понижение на ANC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 тромбоцити &lt;50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повторете стъпка</w:t>
            </w:r>
            <w:r w:rsidRPr="00FE6AC6">
              <w:rPr>
                <w:color w:val="000000"/>
                <w:lang w:val="de-CH"/>
              </w:rPr>
              <w:t> </w:t>
            </w:r>
            <w:r w:rsidRPr="00FE6AC6">
              <w:rPr>
                <w:color w:val="000000"/>
                <w:lang w:val="bg-BG"/>
              </w:rPr>
              <w:t>1 и възобновете лечението с Glivec с намалена доза от</w:t>
            </w:r>
            <w:r w:rsidRPr="00FE6AC6">
              <w:rPr>
                <w:color w:val="000000"/>
                <w:lang w:val="de-CH"/>
              </w:rPr>
              <w:t> </w:t>
            </w:r>
            <w:r w:rsidRPr="00FE6AC6">
              <w:rPr>
                <w:color w:val="000000"/>
                <w:lang w:val="bg-BG"/>
              </w:rPr>
              <w:t>300 mg.</w:t>
            </w:r>
          </w:p>
        </w:tc>
      </w:tr>
      <w:tr w:rsidR="003F3A73" w:rsidRPr="004015AA" w14:paraId="3E550188" w14:textId="77777777" w:rsidTr="00F40727">
        <w:trPr>
          <w:cantSplit/>
        </w:trPr>
        <w:tc>
          <w:tcPr>
            <w:tcW w:w="2059" w:type="dxa"/>
          </w:tcPr>
          <w:p w14:paraId="3E550183" w14:textId="77777777" w:rsidR="003F3A73" w:rsidRPr="00FE6AC6" w:rsidRDefault="003F3A73" w:rsidP="0063575E">
            <w:pPr>
              <w:widowControl w:val="0"/>
              <w:spacing w:line="240" w:lineRule="auto"/>
              <w:rPr>
                <w:color w:val="000000"/>
                <w:lang w:val="ru-RU"/>
              </w:rPr>
            </w:pPr>
            <w:r w:rsidRPr="00FE6AC6">
              <w:rPr>
                <w:color w:val="000000"/>
                <w:lang w:val="bg-BG"/>
              </w:rPr>
              <w:t>Хронична фаза на ХМЛ в детска възраст (в доза от 340 </w:t>
            </w:r>
            <w:r w:rsidRPr="00FE6AC6">
              <w:rPr>
                <w:color w:val="000000"/>
                <w:lang w:val="en-US"/>
              </w:rPr>
              <w:t>mg</w:t>
            </w:r>
            <w:r w:rsidRPr="00FE6AC6">
              <w:rPr>
                <w:color w:val="000000"/>
                <w:lang w:val="ru-RU"/>
              </w:rPr>
              <w:t>/</w:t>
            </w:r>
            <w:r w:rsidRPr="00FE6AC6">
              <w:rPr>
                <w:color w:val="000000"/>
                <w:lang w:val="en-US"/>
              </w:rPr>
              <w:t>m</w:t>
            </w:r>
            <w:r w:rsidRPr="00FE6AC6">
              <w:rPr>
                <w:color w:val="000000"/>
                <w:vertAlign w:val="superscript"/>
                <w:lang w:val="ru-RU"/>
              </w:rPr>
              <w:t>2</w:t>
            </w:r>
            <w:r w:rsidRPr="00FE6AC6">
              <w:rPr>
                <w:color w:val="000000"/>
                <w:lang w:val="ru-RU"/>
              </w:rPr>
              <w:t>)</w:t>
            </w:r>
          </w:p>
        </w:tc>
        <w:tc>
          <w:tcPr>
            <w:tcW w:w="2459" w:type="dxa"/>
          </w:tcPr>
          <w:p w14:paraId="3E550184" w14:textId="77777777" w:rsidR="003F3A73" w:rsidRPr="00FE6AC6" w:rsidRDefault="003F3A73" w:rsidP="0063575E">
            <w:pPr>
              <w:widowControl w:val="0"/>
              <w:spacing w:line="240" w:lineRule="auto"/>
              <w:rPr>
                <w:color w:val="000000"/>
                <w:lang w:val="bg-BG"/>
              </w:rPr>
            </w:pPr>
            <w:r w:rsidRPr="00FE6AC6">
              <w:rPr>
                <w:color w:val="000000"/>
                <w:lang w:val="en-US"/>
              </w:rPr>
              <w:t>ANC</w:t>
            </w:r>
            <w:r w:rsidRPr="00FE6AC6">
              <w:rPr>
                <w:color w:val="000000"/>
                <w:lang w:val="bg-BG"/>
              </w:rPr>
              <w:t xml:space="preserve"> &lt;1,0 х 10</w:t>
            </w:r>
            <w:r w:rsidRPr="00FE6AC6">
              <w:rPr>
                <w:color w:val="000000"/>
                <w:vertAlign w:val="superscript"/>
                <w:lang w:val="bg-BG"/>
              </w:rPr>
              <w:t>9</w:t>
            </w:r>
            <w:r w:rsidRPr="00FE6AC6">
              <w:rPr>
                <w:color w:val="000000"/>
                <w:lang w:val="bg-BG"/>
              </w:rPr>
              <w:t>/</w:t>
            </w:r>
            <w:r w:rsidRPr="00FE6AC6">
              <w:rPr>
                <w:color w:val="000000"/>
                <w:lang w:val="en-US"/>
              </w:rPr>
              <w:t>l</w:t>
            </w:r>
            <w:r w:rsidRPr="00FE6AC6">
              <w:rPr>
                <w:color w:val="000000"/>
                <w:lang w:val="ru-RU"/>
              </w:rPr>
              <w:t xml:space="preserve"> </w:t>
            </w:r>
            <w:r w:rsidRPr="00FE6AC6">
              <w:rPr>
                <w:color w:val="000000"/>
                <w:lang w:val="bg-BG"/>
              </w:rPr>
              <w:t>и/или тромбоцити &lt; 50 х</w:t>
            </w:r>
            <w:r w:rsidRPr="00FE6AC6">
              <w:rPr>
                <w:color w:val="000000"/>
                <w:lang w:val="en-US"/>
              </w:rPr>
              <w:t> </w:t>
            </w:r>
            <w:r w:rsidRPr="00FE6AC6">
              <w:rPr>
                <w:color w:val="000000"/>
                <w:lang w:val="ru-RU"/>
              </w:rPr>
              <w:t>10</w:t>
            </w:r>
            <w:r w:rsidRPr="00FE6AC6">
              <w:rPr>
                <w:color w:val="000000"/>
                <w:vertAlign w:val="superscript"/>
                <w:lang w:val="ru-RU"/>
              </w:rPr>
              <w:t>9</w:t>
            </w:r>
            <w:r w:rsidRPr="00FE6AC6">
              <w:rPr>
                <w:color w:val="000000"/>
                <w:lang w:val="ru-RU"/>
              </w:rPr>
              <w:t>/</w:t>
            </w:r>
            <w:r w:rsidRPr="00FE6AC6">
              <w:rPr>
                <w:color w:val="000000"/>
                <w:lang w:val="en-US"/>
              </w:rPr>
              <w:t>l</w:t>
            </w:r>
          </w:p>
        </w:tc>
        <w:tc>
          <w:tcPr>
            <w:tcW w:w="4804" w:type="dxa"/>
          </w:tcPr>
          <w:p w14:paraId="3E550185" w14:textId="2B366A9D" w:rsidR="003F3A73" w:rsidRPr="00FE6AC6" w:rsidRDefault="003F3A73" w:rsidP="0063575E">
            <w:pPr>
              <w:widowControl w:val="0"/>
              <w:tabs>
                <w:tab w:val="clear" w:pos="567"/>
              </w:tabs>
              <w:spacing w:line="240" w:lineRule="auto"/>
              <w:ind w:left="444" w:hanging="444"/>
              <w:rPr>
                <w:color w:val="000000"/>
                <w:lang w:val="bg-BG"/>
              </w:rPr>
            </w:pPr>
            <w:r w:rsidRPr="00FE6AC6">
              <w:rPr>
                <w:color w:val="000000"/>
                <w:lang w:val="bg-BG"/>
              </w:rPr>
              <w:t>1.</w:t>
            </w:r>
            <w:r w:rsidRPr="00FE6AC6">
              <w:rPr>
                <w:color w:val="000000"/>
                <w:lang w:val="bg-BG"/>
              </w:rPr>
              <w:tab/>
              <w:t xml:space="preserve">Прекратете приема на </w:t>
            </w:r>
            <w:r w:rsidRPr="00FE6AC6">
              <w:rPr>
                <w:color w:val="000000"/>
                <w:lang w:val="de-CH"/>
              </w:rPr>
              <w:t>Glivec</w:t>
            </w:r>
            <w:r w:rsidRPr="00FE6AC6">
              <w:rPr>
                <w:color w:val="000000"/>
                <w:lang w:val="bg-BG"/>
              </w:rPr>
              <w:t xml:space="preserve">, до възстановяването на </w:t>
            </w:r>
            <w:r w:rsidRPr="00FE6AC6">
              <w:rPr>
                <w:color w:val="000000"/>
                <w:lang w:val="de-CH"/>
              </w:rPr>
              <w:t>ANC </w:t>
            </w:r>
            <w:r w:rsidRPr="00FE6AC6">
              <w:rPr>
                <w:color w:val="000000"/>
              </w:rPr>
              <w:sym w:font="Symbol" w:char="F0B3"/>
            </w:r>
            <w:r w:rsidRPr="00FE6AC6">
              <w:rPr>
                <w:color w:val="000000"/>
                <w:lang w:val="de-CH"/>
              </w:rPr>
              <w:t> </w:t>
            </w:r>
            <w:r w:rsidRPr="00FE6AC6">
              <w:rPr>
                <w:color w:val="000000"/>
                <w:lang w:val="bg-BG"/>
              </w:rPr>
              <w:t>1</w:t>
            </w:r>
            <w:r w:rsidRPr="00FE6AC6">
              <w:rPr>
                <w:color w:val="000000"/>
                <w:lang w:val="ru-RU"/>
              </w:rPr>
              <w:t>,5 </w:t>
            </w:r>
            <w:r w:rsidRPr="00FE6AC6">
              <w:rPr>
                <w:color w:val="000000"/>
                <w:lang w:val="bg-BG"/>
              </w:rPr>
              <w:t>х 10</w:t>
            </w:r>
            <w:r w:rsidRPr="00FE6AC6">
              <w:rPr>
                <w:color w:val="000000"/>
                <w:vertAlign w:val="superscript"/>
                <w:lang w:val="bg-BG"/>
              </w:rPr>
              <w:t>9</w:t>
            </w:r>
            <w:r w:rsidRPr="00FE6AC6">
              <w:rPr>
                <w:color w:val="000000"/>
                <w:lang w:val="bg-BG"/>
              </w:rPr>
              <w:t>/</w:t>
            </w:r>
            <w:r w:rsidRPr="00FE6AC6">
              <w:rPr>
                <w:color w:val="000000"/>
                <w:lang w:val="de-CH"/>
              </w:rPr>
              <w:t>l</w:t>
            </w:r>
            <w:r w:rsidRPr="00FE6AC6">
              <w:rPr>
                <w:color w:val="000000"/>
                <w:lang w:val="ru-RU"/>
              </w:rPr>
              <w:t xml:space="preserve"> и тромбоцитите </w:t>
            </w:r>
            <w:r w:rsidRPr="00FE6AC6">
              <w:rPr>
                <w:color w:val="000000"/>
              </w:rPr>
              <w:sym w:font="Symbol" w:char="F0B3"/>
            </w:r>
            <w:r w:rsidRPr="00FE6AC6">
              <w:rPr>
                <w:color w:val="000000"/>
                <w:lang w:val="bg-BG"/>
              </w:rPr>
              <w:t> 75 х 10</w:t>
            </w:r>
            <w:r w:rsidRPr="00FE6AC6">
              <w:rPr>
                <w:color w:val="000000"/>
                <w:vertAlign w:val="superscript"/>
                <w:lang w:val="bg-BG"/>
              </w:rPr>
              <w:t>9</w:t>
            </w:r>
            <w:r w:rsidRPr="00FE6AC6">
              <w:rPr>
                <w:color w:val="000000"/>
                <w:lang w:val="bg-BG"/>
              </w:rPr>
              <w:t>/</w:t>
            </w:r>
            <w:r w:rsidRPr="00FE6AC6">
              <w:rPr>
                <w:color w:val="000000"/>
                <w:lang w:val="de-CH"/>
              </w:rPr>
              <w:t>l</w:t>
            </w:r>
            <w:r w:rsidRPr="00FE6AC6">
              <w:rPr>
                <w:color w:val="000000"/>
                <w:lang w:val="ru-RU"/>
              </w:rPr>
              <w:t>.</w:t>
            </w:r>
          </w:p>
          <w:p w14:paraId="3E550186" w14:textId="77777777" w:rsidR="003F3A73" w:rsidRPr="00FE6AC6" w:rsidRDefault="003F3A73" w:rsidP="0063575E">
            <w:pPr>
              <w:widowControl w:val="0"/>
              <w:tabs>
                <w:tab w:val="clear" w:pos="567"/>
              </w:tabs>
              <w:spacing w:line="240" w:lineRule="auto"/>
              <w:ind w:left="444" w:hanging="444"/>
              <w:rPr>
                <w:color w:val="000000"/>
                <w:lang w:val="bg-BG"/>
              </w:rPr>
            </w:pPr>
            <w:r w:rsidRPr="00FE6AC6">
              <w:rPr>
                <w:color w:val="000000"/>
                <w:lang w:val="bg-BG"/>
              </w:rPr>
              <w:t>2.</w:t>
            </w:r>
            <w:r w:rsidRPr="00FE6AC6">
              <w:rPr>
                <w:color w:val="000000"/>
                <w:lang w:val="bg-BG"/>
              </w:rPr>
              <w:tab/>
            </w:r>
            <w:r w:rsidRPr="00FE6AC6">
              <w:rPr>
                <w:color w:val="000000"/>
                <w:lang w:val="ru-RU"/>
              </w:rPr>
              <w:t>Възобновете</w:t>
            </w:r>
            <w:r w:rsidRPr="00FE6AC6">
              <w:rPr>
                <w:color w:val="000000"/>
                <w:lang w:val="bg-BG"/>
              </w:rPr>
              <w:t xml:space="preserve"> лечението с </w:t>
            </w:r>
            <w:r w:rsidRPr="00FE6AC6">
              <w:rPr>
                <w:color w:val="000000"/>
                <w:lang w:val="de-CH"/>
              </w:rPr>
              <w:t>Glivec</w:t>
            </w:r>
            <w:r w:rsidRPr="00FE6AC6">
              <w:rPr>
                <w:color w:val="000000"/>
                <w:lang w:val="bg-BG"/>
              </w:rPr>
              <w:t xml:space="preserve"> на предишната доза (т.е. преди тежката нежелана реакция).</w:t>
            </w:r>
          </w:p>
          <w:p w14:paraId="3E550187" w14:textId="77777777" w:rsidR="003F3A73" w:rsidRPr="00FE6AC6" w:rsidRDefault="003F3A73" w:rsidP="0063575E">
            <w:pPr>
              <w:widowControl w:val="0"/>
              <w:tabs>
                <w:tab w:val="clear" w:pos="567"/>
              </w:tabs>
              <w:spacing w:line="240" w:lineRule="auto"/>
              <w:ind w:left="444" w:hanging="444"/>
              <w:rPr>
                <w:color w:val="000000"/>
                <w:lang w:val="bg-BG"/>
              </w:rPr>
            </w:pPr>
            <w:r w:rsidRPr="00FE6AC6">
              <w:rPr>
                <w:color w:val="000000"/>
                <w:lang w:val="bg-BG"/>
              </w:rPr>
              <w:t>3.</w:t>
            </w:r>
            <w:r w:rsidRPr="00FE6AC6">
              <w:rPr>
                <w:color w:val="000000"/>
                <w:lang w:val="bg-BG"/>
              </w:rPr>
              <w:tab/>
              <w:t>В случай на повторно понижение на ANC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 тромбоцити &lt;50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повторете стъпка</w:t>
            </w:r>
            <w:r w:rsidRPr="00FE6AC6">
              <w:rPr>
                <w:color w:val="000000"/>
                <w:lang w:val="de-CH"/>
              </w:rPr>
              <w:t> </w:t>
            </w:r>
            <w:r w:rsidRPr="00FE6AC6">
              <w:rPr>
                <w:color w:val="000000"/>
                <w:lang w:val="bg-BG"/>
              </w:rPr>
              <w:t>1 и възобновете лечението с Glivec с намалена доза от</w:t>
            </w:r>
            <w:r w:rsidRPr="00FE6AC6">
              <w:rPr>
                <w:color w:val="000000"/>
                <w:lang w:val="de-CH"/>
              </w:rPr>
              <w:t> </w:t>
            </w:r>
            <w:r w:rsidRPr="00FE6AC6">
              <w:rPr>
                <w:color w:val="000000"/>
                <w:lang w:val="bg-BG"/>
              </w:rPr>
              <w:t>260 mg/</w:t>
            </w:r>
            <w:r w:rsidRPr="00FE6AC6">
              <w:rPr>
                <w:color w:val="000000"/>
                <w:lang w:val="de-CH"/>
              </w:rPr>
              <w:t>m</w:t>
            </w:r>
            <w:r w:rsidRPr="00FE6AC6">
              <w:rPr>
                <w:color w:val="000000"/>
                <w:vertAlign w:val="superscript"/>
                <w:lang w:val="bg-BG"/>
              </w:rPr>
              <w:t>2</w:t>
            </w:r>
            <w:r w:rsidRPr="00FE6AC6">
              <w:rPr>
                <w:color w:val="000000"/>
                <w:lang w:val="bg-BG"/>
              </w:rPr>
              <w:t>.</w:t>
            </w:r>
          </w:p>
        </w:tc>
      </w:tr>
      <w:tr w:rsidR="003F3A73" w:rsidRPr="004015AA" w14:paraId="3E550190" w14:textId="77777777" w:rsidTr="00F40727">
        <w:trPr>
          <w:cantSplit/>
        </w:trPr>
        <w:tc>
          <w:tcPr>
            <w:tcW w:w="2059" w:type="dxa"/>
          </w:tcPr>
          <w:p w14:paraId="3E550189" w14:textId="77777777" w:rsidR="003F3A73" w:rsidRPr="00FE6AC6" w:rsidRDefault="003F3A73" w:rsidP="0063575E">
            <w:pPr>
              <w:widowControl w:val="0"/>
              <w:spacing w:line="240" w:lineRule="auto"/>
              <w:rPr>
                <w:color w:val="000000"/>
                <w:lang w:val="bg-BG"/>
              </w:rPr>
            </w:pPr>
            <w:r w:rsidRPr="00FE6AC6">
              <w:rPr>
                <w:color w:val="000000"/>
                <w:lang w:val="bg-BG"/>
              </w:rPr>
              <w:t xml:space="preserve">Фаза на акцелерация на ХМЛ и бластна криза и </w:t>
            </w:r>
            <w:r w:rsidRPr="00FE6AC6">
              <w:rPr>
                <w:color w:val="000000"/>
                <w:lang w:val="en-US"/>
              </w:rPr>
              <w:t>Ph</w:t>
            </w:r>
            <w:r w:rsidRPr="00FE6AC6">
              <w:rPr>
                <w:color w:val="000000"/>
                <w:lang w:val="ru-RU"/>
              </w:rPr>
              <w:t>+ОЛЛ</w:t>
            </w:r>
            <w:r w:rsidRPr="00FE6AC6">
              <w:rPr>
                <w:color w:val="000000"/>
                <w:lang w:val="bg-BG"/>
              </w:rPr>
              <w:t xml:space="preserve"> (начална доза</w:t>
            </w:r>
            <w:r w:rsidRPr="00FE6AC6">
              <w:rPr>
                <w:color w:val="000000"/>
                <w:lang w:val="en-US"/>
              </w:rPr>
              <w:t> </w:t>
            </w:r>
            <w:r w:rsidRPr="00FE6AC6">
              <w:rPr>
                <w:color w:val="000000"/>
                <w:lang w:val="bg-BG"/>
              </w:rPr>
              <w:t>600 mg)</w:t>
            </w:r>
          </w:p>
        </w:tc>
        <w:tc>
          <w:tcPr>
            <w:tcW w:w="2459" w:type="dxa"/>
          </w:tcPr>
          <w:p w14:paraId="3E55018A" w14:textId="77777777" w:rsidR="003F3A73" w:rsidRPr="00FE6AC6" w:rsidRDefault="003F3A73" w:rsidP="0063575E">
            <w:pPr>
              <w:widowControl w:val="0"/>
              <w:spacing w:line="240" w:lineRule="auto"/>
              <w:rPr>
                <w:color w:val="000000"/>
                <w:lang w:val="bg-BG"/>
              </w:rPr>
            </w:pPr>
            <w:r w:rsidRPr="00FE6AC6">
              <w:rPr>
                <w:color w:val="000000"/>
                <w:vertAlign w:val="superscript"/>
                <w:lang w:val="bg-BG"/>
              </w:rPr>
              <w:t>а</w:t>
            </w:r>
            <w:r w:rsidRPr="00FE6AC6">
              <w:rPr>
                <w:color w:val="000000"/>
                <w:lang w:val="bg-BG"/>
              </w:rPr>
              <w:t>ANC &lt;0,5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w:t>
            </w:r>
          </w:p>
          <w:p w14:paraId="3E55018B" w14:textId="77777777" w:rsidR="003F3A73" w:rsidRPr="00FE6AC6" w:rsidRDefault="003F3A73" w:rsidP="0063575E">
            <w:pPr>
              <w:widowControl w:val="0"/>
              <w:spacing w:line="240" w:lineRule="auto"/>
              <w:rPr>
                <w:b/>
                <w:color w:val="000000"/>
                <w:lang w:val="bg-BG"/>
              </w:rPr>
            </w:pPr>
            <w:r w:rsidRPr="00FE6AC6">
              <w:rPr>
                <w:color w:val="000000"/>
                <w:lang w:val="bg-BG"/>
              </w:rPr>
              <w:t>тромбоцити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tc>
        <w:tc>
          <w:tcPr>
            <w:tcW w:w="4804" w:type="dxa"/>
          </w:tcPr>
          <w:p w14:paraId="3E55018C" w14:textId="77777777" w:rsidR="003F3A73" w:rsidRPr="00FE6AC6" w:rsidRDefault="003F3A73" w:rsidP="0063575E">
            <w:pPr>
              <w:widowControl w:val="0"/>
              <w:tabs>
                <w:tab w:val="clear" w:pos="567"/>
              </w:tabs>
              <w:spacing w:line="240" w:lineRule="auto"/>
              <w:ind w:left="444" w:hanging="426"/>
              <w:rPr>
                <w:color w:val="000000"/>
                <w:lang w:val="bg-BG"/>
              </w:rPr>
            </w:pPr>
            <w:r w:rsidRPr="00FE6AC6">
              <w:rPr>
                <w:color w:val="000000"/>
                <w:lang w:val="bg-BG"/>
              </w:rPr>
              <w:t>1.</w:t>
            </w:r>
            <w:r w:rsidRPr="00FE6AC6">
              <w:rPr>
                <w:color w:val="000000"/>
                <w:lang w:val="bg-BG"/>
              </w:rPr>
              <w:tab/>
              <w:t>Проверете дали цитопенията е свързана с левкемията (костно-мозъчна аспирация или биопсия).</w:t>
            </w:r>
          </w:p>
          <w:p w14:paraId="3E55018D" w14:textId="77777777" w:rsidR="003F3A73" w:rsidRPr="00FE6AC6" w:rsidRDefault="003F3A73" w:rsidP="0063575E">
            <w:pPr>
              <w:widowControl w:val="0"/>
              <w:tabs>
                <w:tab w:val="clear" w:pos="567"/>
              </w:tabs>
              <w:spacing w:line="240" w:lineRule="auto"/>
              <w:ind w:left="432" w:hanging="450"/>
              <w:rPr>
                <w:color w:val="000000"/>
                <w:lang w:val="bg-BG"/>
              </w:rPr>
            </w:pPr>
            <w:r w:rsidRPr="00FE6AC6">
              <w:rPr>
                <w:color w:val="000000"/>
                <w:lang w:val="bg-BG"/>
              </w:rPr>
              <w:t>2.</w:t>
            </w:r>
            <w:r w:rsidRPr="00FE6AC6">
              <w:rPr>
                <w:color w:val="000000"/>
                <w:lang w:val="bg-BG"/>
              </w:rPr>
              <w:tab/>
              <w:t>Ако цитопенията не е свързана с левкемията, понижете дозата на Glivec до</w:t>
            </w:r>
            <w:r w:rsidRPr="00FE6AC6">
              <w:rPr>
                <w:color w:val="000000"/>
                <w:lang w:val="en-US"/>
              </w:rPr>
              <w:t> </w:t>
            </w:r>
            <w:r w:rsidRPr="00FE6AC6">
              <w:rPr>
                <w:color w:val="000000"/>
                <w:lang w:val="bg-BG"/>
              </w:rPr>
              <w:t>400 mg.</w:t>
            </w:r>
          </w:p>
          <w:p w14:paraId="3E55018E" w14:textId="77777777" w:rsidR="003F3A73" w:rsidRPr="00FE6AC6" w:rsidRDefault="003F3A73" w:rsidP="0063575E">
            <w:pPr>
              <w:widowControl w:val="0"/>
              <w:tabs>
                <w:tab w:val="clear" w:pos="567"/>
              </w:tabs>
              <w:spacing w:line="240" w:lineRule="auto"/>
              <w:ind w:left="432" w:hanging="432"/>
              <w:rPr>
                <w:color w:val="000000"/>
                <w:lang w:val="bg-BG"/>
              </w:rPr>
            </w:pPr>
            <w:r w:rsidRPr="00FE6AC6">
              <w:rPr>
                <w:color w:val="000000"/>
                <w:lang w:val="bg-BG"/>
              </w:rPr>
              <w:t>3.</w:t>
            </w:r>
            <w:r w:rsidRPr="00FE6AC6">
              <w:rPr>
                <w:color w:val="000000"/>
                <w:lang w:val="bg-BG"/>
              </w:rPr>
              <w:tab/>
              <w:t>Ако цитопенията персистира в продължение на</w:t>
            </w:r>
            <w:r w:rsidRPr="00FE6AC6">
              <w:rPr>
                <w:color w:val="000000"/>
                <w:lang w:val="en-US"/>
              </w:rPr>
              <w:t> </w:t>
            </w:r>
            <w:r w:rsidRPr="00FE6AC6">
              <w:rPr>
                <w:color w:val="000000"/>
                <w:lang w:val="bg-BG"/>
              </w:rPr>
              <w:t>2 седмици, понижете допълнително дозата д</w:t>
            </w:r>
            <w:r w:rsidRPr="00FE6AC6">
              <w:rPr>
                <w:color w:val="000000"/>
                <w:lang w:val="en-US"/>
              </w:rPr>
              <w:t>o </w:t>
            </w:r>
            <w:r w:rsidRPr="00FE6AC6">
              <w:rPr>
                <w:color w:val="000000"/>
                <w:lang w:val="bg-BG"/>
              </w:rPr>
              <w:t>300 mg.</w:t>
            </w:r>
          </w:p>
          <w:p w14:paraId="3E55018F" w14:textId="77777777" w:rsidR="003F3A73" w:rsidRPr="00FE6AC6" w:rsidRDefault="003F3A73" w:rsidP="0063575E">
            <w:pPr>
              <w:widowControl w:val="0"/>
              <w:tabs>
                <w:tab w:val="clear" w:pos="567"/>
              </w:tabs>
              <w:spacing w:line="240" w:lineRule="auto"/>
              <w:ind w:left="444" w:hanging="444"/>
              <w:rPr>
                <w:color w:val="000000"/>
                <w:lang w:val="bg-BG"/>
              </w:rPr>
            </w:pPr>
            <w:r w:rsidRPr="00FE6AC6">
              <w:rPr>
                <w:color w:val="000000"/>
                <w:lang w:val="bg-BG"/>
              </w:rPr>
              <w:t>4.</w:t>
            </w:r>
            <w:r w:rsidRPr="00FE6AC6">
              <w:rPr>
                <w:color w:val="000000"/>
                <w:lang w:val="bg-BG"/>
              </w:rPr>
              <w:tab/>
              <w:t>Ако цитопенията персистира в продължение на</w:t>
            </w:r>
            <w:r w:rsidRPr="00FE6AC6">
              <w:rPr>
                <w:color w:val="000000"/>
                <w:lang w:val="de-CH"/>
              </w:rPr>
              <w:t> </w:t>
            </w:r>
            <w:r w:rsidRPr="00FE6AC6">
              <w:rPr>
                <w:color w:val="000000"/>
                <w:lang w:val="bg-BG"/>
              </w:rPr>
              <w:t>4 седмици и все още не е свързана с левкемията, прекратете приложението на Glivec до възстановяване на ANC ≥1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тромбоцитите ≥20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след това възобновете лечението с</w:t>
            </w:r>
            <w:r w:rsidRPr="00FE6AC6">
              <w:rPr>
                <w:color w:val="000000"/>
                <w:lang w:val="de-CH"/>
              </w:rPr>
              <w:t> </w:t>
            </w:r>
            <w:r w:rsidRPr="00FE6AC6">
              <w:rPr>
                <w:color w:val="000000"/>
                <w:lang w:val="bg-BG"/>
              </w:rPr>
              <w:t>300 mg.</w:t>
            </w:r>
          </w:p>
        </w:tc>
      </w:tr>
      <w:tr w:rsidR="003F3A73" w:rsidRPr="004015AA" w14:paraId="3E550198" w14:textId="77777777" w:rsidTr="00F40727">
        <w:trPr>
          <w:cantSplit/>
        </w:trPr>
        <w:tc>
          <w:tcPr>
            <w:tcW w:w="2059" w:type="dxa"/>
          </w:tcPr>
          <w:p w14:paraId="3E550191" w14:textId="77777777" w:rsidR="003F3A73" w:rsidRPr="00FE6AC6" w:rsidRDefault="003F3A73" w:rsidP="0063575E">
            <w:pPr>
              <w:widowControl w:val="0"/>
              <w:spacing w:line="240" w:lineRule="auto"/>
              <w:rPr>
                <w:color w:val="000000"/>
                <w:lang w:val="bg-BG"/>
              </w:rPr>
            </w:pPr>
            <w:r w:rsidRPr="00FE6AC6">
              <w:rPr>
                <w:color w:val="000000"/>
                <w:lang w:val="bg-BG"/>
              </w:rPr>
              <w:t>Фаза на акцелерация на ХМЛ и бластна криза</w:t>
            </w:r>
            <w:r w:rsidRPr="00FE6AC6">
              <w:rPr>
                <w:color w:val="000000"/>
                <w:lang w:val="ru-RU"/>
              </w:rPr>
              <w:t xml:space="preserve"> </w:t>
            </w:r>
            <w:r w:rsidRPr="00FE6AC6">
              <w:rPr>
                <w:color w:val="000000"/>
                <w:lang w:val="bg-BG"/>
              </w:rPr>
              <w:t>в детска възраст (начална доза</w:t>
            </w:r>
            <w:r w:rsidRPr="00FE6AC6">
              <w:rPr>
                <w:color w:val="000000"/>
                <w:lang w:val="en-US"/>
              </w:rPr>
              <w:t> </w:t>
            </w:r>
            <w:r w:rsidRPr="00FE6AC6">
              <w:rPr>
                <w:color w:val="000000"/>
                <w:lang w:val="bg-BG"/>
              </w:rPr>
              <w:t>340 mg/</w:t>
            </w:r>
            <w:r w:rsidRPr="00FE6AC6">
              <w:rPr>
                <w:color w:val="000000"/>
                <w:lang w:val="en-US"/>
              </w:rPr>
              <w:t>m</w:t>
            </w:r>
            <w:r w:rsidRPr="00FE6AC6">
              <w:rPr>
                <w:color w:val="000000"/>
                <w:vertAlign w:val="superscript"/>
                <w:lang w:val="ru-RU"/>
              </w:rPr>
              <w:t>2</w:t>
            </w:r>
            <w:r w:rsidRPr="00FE6AC6">
              <w:rPr>
                <w:color w:val="000000"/>
                <w:lang w:val="bg-BG"/>
              </w:rPr>
              <w:t>)</w:t>
            </w:r>
          </w:p>
        </w:tc>
        <w:tc>
          <w:tcPr>
            <w:tcW w:w="2459" w:type="dxa"/>
          </w:tcPr>
          <w:p w14:paraId="3E550192" w14:textId="77777777" w:rsidR="003F3A73" w:rsidRPr="00FE6AC6" w:rsidRDefault="003F3A73" w:rsidP="0063575E">
            <w:pPr>
              <w:widowControl w:val="0"/>
              <w:spacing w:line="240" w:lineRule="auto"/>
              <w:rPr>
                <w:color w:val="000000"/>
                <w:lang w:val="bg-BG"/>
              </w:rPr>
            </w:pPr>
            <w:r w:rsidRPr="00FE6AC6">
              <w:rPr>
                <w:color w:val="000000"/>
                <w:vertAlign w:val="superscript"/>
                <w:lang w:val="bg-BG"/>
              </w:rPr>
              <w:t>а</w:t>
            </w:r>
            <w:r w:rsidRPr="00FE6AC6">
              <w:rPr>
                <w:color w:val="000000"/>
                <w:lang w:val="bg-BG"/>
              </w:rPr>
              <w:t>ANC &lt;0,5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w:t>
            </w:r>
          </w:p>
          <w:p w14:paraId="3E550193" w14:textId="77777777" w:rsidR="003F3A73" w:rsidRPr="00FE6AC6" w:rsidRDefault="003F3A73" w:rsidP="0063575E">
            <w:pPr>
              <w:widowControl w:val="0"/>
              <w:spacing w:line="240" w:lineRule="auto"/>
              <w:rPr>
                <w:color w:val="000000"/>
                <w:lang w:val="bg-BG"/>
              </w:rPr>
            </w:pPr>
            <w:r w:rsidRPr="00FE6AC6">
              <w:rPr>
                <w:color w:val="000000"/>
                <w:lang w:val="bg-BG"/>
              </w:rPr>
              <w:t>тромбоцити &lt;</w:t>
            </w:r>
            <w:r w:rsidRPr="00FE6AC6">
              <w:rPr>
                <w:color w:val="000000"/>
                <w:lang w:val="en-US"/>
              </w:rPr>
              <w:t> </w:t>
            </w:r>
            <w:r w:rsidRPr="00FE6AC6">
              <w:rPr>
                <w:color w:val="000000"/>
                <w:lang w:val="bg-BG"/>
              </w:rPr>
              <w: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tc>
        <w:tc>
          <w:tcPr>
            <w:tcW w:w="4804" w:type="dxa"/>
          </w:tcPr>
          <w:p w14:paraId="3E550194" w14:textId="77777777" w:rsidR="003F3A73" w:rsidRPr="00FE6AC6" w:rsidRDefault="003F3A73" w:rsidP="0063575E">
            <w:pPr>
              <w:widowControl w:val="0"/>
              <w:tabs>
                <w:tab w:val="clear" w:pos="567"/>
              </w:tabs>
              <w:spacing w:line="240" w:lineRule="auto"/>
              <w:ind w:left="432" w:hanging="432"/>
              <w:rPr>
                <w:color w:val="000000"/>
                <w:lang w:val="bg-BG"/>
              </w:rPr>
            </w:pPr>
            <w:r w:rsidRPr="00FE6AC6">
              <w:rPr>
                <w:color w:val="000000"/>
                <w:lang w:val="bg-BG"/>
              </w:rPr>
              <w:t>1.</w:t>
            </w:r>
            <w:r w:rsidRPr="00FE6AC6">
              <w:rPr>
                <w:color w:val="000000"/>
                <w:lang w:val="bg-BG"/>
              </w:rPr>
              <w:tab/>
              <w:t>Проверете дали цитопенията е свързана с левкемията (костно-мозъчна аспирация или биопсия).</w:t>
            </w:r>
          </w:p>
          <w:p w14:paraId="3E550195" w14:textId="77777777" w:rsidR="003F3A73" w:rsidRPr="00FE6AC6" w:rsidRDefault="003F3A73" w:rsidP="0063575E">
            <w:pPr>
              <w:widowControl w:val="0"/>
              <w:tabs>
                <w:tab w:val="clear" w:pos="567"/>
              </w:tabs>
              <w:spacing w:line="240" w:lineRule="auto"/>
              <w:ind w:left="432" w:hanging="432"/>
              <w:rPr>
                <w:color w:val="000000"/>
                <w:lang w:val="bg-BG"/>
              </w:rPr>
            </w:pPr>
            <w:r w:rsidRPr="00FE6AC6">
              <w:rPr>
                <w:color w:val="000000"/>
                <w:lang w:val="bg-BG"/>
              </w:rPr>
              <w:t>2.</w:t>
            </w:r>
            <w:r w:rsidRPr="00FE6AC6">
              <w:rPr>
                <w:color w:val="000000"/>
                <w:lang w:val="bg-BG"/>
              </w:rPr>
              <w:tab/>
              <w:t>Ако цитопенията не е свързана с левкемията, понижете дозата на Glivec до</w:t>
            </w:r>
            <w:r w:rsidRPr="00FE6AC6">
              <w:rPr>
                <w:color w:val="000000"/>
                <w:lang w:val="en-US"/>
              </w:rPr>
              <w:t> </w:t>
            </w:r>
            <w:r w:rsidRPr="00FE6AC6">
              <w:rPr>
                <w:color w:val="000000"/>
                <w:lang w:val="bg-BG"/>
              </w:rPr>
              <w:t>260 mg/</w:t>
            </w:r>
            <w:r w:rsidRPr="00FE6AC6">
              <w:rPr>
                <w:color w:val="000000"/>
                <w:lang w:val="en-US"/>
              </w:rPr>
              <w:t>m</w:t>
            </w:r>
            <w:r w:rsidRPr="00FE6AC6">
              <w:rPr>
                <w:color w:val="000000"/>
                <w:vertAlign w:val="superscript"/>
                <w:lang w:val="ru-RU"/>
              </w:rPr>
              <w:t>2</w:t>
            </w:r>
            <w:r w:rsidRPr="00FE6AC6">
              <w:rPr>
                <w:color w:val="000000"/>
                <w:lang w:val="bg-BG"/>
              </w:rPr>
              <w:t>.</w:t>
            </w:r>
          </w:p>
          <w:p w14:paraId="3E550196" w14:textId="77777777" w:rsidR="003F3A73" w:rsidRPr="00FE6AC6" w:rsidRDefault="003F3A73" w:rsidP="0063575E">
            <w:pPr>
              <w:widowControl w:val="0"/>
              <w:tabs>
                <w:tab w:val="clear" w:pos="567"/>
              </w:tabs>
              <w:spacing w:line="240" w:lineRule="auto"/>
              <w:ind w:left="432" w:hanging="432"/>
              <w:rPr>
                <w:color w:val="000000"/>
                <w:lang w:val="bg-BG"/>
              </w:rPr>
            </w:pPr>
            <w:r w:rsidRPr="00FE6AC6">
              <w:rPr>
                <w:color w:val="000000"/>
                <w:lang w:val="bg-BG"/>
              </w:rPr>
              <w:t>3.</w:t>
            </w:r>
            <w:r w:rsidRPr="00FE6AC6">
              <w:rPr>
                <w:color w:val="000000"/>
                <w:lang w:val="bg-BG"/>
              </w:rPr>
              <w:tab/>
              <w:t>Ако цитопенията персистира в продължение на</w:t>
            </w:r>
            <w:r w:rsidRPr="00FE6AC6">
              <w:rPr>
                <w:color w:val="000000"/>
                <w:lang w:val="en-US"/>
              </w:rPr>
              <w:t> </w:t>
            </w:r>
            <w:r w:rsidRPr="00FE6AC6">
              <w:rPr>
                <w:color w:val="000000"/>
                <w:lang w:val="bg-BG"/>
              </w:rPr>
              <w:t>2 седмици, понижете допълнително дозата д</w:t>
            </w:r>
            <w:r w:rsidRPr="00FE6AC6">
              <w:rPr>
                <w:color w:val="000000"/>
                <w:lang w:val="en-US"/>
              </w:rPr>
              <w:t>o </w:t>
            </w:r>
            <w:r w:rsidRPr="00FE6AC6">
              <w:rPr>
                <w:color w:val="000000"/>
                <w:lang w:val="bg-BG"/>
              </w:rPr>
              <w:t>200 mg</w:t>
            </w:r>
            <w:r w:rsidRPr="00FE6AC6">
              <w:rPr>
                <w:color w:val="000000"/>
                <w:lang w:val="ru-RU"/>
              </w:rPr>
              <w:t>/</w:t>
            </w:r>
            <w:r w:rsidRPr="00FE6AC6">
              <w:rPr>
                <w:color w:val="000000"/>
                <w:lang w:val="en-US"/>
              </w:rPr>
              <w:t>m</w:t>
            </w:r>
            <w:r w:rsidRPr="00FE6AC6">
              <w:rPr>
                <w:color w:val="000000"/>
                <w:vertAlign w:val="superscript"/>
                <w:lang w:val="ru-RU"/>
              </w:rPr>
              <w:t>2</w:t>
            </w:r>
            <w:r w:rsidRPr="00FE6AC6">
              <w:rPr>
                <w:color w:val="000000"/>
                <w:lang w:val="bg-BG"/>
              </w:rPr>
              <w:t>.</w:t>
            </w:r>
          </w:p>
          <w:p w14:paraId="3E550197" w14:textId="77777777" w:rsidR="003F3A73" w:rsidRPr="00FE6AC6" w:rsidRDefault="003F3A73" w:rsidP="0063575E">
            <w:pPr>
              <w:widowControl w:val="0"/>
              <w:tabs>
                <w:tab w:val="clear" w:pos="567"/>
              </w:tabs>
              <w:spacing w:line="240" w:lineRule="auto"/>
              <w:ind w:left="432" w:hanging="432"/>
              <w:rPr>
                <w:color w:val="000000"/>
                <w:lang w:val="bg-BG"/>
              </w:rPr>
            </w:pPr>
            <w:r w:rsidRPr="00FE6AC6">
              <w:rPr>
                <w:color w:val="000000"/>
                <w:lang w:val="ru-RU"/>
              </w:rPr>
              <w:t>4.</w:t>
            </w:r>
            <w:r w:rsidRPr="00FE6AC6">
              <w:rPr>
                <w:color w:val="000000"/>
                <w:lang w:val="ru-RU"/>
              </w:rPr>
              <w:tab/>
            </w:r>
            <w:r w:rsidRPr="00FE6AC6">
              <w:rPr>
                <w:color w:val="000000"/>
                <w:lang w:val="bg-BG"/>
              </w:rPr>
              <w:t>Ако цитопенията персистира в продължение на</w:t>
            </w:r>
            <w:r w:rsidRPr="00FE6AC6">
              <w:rPr>
                <w:color w:val="000000"/>
                <w:lang w:val="en-US"/>
              </w:rPr>
              <w:t> </w:t>
            </w:r>
            <w:r w:rsidRPr="00FE6AC6">
              <w:rPr>
                <w:color w:val="000000"/>
                <w:lang w:val="ru-RU"/>
              </w:rPr>
              <w:t>4 </w:t>
            </w:r>
            <w:r w:rsidRPr="00FE6AC6">
              <w:rPr>
                <w:color w:val="000000"/>
                <w:lang w:val="bg-BG"/>
              </w:rPr>
              <w:t>седмици и все още не е свързана с левкемията, прекратете приложението на Glivec до ANC ≥1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тромбоцитите ≥20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след това възобновете лечението с</w:t>
            </w:r>
            <w:r w:rsidRPr="00FE6AC6">
              <w:rPr>
                <w:color w:val="000000"/>
                <w:lang w:val="en-US"/>
              </w:rPr>
              <w:t> </w:t>
            </w:r>
            <w:r w:rsidRPr="00FE6AC6">
              <w:rPr>
                <w:color w:val="000000"/>
                <w:lang w:val="ru-RU"/>
              </w:rPr>
              <w:t>2</w:t>
            </w:r>
            <w:r w:rsidRPr="00FE6AC6">
              <w:rPr>
                <w:color w:val="000000"/>
                <w:lang w:val="bg-BG"/>
              </w:rPr>
              <w:t>00 mg</w:t>
            </w:r>
            <w:r w:rsidRPr="00FE6AC6">
              <w:rPr>
                <w:color w:val="000000"/>
                <w:lang w:val="ru-RU"/>
              </w:rPr>
              <w:t>/</w:t>
            </w:r>
            <w:r w:rsidRPr="00FE6AC6">
              <w:rPr>
                <w:color w:val="000000"/>
                <w:lang w:val="en-US"/>
              </w:rPr>
              <w:t>m</w:t>
            </w:r>
            <w:r w:rsidRPr="00FE6AC6">
              <w:rPr>
                <w:color w:val="000000"/>
                <w:vertAlign w:val="superscript"/>
                <w:lang w:val="ru-RU"/>
              </w:rPr>
              <w:t>2</w:t>
            </w:r>
            <w:r w:rsidRPr="00FE6AC6">
              <w:rPr>
                <w:color w:val="000000"/>
                <w:lang w:val="bg-BG"/>
              </w:rPr>
              <w:t>.</w:t>
            </w:r>
          </w:p>
        </w:tc>
      </w:tr>
      <w:tr w:rsidR="003F3A73" w:rsidRPr="004015AA" w14:paraId="3E5501A0" w14:textId="77777777" w:rsidTr="00F40727">
        <w:trPr>
          <w:cantSplit/>
        </w:trPr>
        <w:tc>
          <w:tcPr>
            <w:tcW w:w="2059" w:type="dxa"/>
          </w:tcPr>
          <w:p w14:paraId="3E550199" w14:textId="77777777" w:rsidR="003F3A73" w:rsidRPr="00FE6AC6" w:rsidRDefault="003F3A73" w:rsidP="008143B1">
            <w:pPr>
              <w:keepNext/>
              <w:widowControl w:val="0"/>
              <w:spacing w:line="240" w:lineRule="auto"/>
              <w:rPr>
                <w:color w:val="000000"/>
                <w:lang w:val="bg-BG"/>
              </w:rPr>
            </w:pPr>
            <w:r w:rsidRPr="00FE6AC6">
              <w:rPr>
                <w:color w:val="000000"/>
                <w:lang w:val="bg-BG"/>
              </w:rPr>
              <w:t>ДФСП</w:t>
            </w:r>
          </w:p>
          <w:p w14:paraId="3E55019A" w14:textId="77777777" w:rsidR="003F3A73" w:rsidRPr="00FE6AC6" w:rsidRDefault="003F3A73" w:rsidP="008143B1">
            <w:pPr>
              <w:keepNext/>
              <w:widowControl w:val="0"/>
              <w:spacing w:line="240" w:lineRule="auto"/>
              <w:rPr>
                <w:color w:val="000000"/>
                <w:lang w:val="bg-BG"/>
              </w:rPr>
            </w:pPr>
            <w:r w:rsidRPr="00FE6AC6">
              <w:rPr>
                <w:color w:val="000000"/>
                <w:lang w:val="bg-BG"/>
              </w:rPr>
              <w:t>(в доза от 800 </w:t>
            </w:r>
            <w:r w:rsidRPr="00FE6AC6">
              <w:rPr>
                <w:color w:val="000000"/>
                <w:lang w:val="en-US"/>
              </w:rPr>
              <w:t>mg</w:t>
            </w:r>
            <w:r w:rsidRPr="00FE6AC6">
              <w:rPr>
                <w:color w:val="000000"/>
                <w:lang w:val="bg-BG"/>
              </w:rPr>
              <w:t>)</w:t>
            </w:r>
          </w:p>
        </w:tc>
        <w:tc>
          <w:tcPr>
            <w:tcW w:w="2459" w:type="dxa"/>
          </w:tcPr>
          <w:p w14:paraId="3E55019B" w14:textId="77777777" w:rsidR="003F3A73" w:rsidRPr="00FE6AC6" w:rsidRDefault="003F3A73" w:rsidP="008143B1">
            <w:pPr>
              <w:keepNext/>
              <w:widowControl w:val="0"/>
              <w:spacing w:line="240" w:lineRule="auto"/>
              <w:rPr>
                <w:color w:val="000000"/>
                <w:lang w:val="bg-BG"/>
              </w:rPr>
            </w:pPr>
            <w:r w:rsidRPr="00FE6AC6">
              <w:rPr>
                <w:color w:val="000000"/>
                <w:lang w:val="bg-BG"/>
              </w:rPr>
              <w:t>ANC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w:t>
            </w:r>
          </w:p>
          <w:p w14:paraId="3E55019C" w14:textId="77777777" w:rsidR="003F3A73" w:rsidRPr="00FE6AC6" w:rsidRDefault="003F3A73" w:rsidP="008143B1">
            <w:pPr>
              <w:keepNext/>
              <w:widowControl w:val="0"/>
              <w:spacing w:line="240" w:lineRule="auto"/>
              <w:rPr>
                <w:color w:val="000000"/>
                <w:lang w:val="bg-BG"/>
              </w:rPr>
            </w:pPr>
            <w:r w:rsidRPr="00FE6AC6">
              <w:rPr>
                <w:color w:val="000000"/>
                <w:lang w:val="bg-BG"/>
              </w:rPr>
              <w:t>тромбоцити &lt;</w:t>
            </w:r>
            <w:r w:rsidRPr="00FE6AC6">
              <w:rPr>
                <w:color w:val="000000"/>
                <w:lang w:val="en-US"/>
              </w:rPr>
              <w:t> </w:t>
            </w:r>
            <w:r w:rsidRPr="00FE6AC6">
              <w:rPr>
                <w:color w:val="000000"/>
                <w:lang w:val="bg-BG"/>
              </w:rPr>
              <w:t>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tc>
        <w:tc>
          <w:tcPr>
            <w:tcW w:w="4804" w:type="dxa"/>
          </w:tcPr>
          <w:p w14:paraId="3E55019D" w14:textId="77777777" w:rsidR="003F3A73" w:rsidRPr="00FE6AC6" w:rsidRDefault="003F3A73" w:rsidP="008143B1">
            <w:pPr>
              <w:keepNext/>
              <w:widowControl w:val="0"/>
              <w:tabs>
                <w:tab w:val="clear" w:pos="567"/>
              </w:tabs>
              <w:spacing w:line="240" w:lineRule="auto"/>
              <w:ind w:left="432" w:hanging="432"/>
              <w:rPr>
                <w:color w:val="000000"/>
                <w:lang w:val="ru-RU"/>
              </w:rPr>
            </w:pPr>
            <w:r w:rsidRPr="00FE6AC6">
              <w:rPr>
                <w:color w:val="000000"/>
                <w:lang w:val="ru-RU"/>
              </w:rPr>
              <w:t>1.</w:t>
            </w:r>
            <w:r w:rsidRPr="00FE6AC6">
              <w:rPr>
                <w:color w:val="000000"/>
                <w:lang w:val="ru-RU"/>
              </w:rPr>
              <w:tab/>
            </w:r>
            <w:r w:rsidRPr="00FE6AC6">
              <w:rPr>
                <w:color w:val="000000"/>
                <w:lang w:val="bg-BG"/>
              </w:rPr>
              <w:t>Прекратете приема на Glivec, до възстановяването на ANC ≥1,5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тромбоцитите ≥</w:t>
            </w:r>
            <w:r w:rsidRPr="00FE6AC6">
              <w:rPr>
                <w:color w:val="000000"/>
                <w:lang w:val="en-US"/>
              </w:rPr>
              <w:t> </w:t>
            </w:r>
            <w:r w:rsidRPr="00FE6AC6">
              <w:rPr>
                <w:color w:val="000000"/>
                <w:lang w:val="ru-RU"/>
              </w:rPr>
              <w:t>75 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p>
          <w:p w14:paraId="3E55019E" w14:textId="77777777" w:rsidR="003F3A73" w:rsidRPr="00FE6AC6" w:rsidRDefault="003F3A73" w:rsidP="008143B1">
            <w:pPr>
              <w:keepNext/>
              <w:widowControl w:val="0"/>
              <w:tabs>
                <w:tab w:val="clear" w:pos="567"/>
              </w:tabs>
              <w:spacing w:line="240" w:lineRule="auto"/>
              <w:ind w:left="432" w:hanging="432"/>
              <w:rPr>
                <w:color w:val="000000"/>
                <w:lang w:val="bg-BG"/>
              </w:rPr>
            </w:pPr>
            <w:r w:rsidRPr="00FE6AC6">
              <w:rPr>
                <w:color w:val="000000"/>
                <w:lang w:val="ru-RU"/>
              </w:rPr>
              <w:t>2.</w:t>
            </w:r>
            <w:r w:rsidRPr="00FE6AC6">
              <w:rPr>
                <w:color w:val="000000"/>
                <w:lang w:val="ru-RU"/>
              </w:rPr>
              <w:tab/>
            </w:r>
            <w:r w:rsidRPr="00FE6AC6">
              <w:rPr>
                <w:color w:val="000000"/>
                <w:lang w:val="bg-BG"/>
              </w:rPr>
              <w:t>Възобновете лечението с Glivec на 6</w:t>
            </w:r>
            <w:r w:rsidRPr="00FE6AC6">
              <w:rPr>
                <w:color w:val="000000"/>
                <w:lang w:val="ru-RU"/>
              </w:rPr>
              <w:t>00 </w:t>
            </w:r>
            <w:r w:rsidRPr="00FE6AC6">
              <w:rPr>
                <w:color w:val="000000"/>
                <w:lang w:val="en-US"/>
              </w:rPr>
              <w:t>mg</w:t>
            </w:r>
            <w:r w:rsidRPr="00FE6AC6">
              <w:rPr>
                <w:color w:val="000000"/>
                <w:lang w:val="bg-BG"/>
              </w:rPr>
              <w:t>.</w:t>
            </w:r>
          </w:p>
          <w:p w14:paraId="3E55019F" w14:textId="77777777" w:rsidR="003F3A73" w:rsidRPr="00FE6AC6" w:rsidRDefault="003F3A73" w:rsidP="008143B1">
            <w:pPr>
              <w:keepNext/>
              <w:widowControl w:val="0"/>
              <w:tabs>
                <w:tab w:val="clear" w:pos="567"/>
              </w:tabs>
              <w:spacing w:line="240" w:lineRule="auto"/>
              <w:ind w:left="432" w:hanging="432"/>
              <w:rPr>
                <w:color w:val="000000"/>
                <w:lang w:val="bg-BG"/>
              </w:rPr>
            </w:pPr>
            <w:r w:rsidRPr="00FE6AC6">
              <w:rPr>
                <w:color w:val="000000"/>
                <w:lang w:val="bg-BG"/>
              </w:rPr>
              <w:t>3.</w:t>
            </w:r>
            <w:r w:rsidRPr="00FE6AC6">
              <w:rPr>
                <w:color w:val="000000"/>
                <w:lang w:val="bg-BG"/>
              </w:rPr>
              <w:tab/>
              <w:t>В случай на повторно понижение на ANC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и/или тромбоцити &lt;50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повторете стъпка</w:t>
            </w:r>
            <w:r w:rsidRPr="00FE6AC6">
              <w:rPr>
                <w:color w:val="000000"/>
                <w:lang w:val="en-US"/>
              </w:rPr>
              <w:t> </w:t>
            </w:r>
            <w:r w:rsidRPr="00FE6AC6">
              <w:rPr>
                <w:color w:val="000000"/>
                <w:lang w:val="bg-BG"/>
              </w:rPr>
              <w:t>1 и възобновете лечението с Glivec с намалена доза от</w:t>
            </w:r>
            <w:r w:rsidRPr="00FE6AC6">
              <w:rPr>
                <w:color w:val="000000"/>
                <w:lang w:val="en-US"/>
              </w:rPr>
              <w:t> </w:t>
            </w:r>
            <w:r w:rsidRPr="00FE6AC6">
              <w:rPr>
                <w:color w:val="000000"/>
                <w:lang w:val="ru-RU"/>
              </w:rPr>
              <w:t>4</w:t>
            </w:r>
            <w:r w:rsidRPr="00FE6AC6">
              <w:rPr>
                <w:color w:val="000000"/>
                <w:lang w:val="bg-BG"/>
              </w:rPr>
              <w:t>00 mg.</w:t>
            </w:r>
          </w:p>
        </w:tc>
      </w:tr>
      <w:tr w:rsidR="003F3A73" w:rsidRPr="004015AA" w14:paraId="3E5501A3" w14:textId="77777777" w:rsidTr="00F40727">
        <w:trPr>
          <w:cantSplit/>
        </w:trPr>
        <w:tc>
          <w:tcPr>
            <w:tcW w:w="9322" w:type="dxa"/>
            <w:gridSpan w:val="3"/>
          </w:tcPr>
          <w:p w14:paraId="3E5501A1" w14:textId="77777777" w:rsidR="003F3A73" w:rsidRPr="00FE6AC6" w:rsidRDefault="003F3A73" w:rsidP="008143B1">
            <w:pPr>
              <w:widowControl w:val="0"/>
              <w:spacing w:line="240" w:lineRule="auto"/>
              <w:rPr>
                <w:color w:val="000000"/>
                <w:lang w:val="bg-BG"/>
              </w:rPr>
            </w:pPr>
            <w:r w:rsidRPr="00FE6AC6">
              <w:rPr>
                <w:color w:val="000000"/>
                <w:lang w:val="bg-BG"/>
              </w:rPr>
              <w:t>ANC = абсолютен брой на неутрофилите</w:t>
            </w:r>
          </w:p>
          <w:p w14:paraId="3E5501A2" w14:textId="77777777" w:rsidR="003F3A73" w:rsidRPr="00FE6AC6" w:rsidRDefault="003F3A73" w:rsidP="008143B1">
            <w:pPr>
              <w:widowControl w:val="0"/>
              <w:spacing w:line="240" w:lineRule="auto"/>
              <w:rPr>
                <w:color w:val="000000"/>
                <w:lang w:val="bg-BG"/>
              </w:rPr>
            </w:pPr>
            <w:r w:rsidRPr="00FE6AC6">
              <w:rPr>
                <w:color w:val="000000"/>
                <w:vertAlign w:val="superscript"/>
                <w:lang w:val="en-US"/>
              </w:rPr>
              <w:t>a</w:t>
            </w:r>
            <w:r w:rsidRPr="00FE6AC6">
              <w:rPr>
                <w:color w:val="000000"/>
                <w:lang w:val="bg-BG"/>
              </w:rPr>
              <w:t xml:space="preserve"> поява след поне</w:t>
            </w:r>
            <w:r w:rsidRPr="00FE6AC6">
              <w:rPr>
                <w:color w:val="000000"/>
                <w:lang w:val="en-US"/>
              </w:rPr>
              <w:t> </w:t>
            </w:r>
            <w:r w:rsidRPr="00FE6AC6">
              <w:rPr>
                <w:color w:val="000000"/>
                <w:lang w:val="bg-BG"/>
              </w:rPr>
              <w:t>1 месец лечение</w:t>
            </w:r>
          </w:p>
        </w:tc>
      </w:tr>
    </w:tbl>
    <w:p w14:paraId="3E5501A4" w14:textId="77777777" w:rsidR="009169F2" w:rsidRPr="00FE6AC6" w:rsidRDefault="009169F2" w:rsidP="0063575E">
      <w:pPr>
        <w:widowControl w:val="0"/>
        <w:spacing w:line="240" w:lineRule="auto"/>
        <w:rPr>
          <w:color w:val="000000"/>
          <w:lang w:val="bg-BG"/>
        </w:rPr>
      </w:pPr>
    </w:p>
    <w:p w14:paraId="3E5501A5" w14:textId="77777777" w:rsidR="009169F2" w:rsidRPr="00FE6AC6" w:rsidRDefault="009169F2" w:rsidP="0063575E">
      <w:pPr>
        <w:keepNext/>
        <w:widowControl w:val="0"/>
        <w:spacing w:line="240" w:lineRule="auto"/>
        <w:rPr>
          <w:color w:val="000000"/>
          <w:u w:val="single"/>
          <w:lang w:val="bg-BG"/>
        </w:rPr>
      </w:pPr>
      <w:r w:rsidRPr="00FE6AC6">
        <w:rPr>
          <w:color w:val="000000"/>
          <w:u w:val="single"/>
          <w:lang w:val="bg-BG"/>
        </w:rPr>
        <w:t>Специални популации</w:t>
      </w:r>
    </w:p>
    <w:p w14:paraId="3E5501A6" w14:textId="77777777" w:rsidR="009169F2" w:rsidRPr="00FE6AC6" w:rsidRDefault="00C67129" w:rsidP="0063575E">
      <w:pPr>
        <w:widowControl w:val="0"/>
        <w:spacing w:line="240" w:lineRule="auto"/>
        <w:rPr>
          <w:color w:val="000000"/>
          <w:lang w:val="bg-BG"/>
        </w:rPr>
      </w:pPr>
      <w:r w:rsidRPr="00FE6AC6">
        <w:rPr>
          <w:i/>
          <w:color w:val="000000"/>
          <w:lang w:val="bg-BG"/>
        </w:rPr>
        <w:t>Педиатрична у</w:t>
      </w:r>
      <w:r w:rsidR="009169F2" w:rsidRPr="00FE6AC6">
        <w:rPr>
          <w:i/>
          <w:color w:val="000000"/>
          <w:lang w:val="bg-BG"/>
        </w:rPr>
        <w:t>потреба:</w:t>
      </w:r>
      <w:r w:rsidR="009169F2" w:rsidRPr="00FE6AC6">
        <w:rPr>
          <w:color w:val="000000"/>
          <w:lang w:val="bg-BG"/>
        </w:rPr>
        <w:t xml:space="preserve"> Липсва опит при деца с ХМЛ под</w:t>
      </w:r>
      <w:r w:rsidR="009169F2" w:rsidRPr="00FE6AC6">
        <w:rPr>
          <w:color w:val="000000"/>
          <w:lang w:val="en-US"/>
        </w:rPr>
        <w:t> </w:t>
      </w:r>
      <w:r w:rsidR="009169F2" w:rsidRPr="00FE6AC6">
        <w:rPr>
          <w:color w:val="000000"/>
          <w:lang w:val="bg-BG"/>
        </w:rPr>
        <w:t>2</w:t>
      </w:r>
      <w:r w:rsidR="009169F2" w:rsidRPr="00FE6AC6">
        <w:rPr>
          <w:color w:val="000000"/>
          <w:lang w:val="en-US"/>
        </w:rPr>
        <w:t> </w:t>
      </w:r>
      <w:r w:rsidR="009169F2" w:rsidRPr="00FE6AC6">
        <w:rPr>
          <w:color w:val="000000"/>
          <w:lang w:val="bg-BG"/>
        </w:rPr>
        <w:t xml:space="preserve">годишна възраст </w:t>
      </w:r>
      <w:r w:rsidR="0075142D" w:rsidRPr="00FE6AC6">
        <w:rPr>
          <w:color w:val="000000"/>
          <w:lang w:val="bg-BG"/>
        </w:rPr>
        <w:t xml:space="preserve">и с </w:t>
      </w:r>
      <w:r w:rsidR="0075142D" w:rsidRPr="00FE6AC6">
        <w:rPr>
          <w:color w:val="000000"/>
          <w:lang w:val="en-US"/>
        </w:rPr>
        <w:t>Ph</w:t>
      </w:r>
      <w:r w:rsidR="0075142D" w:rsidRPr="00FE6AC6">
        <w:rPr>
          <w:color w:val="000000"/>
          <w:lang w:val="bg-BG"/>
        </w:rPr>
        <w:t xml:space="preserve">+ОЛЛ под 1 годишна възраст </w:t>
      </w:r>
      <w:r w:rsidR="009169F2" w:rsidRPr="00FE6AC6">
        <w:rPr>
          <w:color w:val="000000"/>
          <w:lang w:val="bg-BG"/>
        </w:rPr>
        <w:t xml:space="preserve">(вж. точка 5.1). Опитът при деца с </w:t>
      </w:r>
      <w:r w:rsidR="009169F2" w:rsidRPr="00FE6AC6">
        <w:rPr>
          <w:color w:val="000000"/>
          <w:szCs w:val="22"/>
          <w:lang w:val="bg-BG"/>
        </w:rPr>
        <w:t>МДС/МПЗ</w:t>
      </w:r>
      <w:r w:rsidRPr="00FE6AC6">
        <w:rPr>
          <w:color w:val="000000"/>
          <w:szCs w:val="22"/>
          <w:lang w:val="bg-BG"/>
        </w:rPr>
        <w:t>,</w:t>
      </w:r>
      <w:r w:rsidR="009169F2" w:rsidRPr="00FE6AC6">
        <w:rPr>
          <w:color w:val="000000"/>
          <w:szCs w:val="22"/>
          <w:lang w:val="bg-BG"/>
        </w:rPr>
        <w:t xml:space="preserve"> </w:t>
      </w:r>
      <w:r w:rsidR="009169F2" w:rsidRPr="00FE6AC6">
        <w:rPr>
          <w:color w:val="000000"/>
          <w:lang w:val="bg-BG"/>
        </w:rPr>
        <w:t>ДФСП</w:t>
      </w:r>
      <w:r w:rsidRPr="00FE6AC6">
        <w:rPr>
          <w:color w:val="000000"/>
          <w:lang w:val="bg-BG"/>
        </w:rPr>
        <w:t>,</w:t>
      </w:r>
      <w:r w:rsidR="009169F2" w:rsidRPr="00FE6AC6">
        <w:rPr>
          <w:color w:val="000000"/>
          <w:lang w:val="bg-BG"/>
        </w:rPr>
        <w:t xml:space="preserve"> ГИСТ</w:t>
      </w:r>
      <w:r w:rsidR="009169F2" w:rsidRPr="00FE6AC6">
        <w:rPr>
          <w:color w:val="000000"/>
          <w:szCs w:val="22"/>
          <w:lang w:val="bg-BG"/>
        </w:rPr>
        <w:t xml:space="preserve"> и ХЕС/ХЕЛ</w:t>
      </w:r>
      <w:r w:rsidR="0075142D" w:rsidRPr="00FE6AC6">
        <w:rPr>
          <w:color w:val="000000"/>
          <w:szCs w:val="22"/>
          <w:lang w:val="bg-BG"/>
        </w:rPr>
        <w:t xml:space="preserve"> е много ограничен</w:t>
      </w:r>
      <w:r w:rsidR="009169F2" w:rsidRPr="00FE6AC6">
        <w:rPr>
          <w:color w:val="000000"/>
          <w:lang w:val="bg-BG"/>
        </w:rPr>
        <w:t>.</w:t>
      </w:r>
    </w:p>
    <w:p w14:paraId="3E5501A7" w14:textId="77777777" w:rsidR="005D7FC8" w:rsidRPr="00FE6AC6" w:rsidRDefault="005D7FC8" w:rsidP="0063575E">
      <w:pPr>
        <w:widowControl w:val="0"/>
        <w:spacing w:line="240" w:lineRule="auto"/>
        <w:rPr>
          <w:color w:val="000000"/>
          <w:szCs w:val="22"/>
          <w:lang w:val="bg-BG"/>
        </w:rPr>
      </w:pPr>
    </w:p>
    <w:p w14:paraId="3E5501A8" w14:textId="77777777" w:rsidR="005D7FC8" w:rsidRPr="00FE6AC6" w:rsidRDefault="005D7FC8" w:rsidP="0063575E">
      <w:pPr>
        <w:widowControl w:val="0"/>
        <w:spacing w:line="240" w:lineRule="auto"/>
        <w:rPr>
          <w:color w:val="000000"/>
          <w:szCs w:val="22"/>
          <w:lang w:val="bg-BG"/>
        </w:rPr>
      </w:pPr>
      <w:r w:rsidRPr="00FE6AC6">
        <w:rPr>
          <w:color w:val="000000"/>
          <w:szCs w:val="22"/>
          <w:lang w:val="bg-BG"/>
        </w:rPr>
        <w:t xml:space="preserve">Безопасността и ефикасността на иматиниб при деца с МДС/МПЗ, ДФСП, ГИСТ и ХЕС/ХЕЛ на възраст под 18 години не са установени </w:t>
      </w:r>
      <w:r w:rsidR="003F3A73" w:rsidRPr="00FE6AC6">
        <w:rPr>
          <w:color w:val="000000"/>
          <w:szCs w:val="22"/>
          <w:lang w:val="bg-BG"/>
        </w:rPr>
        <w:t>в</w:t>
      </w:r>
      <w:r w:rsidRPr="00FE6AC6">
        <w:rPr>
          <w:color w:val="000000"/>
          <w:szCs w:val="22"/>
          <w:lang w:val="bg-BG"/>
        </w:rPr>
        <w:t xml:space="preserve"> клинични изпитвания. Наличните понастоящем публикувани данни са описани в точка 5.1, </w:t>
      </w:r>
      <w:r w:rsidRPr="00FE6AC6">
        <w:rPr>
          <w:noProof/>
          <w:szCs w:val="24"/>
          <w:lang w:val="bg-BG"/>
        </w:rPr>
        <w:t>но препоръки за дозировката не могат да бъдат дадени</w:t>
      </w:r>
      <w:r w:rsidRPr="00FE6AC6">
        <w:rPr>
          <w:color w:val="000000"/>
          <w:szCs w:val="22"/>
          <w:lang w:val="bg-BG"/>
        </w:rPr>
        <w:t>.</w:t>
      </w:r>
    </w:p>
    <w:p w14:paraId="3E5501A9" w14:textId="77777777" w:rsidR="009169F2" w:rsidRPr="00FE6AC6" w:rsidRDefault="009169F2" w:rsidP="0063575E">
      <w:pPr>
        <w:widowControl w:val="0"/>
        <w:spacing w:line="240" w:lineRule="auto"/>
        <w:rPr>
          <w:color w:val="000000"/>
          <w:lang w:val="bg-BG"/>
        </w:rPr>
      </w:pPr>
    </w:p>
    <w:p w14:paraId="3E5501AA" w14:textId="77777777" w:rsidR="009169F2" w:rsidRPr="00FE6AC6" w:rsidRDefault="009169F2" w:rsidP="0063575E">
      <w:pPr>
        <w:widowControl w:val="0"/>
        <w:spacing w:line="240" w:lineRule="auto"/>
        <w:rPr>
          <w:color w:val="000000"/>
          <w:lang w:val="bg-BG"/>
        </w:rPr>
      </w:pPr>
      <w:r w:rsidRPr="00FE6AC6">
        <w:rPr>
          <w:i/>
          <w:color w:val="000000"/>
          <w:lang w:val="bg-BG"/>
        </w:rPr>
        <w:t>Чернодробна недостатъчност:</w:t>
      </w:r>
      <w:r w:rsidRPr="00FE6AC6">
        <w:rPr>
          <w:color w:val="000000"/>
          <w:lang w:val="bg-BG"/>
        </w:rPr>
        <w:t xml:space="preserve"> Иматиниб се метаболизира основно през черния дроб. На пациентите с леко, умерено или тежко нарушена чернодробна функция трябва да се дава минималната препоръчвана доза от</w:t>
      </w:r>
      <w:r w:rsidRPr="00FE6AC6">
        <w:rPr>
          <w:color w:val="000000"/>
          <w:lang w:val="en-US"/>
        </w:rPr>
        <w:t> </w:t>
      </w:r>
      <w:r w:rsidRPr="00FE6AC6">
        <w:rPr>
          <w:color w:val="000000"/>
          <w:lang w:val="bg-BG"/>
        </w:rPr>
        <w:t>400</w:t>
      </w:r>
      <w:r w:rsidRPr="00FE6AC6">
        <w:rPr>
          <w:color w:val="000000"/>
          <w:lang w:val="en-US"/>
        </w:rPr>
        <w:t> </w:t>
      </w:r>
      <w:r w:rsidRPr="00FE6AC6">
        <w:rPr>
          <w:color w:val="000000"/>
          <w:lang w:val="bg-BG"/>
        </w:rPr>
        <w:t>mg дневно. Дозата може да се намали, ако не се понася (вж. точки</w:t>
      </w:r>
      <w:r w:rsidRPr="00FE6AC6">
        <w:rPr>
          <w:color w:val="000000"/>
          <w:lang w:val="en-US"/>
        </w:rPr>
        <w:t> </w:t>
      </w:r>
      <w:r w:rsidRPr="00FE6AC6">
        <w:rPr>
          <w:color w:val="000000"/>
          <w:lang w:val="bg-BG"/>
        </w:rPr>
        <w:t>4.4, 4.8</w:t>
      </w:r>
      <w:r w:rsidRPr="00FE6AC6">
        <w:rPr>
          <w:rFonts w:ascii="TimesNewRoman" w:hAnsi="TimesNewRoman"/>
          <w:color w:val="000000"/>
          <w:lang w:val="en-US"/>
        </w:rPr>
        <w:t> </w:t>
      </w:r>
      <w:r w:rsidRPr="00FE6AC6">
        <w:rPr>
          <w:color w:val="000000"/>
          <w:lang w:val="bg-BG"/>
        </w:rPr>
        <w:t>и</w:t>
      </w:r>
      <w:r w:rsidRPr="00FE6AC6">
        <w:rPr>
          <w:color w:val="000000"/>
          <w:lang w:val="en-US"/>
        </w:rPr>
        <w:t> </w:t>
      </w:r>
      <w:r w:rsidRPr="00FE6AC6">
        <w:rPr>
          <w:color w:val="000000"/>
          <w:lang w:val="bg-BG"/>
        </w:rPr>
        <w:t>5.2).</w:t>
      </w:r>
    </w:p>
    <w:p w14:paraId="3E5501AB" w14:textId="77777777" w:rsidR="009169F2" w:rsidRPr="00FE6AC6" w:rsidRDefault="009169F2" w:rsidP="0063575E">
      <w:pPr>
        <w:widowControl w:val="0"/>
        <w:spacing w:line="240" w:lineRule="auto"/>
        <w:rPr>
          <w:color w:val="000000"/>
          <w:lang w:val="bg-BG"/>
        </w:rPr>
      </w:pPr>
    </w:p>
    <w:p w14:paraId="3E5501AC" w14:textId="77777777" w:rsidR="009169F2" w:rsidRPr="00FE6AC6" w:rsidRDefault="009169F2" w:rsidP="008143B1">
      <w:pPr>
        <w:keepNext/>
        <w:widowControl w:val="0"/>
        <w:spacing w:line="240" w:lineRule="auto"/>
        <w:rPr>
          <w:color w:val="000000"/>
          <w:lang w:val="de-CH"/>
        </w:rPr>
      </w:pPr>
      <w:r w:rsidRPr="00FE6AC6">
        <w:rPr>
          <w:color w:val="000000"/>
          <w:lang w:val="bg-BG"/>
        </w:rPr>
        <w:t>Класификация на чернодробната дисфункция:</w:t>
      </w:r>
    </w:p>
    <w:p w14:paraId="3E5501AD" w14:textId="77777777" w:rsidR="009169F2" w:rsidRPr="00FE6AC6" w:rsidRDefault="009169F2" w:rsidP="008143B1">
      <w:pPr>
        <w:keepNext/>
        <w:widowControl w:val="0"/>
        <w:spacing w:line="240" w:lineRule="auto"/>
        <w:rPr>
          <w:color w:val="000000"/>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4928"/>
      </w:tblGrid>
      <w:tr w:rsidR="009169F2" w:rsidRPr="00FE6AC6" w14:paraId="3E5501B0" w14:textId="77777777" w:rsidTr="008143B1">
        <w:trPr>
          <w:cantSplit/>
        </w:trPr>
        <w:tc>
          <w:tcPr>
            <w:tcW w:w="4219" w:type="dxa"/>
          </w:tcPr>
          <w:p w14:paraId="3E5501AE" w14:textId="77777777" w:rsidR="009169F2" w:rsidRPr="00FE6AC6" w:rsidRDefault="009169F2" w:rsidP="008143B1">
            <w:pPr>
              <w:keepNext/>
              <w:widowControl w:val="0"/>
              <w:spacing w:line="240" w:lineRule="auto"/>
              <w:rPr>
                <w:color w:val="000000"/>
                <w:lang w:val="bg-BG"/>
              </w:rPr>
            </w:pPr>
            <w:r w:rsidRPr="00FE6AC6">
              <w:rPr>
                <w:color w:val="000000"/>
                <w:lang w:val="bg-BG"/>
              </w:rPr>
              <w:t>Увреждане на чернодробната функция</w:t>
            </w:r>
          </w:p>
        </w:tc>
        <w:tc>
          <w:tcPr>
            <w:tcW w:w="4928" w:type="dxa"/>
          </w:tcPr>
          <w:p w14:paraId="3E5501AF" w14:textId="77777777" w:rsidR="009169F2" w:rsidRPr="00FE6AC6" w:rsidRDefault="009169F2" w:rsidP="008143B1">
            <w:pPr>
              <w:keepNext/>
              <w:widowControl w:val="0"/>
              <w:spacing w:line="240" w:lineRule="auto"/>
              <w:rPr>
                <w:color w:val="000000"/>
                <w:lang w:val="bg-BG"/>
              </w:rPr>
            </w:pPr>
            <w:r w:rsidRPr="00FE6AC6">
              <w:rPr>
                <w:color w:val="000000"/>
                <w:lang w:val="bg-BG"/>
              </w:rPr>
              <w:t>Функционални чернодробни изследвания</w:t>
            </w:r>
          </w:p>
        </w:tc>
      </w:tr>
      <w:tr w:rsidR="009169F2" w:rsidRPr="004015AA" w14:paraId="3E5501B4" w14:textId="77777777" w:rsidTr="008143B1">
        <w:trPr>
          <w:cantSplit/>
        </w:trPr>
        <w:tc>
          <w:tcPr>
            <w:tcW w:w="4219" w:type="dxa"/>
          </w:tcPr>
          <w:p w14:paraId="3E5501B1" w14:textId="77777777" w:rsidR="009169F2" w:rsidRPr="00FE6AC6" w:rsidRDefault="009169F2" w:rsidP="008143B1">
            <w:pPr>
              <w:keepNext/>
              <w:widowControl w:val="0"/>
              <w:spacing w:line="240" w:lineRule="auto"/>
              <w:rPr>
                <w:color w:val="000000"/>
                <w:lang w:val="bg-BG"/>
              </w:rPr>
            </w:pPr>
            <w:r w:rsidRPr="00FE6AC6">
              <w:rPr>
                <w:color w:val="000000"/>
                <w:lang w:val="bg-BG"/>
              </w:rPr>
              <w:t>Леко</w:t>
            </w:r>
          </w:p>
        </w:tc>
        <w:tc>
          <w:tcPr>
            <w:tcW w:w="4928" w:type="dxa"/>
          </w:tcPr>
          <w:p w14:paraId="3E5501B2" w14:textId="77777777" w:rsidR="009169F2" w:rsidRPr="00FE6AC6" w:rsidRDefault="009169F2" w:rsidP="008143B1">
            <w:pPr>
              <w:keepNext/>
              <w:widowControl w:val="0"/>
              <w:spacing w:line="240" w:lineRule="auto"/>
              <w:rPr>
                <w:color w:val="000000"/>
                <w:lang w:val="bg-BG"/>
              </w:rPr>
            </w:pPr>
            <w:r w:rsidRPr="00FE6AC6">
              <w:rPr>
                <w:color w:val="000000"/>
                <w:lang w:val="bg-BG"/>
              </w:rPr>
              <w:t>Общ билирубин: = 1,5</w:t>
            </w:r>
            <w:r w:rsidRPr="00FE6AC6">
              <w:rPr>
                <w:color w:val="000000"/>
                <w:lang w:val="en-US"/>
              </w:rPr>
              <w:t> </w:t>
            </w:r>
            <w:r w:rsidRPr="00FE6AC6">
              <w:rPr>
                <w:color w:val="000000"/>
                <w:lang w:val="bg-BG"/>
              </w:rPr>
              <w:t>ULN</w:t>
            </w:r>
          </w:p>
          <w:p w14:paraId="3E5501B3" w14:textId="77777777" w:rsidR="009169F2" w:rsidRPr="00FE6AC6" w:rsidRDefault="009169F2" w:rsidP="008143B1">
            <w:pPr>
              <w:keepNext/>
              <w:widowControl w:val="0"/>
              <w:spacing w:line="240" w:lineRule="auto"/>
              <w:rPr>
                <w:color w:val="000000"/>
                <w:lang w:val="bg-BG"/>
              </w:rPr>
            </w:pPr>
            <w:r w:rsidRPr="00FE6AC6">
              <w:rPr>
                <w:color w:val="000000"/>
                <w:lang w:val="bg-BG"/>
              </w:rPr>
              <w:t>AST: &gt;ULN (може да е нормален или &lt;ULN, ако общият билирубин е &gt;ULN)</w:t>
            </w:r>
          </w:p>
        </w:tc>
      </w:tr>
      <w:tr w:rsidR="009169F2" w:rsidRPr="004015AA" w14:paraId="3E5501B8" w14:textId="77777777" w:rsidTr="008143B1">
        <w:trPr>
          <w:cantSplit/>
        </w:trPr>
        <w:tc>
          <w:tcPr>
            <w:tcW w:w="4219" w:type="dxa"/>
          </w:tcPr>
          <w:p w14:paraId="3E5501B5" w14:textId="77777777" w:rsidR="009169F2" w:rsidRPr="00FE6AC6" w:rsidRDefault="009169F2" w:rsidP="008143B1">
            <w:pPr>
              <w:keepNext/>
              <w:widowControl w:val="0"/>
              <w:spacing w:line="240" w:lineRule="auto"/>
              <w:rPr>
                <w:color w:val="000000"/>
                <w:lang w:val="bg-BG"/>
              </w:rPr>
            </w:pPr>
            <w:r w:rsidRPr="00FE6AC6">
              <w:rPr>
                <w:color w:val="000000"/>
                <w:lang w:val="bg-BG"/>
              </w:rPr>
              <w:t>Умерено</w:t>
            </w:r>
          </w:p>
        </w:tc>
        <w:tc>
          <w:tcPr>
            <w:tcW w:w="4928" w:type="dxa"/>
          </w:tcPr>
          <w:p w14:paraId="3E5501B6" w14:textId="77777777" w:rsidR="009169F2" w:rsidRPr="00FE6AC6" w:rsidRDefault="009169F2" w:rsidP="008143B1">
            <w:pPr>
              <w:keepNext/>
              <w:widowControl w:val="0"/>
              <w:spacing w:line="240" w:lineRule="auto"/>
              <w:rPr>
                <w:color w:val="000000"/>
                <w:lang w:val="bg-BG"/>
              </w:rPr>
            </w:pPr>
            <w:r w:rsidRPr="00FE6AC6">
              <w:rPr>
                <w:color w:val="000000"/>
                <w:lang w:val="bg-BG"/>
              </w:rPr>
              <w:t>Общ билирубин: &gt;1,5</w:t>
            </w:r>
            <w:r w:rsidRPr="00FE6AC6">
              <w:rPr>
                <w:rFonts w:ascii="TimesNewRoman" w:hAnsi="TimesNewRoman"/>
                <w:color w:val="000000"/>
                <w:lang w:val="bg-BG"/>
              </w:rPr>
              <w:noBreakHyphen/>
            </w:r>
            <w:r w:rsidRPr="00FE6AC6">
              <w:rPr>
                <w:color w:val="000000"/>
                <w:lang w:val="bg-BG"/>
              </w:rPr>
              <w:t>3,0</w:t>
            </w:r>
            <w:r w:rsidRPr="00FE6AC6">
              <w:rPr>
                <w:color w:val="000000"/>
                <w:lang w:val="en-US"/>
              </w:rPr>
              <w:t> </w:t>
            </w:r>
            <w:r w:rsidRPr="00FE6AC6">
              <w:rPr>
                <w:color w:val="000000"/>
                <w:lang w:val="bg-BG"/>
              </w:rPr>
              <w:t>ULN</w:t>
            </w:r>
          </w:p>
          <w:p w14:paraId="3E5501B7" w14:textId="77777777" w:rsidR="009169F2" w:rsidRPr="00FE6AC6" w:rsidRDefault="009169F2" w:rsidP="008143B1">
            <w:pPr>
              <w:keepNext/>
              <w:widowControl w:val="0"/>
              <w:spacing w:line="240" w:lineRule="auto"/>
              <w:rPr>
                <w:color w:val="000000"/>
                <w:lang w:val="bg-BG"/>
              </w:rPr>
            </w:pPr>
            <w:r w:rsidRPr="00FE6AC6">
              <w:rPr>
                <w:color w:val="000000"/>
                <w:lang w:val="bg-BG"/>
              </w:rPr>
              <w:t>AST: всяка стойност</w:t>
            </w:r>
          </w:p>
        </w:tc>
      </w:tr>
      <w:tr w:rsidR="009169F2" w:rsidRPr="004015AA" w14:paraId="3E5501BC" w14:textId="77777777" w:rsidTr="008143B1">
        <w:trPr>
          <w:cantSplit/>
        </w:trPr>
        <w:tc>
          <w:tcPr>
            <w:tcW w:w="4219" w:type="dxa"/>
            <w:tcBorders>
              <w:bottom w:val="single" w:sz="4" w:space="0" w:color="auto"/>
            </w:tcBorders>
          </w:tcPr>
          <w:p w14:paraId="3E5501B9" w14:textId="77777777" w:rsidR="009169F2" w:rsidRPr="00FE6AC6" w:rsidRDefault="009169F2" w:rsidP="008143B1">
            <w:pPr>
              <w:keepNext/>
              <w:widowControl w:val="0"/>
              <w:spacing w:line="240" w:lineRule="auto"/>
              <w:rPr>
                <w:color w:val="000000"/>
                <w:lang w:val="bg-BG"/>
              </w:rPr>
            </w:pPr>
            <w:r w:rsidRPr="00FE6AC6">
              <w:rPr>
                <w:color w:val="000000"/>
                <w:lang w:val="bg-BG"/>
              </w:rPr>
              <w:t>Тежко</w:t>
            </w:r>
          </w:p>
        </w:tc>
        <w:tc>
          <w:tcPr>
            <w:tcW w:w="4928" w:type="dxa"/>
            <w:tcBorders>
              <w:bottom w:val="single" w:sz="4" w:space="0" w:color="auto"/>
            </w:tcBorders>
          </w:tcPr>
          <w:p w14:paraId="3E5501BA" w14:textId="77777777" w:rsidR="009169F2" w:rsidRPr="00FE6AC6" w:rsidRDefault="009169F2" w:rsidP="008143B1">
            <w:pPr>
              <w:keepNext/>
              <w:widowControl w:val="0"/>
              <w:spacing w:line="240" w:lineRule="auto"/>
              <w:rPr>
                <w:color w:val="000000"/>
                <w:lang w:val="bg-BG"/>
              </w:rPr>
            </w:pPr>
            <w:r w:rsidRPr="00FE6AC6">
              <w:rPr>
                <w:color w:val="000000"/>
                <w:lang w:val="bg-BG"/>
              </w:rPr>
              <w:t>Общ билирубин: &gt;3,0</w:t>
            </w:r>
            <w:r w:rsidRPr="00FE6AC6">
              <w:rPr>
                <w:color w:val="000000"/>
                <w:lang w:val="bg-BG"/>
              </w:rPr>
              <w:noBreakHyphen/>
              <w:t>10,0</w:t>
            </w:r>
            <w:r w:rsidRPr="00FE6AC6">
              <w:rPr>
                <w:color w:val="000000"/>
                <w:lang w:val="en-US"/>
              </w:rPr>
              <w:t> </w:t>
            </w:r>
            <w:r w:rsidRPr="00FE6AC6">
              <w:rPr>
                <w:color w:val="000000"/>
                <w:lang w:val="bg-BG"/>
              </w:rPr>
              <w:t>ULN</w:t>
            </w:r>
          </w:p>
          <w:p w14:paraId="3E5501BB" w14:textId="77777777" w:rsidR="009169F2" w:rsidRPr="00FE6AC6" w:rsidRDefault="009169F2" w:rsidP="008143B1">
            <w:pPr>
              <w:keepNext/>
              <w:widowControl w:val="0"/>
              <w:spacing w:line="240" w:lineRule="auto"/>
              <w:rPr>
                <w:color w:val="000000"/>
                <w:lang w:val="bg-BG"/>
              </w:rPr>
            </w:pPr>
            <w:r w:rsidRPr="00FE6AC6">
              <w:rPr>
                <w:color w:val="000000"/>
                <w:lang w:val="bg-BG"/>
              </w:rPr>
              <w:t>AST: всяка стойност</w:t>
            </w:r>
          </w:p>
        </w:tc>
      </w:tr>
      <w:tr w:rsidR="009169F2" w:rsidRPr="00FE6AC6" w14:paraId="3E5501BF" w14:textId="77777777" w:rsidTr="008143B1">
        <w:trPr>
          <w:cantSplit/>
        </w:trPr>
        <w:tc>
          <w:tcPr>
            <w:tcW w:w="9147" w:type="dxa"/>
            <w:gridSpan w:val="2"/>
            <w:tcBorders>
              <w:left w:val="nil"/>
              <w:bottom w:val="nil"/>
              <w:right w:val="nil"/>
            </w:tcBorders>
          </w:tcPr>
          <w:p w14:paraId="3E5501BD" w14:textId="77777777" w:rsidR="009169F2" w:rsidRPr="00FE6AC6" w:rsidRDefault="009169F2" w:rsidP="008143B1">
            <w:pPr>
              <w:widowControl w:val="0"/>
              <w:spacing w:line="240" w:lineRule="auto"/>
              <w:rPr>
                <w:color w:val="000000"/>
                <w:lang w:val="bg-BG"/>
              </w:rPr>
            </w:pPr>
            <w:r w:rsidRPr="00FE6AC6">
              <w:rPr>
                <w:color w:val="000000"/>
                <w:lang w:val="bg-BG"/>
              </w:rPr>
              <w:t>ULN = горна граница на нормата за лечебното заведение</w:t>
            </w:r>
          </w:p>
          <w:p w14:paraId="3E5501BE" w14:textId="77777777" w:rsidR="009169F2" w:rsidRPr="00FE6AC6" w:rsidRDefault="009169F2" w:rsidP="008143B1">
            <w:pPr>
              <w:widowControl w:val="0"/>
              <w:spacing w:line="240" w:lineRule="auto"/>
              <w:rPr>
                <w:color w:val="000000"/>
                <w:lang w:val="bg-BG"/>
              </w:rPr>
            </w:pPr>
            <w:r w:rsidRPr="00FE6AC6">
              <w:rPr>
                <w:color w:val="000000"/>
                <w:lang w:val="bg-BG"/>
              </w:rPr>
              <w:t>AST = аспартат-аминотрансфераза</w:t>
            </w:r>
          </w:p>
        </w:tc>
      </w:tr>
    </w:tbl>
    <w:p w14:paraId="3E5501C0" w14:textId="77777777" w:rsidR="009169F2" w:rsidRPr="00FE6AC6" w:rsidRDefault="009169F2" w:rsidP="0063575E">
      <w:pPr>
        <w:widowControl w:val="0"/>
        <w:spacing w:line="240" w:lineRule="auto"/>
        <w:rPr>
          <w:color w:val="000000"/>
          <w:lang w:val="bg-BG"/>
        </w:rPr>
      </w:pPr>
    </w:p>
    <w:p w14:paraId="3E5501C1" w14:textId="77777777" w:rsidR="009169F2" w:rsidRPr="00FE6AC6" w:rsidRDefault="009169F2" w:rsidP="0063575E">
      <w:pPr>
        <w:widowControl w:val="0"/>
        <w:spacing w:line="240" w:lineRule="auto"/>
        <w:rPr>
          <w:color w:val="000000"/>
          <w:lang w:val="bg-BG"/>
        </w:rPr>
      </w:pPr>
      <w:r w:rsidRPr="00FE6AC6">
        <w:rPr>
          <w:i/>
          <w:color w:val="000000"/>
          <w:lang w:val="bg-BG"/>
        </w:rPr>
        <w:t>Бъбречна недостатъчност:</w:t>
      </w:r>
      <w:r w:rsidRPr="00FE6AC6">
        <w:rPr>
          <w:color w:val="000000"/>
          <w:lang w:val="bg-BG"/>
        </w:rPr>
        <w:t xml:space="preserve"> При пациентите с бъбречна дисфункция</w:t>
      </w:r>
      <w:r w:rsidRPr="00FE6AC6">
        <w:rPr>
          <w:rFonts w:eastAsia="SimSun"/>
          <w:color w:val="000000"/>
          <w:lang w:val="bg-BG" w:eastAsia="zh-CN"/>
        </w:rPr>
        <w:t xml:space="preserve"> или при пациенти на диализа</w:t>
      </w:r>
      <w:r w:rsidRPr="00FE6AC6">
        <w:rPr>
          <w:snapToGrid w:val="0"/>
          <w:color w:val="000000"/>
          <w:szCs w:val="22"/>
          <w:lang w:val="bg-BG"/>
        </w:rPr>
        <w:t xml:space="preserve"> трябва</w:t>
      </w:r>
      <w:r w:rsidRPr="00FE6AC6">
        <w:rPr>
          <w:rFonts w:eastAsia="SimSun"/>
          <w:color w:val="000000"/>
          <w:lang w:val="bg-BG" w:eastAsia="zh-CN"/>
        </w:rPr>
        <w:t xml:space="preserve"> да се прилага минималната препоръчвана доза от 400</w:t>
      </w:r>
      <w:r w:rsidRPr="00FE6AC6">
        <w:rPr>
          <w:rFonts w:eastAsia="SimSun"/>
          <w:color w:val="000000"/>
          <w:lang w:eastAsia="zh-CN"/>
        </w:rPr>
        <w:t> mg</w:t>
      </w:r>
      <w:r w:rsidRPr="00FE6AC6">
        <w:rPr>
          <w:rFonts w:eastAsia="SimSun"/>
          <w:color w:val="000000"/>
          <w:lang w:val="bg-BG" w:eastAsia="zh-CN"/>
        </w:rPr>
        <w:t xml:space="preserve"> дневно като начална доза. </w:t>
      </w:r>
      <w:r w:rsidRPr="00FE6AC6">
        <w:rPr>
          <w:color w:val="000000"/>
          <w:szCs w:val="22"/>
          <w:lang w:val="bg-BG"/>
        </w:rPr>
        <w:t xml:space="preserve">Все пак при тези пациенти </w:t>
      </w:r>
      <w:r w:rsidRPr="00FE6AC6">
        <w:rPr>
          <w:color w:val="000000"/>
          <w:lang w:val="bg-BG"/>
        </w:rPr>
        <w:t>се препоръчва предпазливо поведение. Дозата може да бъде понижена, ако не се понася. Ако се понася добре, дозата може да бъде повишена при липса на ефикасност (вж. точки 4.4 и 5.2).</w:t>
      </w:r>
    </w:p>
    <w:p w14:paraId="3E5501C2" w14:textId="77777777" w:rsidR="009169F2" w:rsidRPr="00FE6AC6" w:rsidRDefault="009169F2" w:rsidP="0063575E">
      <w:pPr>
        <w:widowControl w:val="0"/>
        <w:spacing w:line="240" w:lineRule="auto"/>
        <w:rPr>
          <w:color w:val="000000"/>
          <w:lang w:val="bg-BG"/>
        </w:rPr>
      </w:pPr>
    </w:p>
    <w:p w14:paraId="3E5501C3" w14:textId="77777777" w:rsidR="009169F2" w:rsidRPr="00FE6AC6" w:rsidRDefault="003E7585" w:rsidP="0063575E">
      <w:pPr>
        <w:widowControl w:val="0"/>
        <w:spacing w:line="240" w:lineRule="auto"/>
        <w:rPr>
          <w:color w:val="000000"/>
          <w:lang w:val="bg-BG"/>
        </w:rPr>
      </w:pPr>
      <w:r w:rsidRPr="00FE6AC6">
        <w:rPr>
          <w:i/>
          <w:color w:val="000000"/>
          <w:lang w:val="bg-BG"/>
        </w:rPr>
        <w:t>Хора</w:t>
      </w:r>
      <w:r w:rsidR="009169F2" w:rsidRPr="00FE6AC6">
        <w:rPr>
          <w:i/>
          <w:color w:val="000000"/>
          <w:lang w:val="bg-BG"/>
        </w:rPr>
        <w:t xml:space="preserve"> в </w:t>
      </w:r>
      <w:r w:rsidR="00DA1AD2" w:rsidRPr="00FE6AC6">
        <w:rPr>
          <w:i/>
          <w:color w:val="000000"/>
          <w:lang w:val="bg-BG"/>
        </w:rPr>
        <w:t>старческа</w:t>
      </w:r>
      <w:r w:rsidR="009169F2" w:rsidRPr="00FE6AC6">
        <w:rPr>
          <w:i/>
          <w:color w:val="000000"/>
          <w:lang w:val="bg-BG"/>
        </w:rPr>
        <w:t xml:space="preserve"> възраст:</w:t>
      </w:r>
      <w:r w:rsidR="009169F2" w:rsidRPr="00FE6AC6">
        <w:rPr>
          <w:color w:val="000000"/>
          <w:lang w:val="bg-BG"/>
        </w:rPr>
        <w:t xml:space="preserve"> Фармакокинетиката на иматиниб не е изследвана специално при </w:t>
      </w:r>
      <w:r w:rsidRPr="00FE6AC6">
        <w:rPr>
          <w:color w:val="000000"/>
          <w:lang w:val="bg-BG"/>
        </w:rPr>
        <w:t>хора</w:t>
      </w:r>
      <w:r w:rsidR="009169F2" w:rsidRPr="00FE6AC6">
        <w:rPr>
          <w:color w:val="000000"/>
          <w:lang w:val="bg-BG"/>
        </w:rPr>
        <w:t xml:space="preserve"> в </w:t>
      </w:r>
      <w:r w:rsidRPr="00FE6AC6">
        <w:rPr>
          <w:color w:val="000000"/>
          <w:lang w:val="bg-BG"/>
        </w:rPr>
        <w:t>старческа</w:t>
      </w:r>
      <w:r w:rsidR="009169F2" w:rsidRPr="00FE6AC6">
        <w:rPr>
          <w:color w:val="000000"/>
          <w:lang w:val="bg-BG"/>
        </w:rPr>
        <w:t xml:space="preserve"> възраст. Не се наблюдават никакви възрастови различия във фармакокинетиката при възрастни пациенти в условията на клинични проучвания, при които над</w:t>
      </w:r>
      <w:r w:rsidR="009169F2" w:rsidRPr="00FE6AC6">
        <w:rPr>
          <w:color w:val="000000"/>
          <w:lang w:val="en-US"/>
        </w:rPr>
        <w:t> </w:t>
      </w:r>
      <w:r w:rsidR="009169F2" w:rsidRPr="00FE6AC6">
        <w:rPr>
          <w:color w:val="000000"/>
          <w:lang w:val="bg-BG"/>
        </w:rPr>
        <w:t xml:space="preserve">20% от пациентите са на възраст </w:t>
      </w:r>
      <w:r w:rsidR="003F3A73" w:rsidRPr="00FE6AC6">
        <w:rPr>
          <w:color w:val="000000"/>
          <w:lang w:val="bg-BG"/>
        </w:rPr>
        <w:t xml:space="preserve">на или </w:t>
      </w:r>
      <w:r w:rsidR="009169F2" w:rsidRPr="00FE6AC6">
        <w:rPr>
          <w:color w:val="000000"/>
          <w:lang w:val="bg-BG"/>
        </w:rPr>
        <w:t>над</w:t>
      </w:r>
      <w:r w:rsidR="009169F2" w:rsidRPr="00FE6AC6">
        <w:rPr>
          <w:color w:val="000000"/>
          <w:lang w:val="en-US"/>
        </w:rPr>
        <w:t> </w:t>
      </w:r>
      <w:r w:rsidR="009169F2" w:rsidRPr="00FE6AC6">
        <w:rPr>
          <w:color w:val="000000"/>
          <w:lang w:val="bg-BG"/>
        </w:rPr>
        <w:t>65</w:t>
      </w:r>
      <w:r w:rsidR="009169F2" w:rsidRPr="00FE6AC6">
        <w:rPr>
          <w:color w:val="000000"/>
          <w:lang w:val="en-US"/>
        </w:rPr>
        <w:t> </w:t>
      </w:r>
      <w:r w:rsidR="009169F2" w:rsidRPr="00FE6AC6">
        <w:rPr>
          <w:color w:val="000000"/>
          <w:lang w:val="bg-BG"/>
        </w:rPr>
        <w:t xml:space="preserve">години. Не са необходими никакви специални препоръки за дозата при </w:t>
      </w:r>
      <w:r w:rsidRPr="00FE6AC6">
        <w:rPr>
          <w:color w:val="000000"/>
          <w:lang w:val="bg-BG"/>
        </w:rPr>
        <w:t>хора</w:t>
      </w:r>
      <w:r w:rsidR="009169F2" w:rsidRPr="00FE6AC6">
        <w:rPr>
          <w:color w:val="000000"/>
          <w:lang w:val="bg-BG"/>
        </w:rPr>
        <w:t xml:space="preserve"> в </w:t>
      </w:r>
      <w:r w:rsidRPr="00FE6AC6">
        <w:rPr>
          <w:color w:val="000000"/>
          <w:lang w:val="bg-BG"/>
        </w:rPr>
        <w:t>старческа</w:t>
      </w:r>
      <w:r w:rsidR="009169F2" w:rsidRPr="00FE6AC6">
        <w:rPr>
          <w:color w:val="000000"/>
          <w:lang w:val="bg-BG"/>
        </w:rPr>
        <w:t xml:space="preserve"> възраст.</w:t>
      </w:r>
    </w:p>
    <w:p w14:paraId="3E5501C4" w14:textId="77777777" w:rsidR="009169F2" w:rsidRPr="00FE6AC6" w:rsidRDefault="009169F2" w:rsidP="0063575E">
      <w:pPr>
        <w:widowControl w:val="0"/>
        <w:tabs>
          <w:tab w:val="clear" w:pos="567"/>
        </w:tabs>
        <w:spacing w:line="240" w:lineRule="auto"/>
        <w:rPr>
          <w:color w:val="000000"/>
          <w:lang w:val="bg-BG"/>
        </w:rPr>
      </w:pPr>
    </w:p>
    <w:p w14:paraId="3E5501C5" w14:textId="77777777" w:rsidR="001B628D" w:rsidRPr="00FE6AC6" w:rsidRDefault="001B628D" w:rsidP="0063575E">
      <w:pPr>
        <w:keepNext/>
        <w:widowControl w:val="0"/>
        <w:spacing w:line="240" w:lineRule="auto"/>
        <w:ind w:left="567" w:hanging="567"/>
        <w:rPr>
          <w:color w:val="000000"/>
          <w:lang w:val="bg-BG"/>
        </w:rPr>
      </w:pPr>
      <w:r w:rsidRPr="00FE6AC6">
        <w:rPr>
          <w:b/>
          <w:color w:val="000000"/>
          <w:lang w:val="bg-BG"/>
        </w:rPr>
        <w:t>4.3</w:t>
      </w:r>
      <w:r w:rsidRPr="00FE6AC6">
        <w:rPr>
          <w:b/>
          <w:color w:val="000000"/>
          <w:lang w:val="bg-BG"/>
        </w:rPr>
        <w:tab/>
        <w:t>Противопоказания</w:t>
      </w:r>
    </w:p>
    <w:p w14:paraId="3E5501C6" w14:textId="77777777" w:rsidR="001B628D" w:rsidRPr="00FE6AC6" w:rsidRDefault="001B628D" w:rsidP="0063575E">
      <w:pPr>
        <w:keepNext/>
        <w:widowControl w:val="0"/>
        <w:tabs>
          <w:tab w:val="clear" w:pos="567"/>
        </w:tabs>
        <w:spacing w:line="240" w:lineRule="auto"/>
        <w:rPr>
          <w:color w:val="000000"/>
          <w:lang w:val="bg-BG"/>
        </w:rPr>
      </w:pPr>
    </w:p>
    <w:p w14:paraId="3E5501C7" w14:textId="77777777" w:rsidR="001B628D" w:rsidRPr="00FE6AC6" w:rsidRDefault="001B628D" w:rsidP="0063575E">
      <w:pPr>
        <w:widowControl w:val="0"/>
        <w:spacing w:line="240" w:lineRule="auto"/>
        <w:rPr>
          <w:color w:val="000000"/>
          <w:lang w:val="bg-BG"/>
        </w:rPr>
      </w:pPr>
      <w:r w:rsidRPr="00FE6AC6">
        <w:rPr>
          <w:color w:val="000000"/>
          <w:lang w:val="bg-BG"/>
        </w:rPr>
        <w:t>Свръхчувствителност към активното вещество или към някое от помощните вещества,</w:t>
      </w:r>
      <w:r w:rsidRPr="00FE6AC6">
        <w:rPr>
          <w:szCs w:val="24"/>
          <w:lang w:val="bg-BG"/>
        </w:rPr>
        <w:t xml:space="preserve"> изброени в точка </w:t>
      </w:r>
      <w:r w:rsidRPr="00FE6AC6">
        <w:rPr>
          <w:noProof/>
          <w:szCs w:val="24"/>
          <w:lang w:val="bg-BG"/>
        </w:rPr>
        <w:t>6.1</w:t>
      </w:r>
      <w:r w:rsidRPr="00FE6AC6">
        <w:rPr>
          <w:color w:val="000000"/>
          <w:lang w:val="bg-BG"/>
        </w:rPr>
        <w:t>.</w:t>
      </w:r>
    </w:p>
    <w:p w14:paraId="3E5501C8" w14:textId="77777777" w:rsidR="001B628D" w:rsidRPr="00FE6AC6" w:rsidRDefault="001B628D" w:rsidP="0063575E">
      <w:pPr>
        <w:widowControl w:val="0"/>
        <w:tabs>
          <w:tab w:val="clear" w:pos="567"/>
        </w:tabs>
        <w:spacing w:line="240" w:lineRule="auto"/>
        <w:rPr>
          <w:color w:val="000000"/>
          <w:lang w:val="bg-BG"/>
        </w:rPr>
      </w:pPr>
    </w:p>
    <w:p w14:paraId="3E5501C9" w14:textId="77777777" w:rsidR="001B628D" w:rsidRPr="00FE6AC6" w:rsidRDefault="001B628D" w:rsidP="0063575E">
      <w:pPr>
        <w:keepNext/>
        <w:widowControl w:val="0"/>
        <w:spacing w:line="240" w:lineRule="auto"/>
        <w:ind w:left="567" w:hanging="567"/>
        <w:rPr>
          <w:color w:val="000000"/>
          <w:lang w:val="bg-BG"/>
        </w:rPr>
      </w:pPr>
      <w:r w:rsidRPr="00FE6AC6">
        <w:rPr>
          <w:b/>
          <w:color w:val="000000"/>
          <w:lang w:val="bg-BG"/>
        </w:rPr>
        <w:t>4.4</w:t>
      </w:r>
      <w:r w:rsidRPr="00FE6AC6">
        <w:rPr>
          <w:b/>
          <w:color w:val="000000"/>
          <w:lang w:val="bg-BG"/>
        </w:rPr>
        <w:tab/>
        <w:t>Специални предупреждения и предпазни мерки при употреба</w:t>
      </w:r>
    </w:p>
    <w:p w14:paraId="3E5501CA" w14:textId="77777777" w:rsidR="001B628D" w:rsidRPr="00FE6AC6" w:rsidRDefault="001B628D" w:rsidP="0063575E">
      <w:pPr>
        <w:keepNext/>
        <w:widowControl w:val="0"/>
        <w:tabs>
          <w:tab w:val="clear" w:pos="567"/>
        </w:tabs>
        <w:spacing w:line="240" w:lineRule="auto"/>
        <w:rPr>
          <w:color w:val="000000"/>
          <w:lang w:val="bg-BG"/>
        </w:rPr>
      </w:pPr>
    </w:p>
    <w:p w14:paraId="3E5501CB"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 xml:space="preserve">Когато Glivec се прилага съвместно с други лекарствени продукти, съществува възможност за лекарствени взаимодействия. Необходимо е повишено внимание при прием на </w:t>
      </w:r>
      <w:r w:rsidRPr="00FE6AC6">
        <w:rPr>
          <w:color w:val="000000"/>
          <w:lang w:val="en-US"/>
        </w:rPr>
        <w:t>Glivec</w:t>
      </w:r>
      <w:r w:rsidRPr="00FE6AC6">
        <w:rPr>
          <w:color w:val="000000"/>
          <w:lang w:val="bg-BG"/>
        </w:rPr>
        <w:t xml:space="preserve"> с протеазни инхибитори, противогъбични азоли, някои макролиди (вж. точка 4.5), </w:t>
      </w:r>
      <w:r w:rsidRPr="00FE6AC6">
        <w:rPr>
          <w:color w:val="000000"/>
          <w:lang w:val="en-US"/>
        </w:rPr>
        <w:t>CYP</w:t>
      </w:r>
      <w:r w:rsidRPr="00FE6AC6">
        <w:rPr>
          <w:color w:val="000000"/>
          <w:lang w:val="bg-BG"/>
        </w:rPr>
        <w:t>3</w:t>
      </w:r>
      <w:r w:rsidRPr="00FE6AC6">
        <w:rPr>
          <w:color w:val="000000"/>
          <w:lang w:val="en-US"/>
        </w:rPr>
        <w:t>A</w:t>
      </w:r>
      <w:r w:rsidRPr="00FE6AC6">
        <w:rPr>
          <w:color w:val="000000"/>
          <w:lang w:val="bg-BG"/>
        </w:rPr>
        <w:t>4 субстрати с тесен терапевтичен прозорец (напр. циклоспорин, пимозид, такролимус, сиролимус, ерготамин, диерготамин, фентанил, алфентанил, терфенадин, бортезомиб, доцетаксел, хинидин) или варфарин и други кумаринови производни (вж. точка 4.5).</w:t>
      </w:r>
    </w:p>
    <w:p w14:paraId="3E5501CC" w14:textId="77777777" w:rsidR="001B628D" w:rsidRPr="00FE6AC6" w:rsidRDefault="001B628D" w:rsidP="0063575E">
      <w:pPr>
        <w:widowControl w:val="0"/>
        <w:tabs>
          <w:tab w:val="clear" w:pos="567"/>
        </w:tabs>
        <w:spacing w:line="240" w:lineRule="auto"/>
        <w:rPr>
          <w:color w:val="000000"/>
          <w:lang w:val="bg-BG"/>
        </w:rPr>
      </w:pPr>
    </w:p>
    <w:p w14:paraId="3E5501CD"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Съвместната употреба на иматиниб и лекарствени продукти, които са индуктори на CYP3A4</w:t>
      </w:r>
      <w:r w:rsidRPr="00FE6AC6">
        <w:rPr>
          <w:color w:val="000000"/>
          <w:lang w:val="en-US"/>
        </w:rPr>
        <w:t> </w:t>
      </w:r>
      <w:r w:rsidRPr="00FE6AC6">
        <w:rPr>
          <w:color w:val="000000"/>
          <w:lang w:val="bg-BG"/>
        </w:rPr>
        <w:t xml:space="preserve">(напр. дексаметазон, фенитоин, карбамазепин, рифампицин, фенобарбитал или растението </w:t>
      </w:r>
      <w:r w:rsidRPr="00FE6AC6">
        <w:rPr>
          <w:i/>
          <w:color w:val="000000"/>
          <w:lang w:val="bg-BG"/>
        </w:rPr>
        <w:t>Hypericum perforatum</w:t>
      </w:r>
      <w:r w:rsidRPr="00FE6AC6">
        <w:rPr>
          <w:color w:val="000000"/>
          <w:lang w:val="bg-BG"/>
        </w:rPr>
        <w:t>, известно още като жълт кантарион), може значително да понижат експозицията на Glivec, като така е възможно да се повиши риска от терапевтичен неуспех. Затова трябва да се избягва съвместната употреба на мощни индуктори на CYP3A4</w:t>
      </w:r>
      <w:r w:rsidRPr="00FE6AC6">
        <w:rPr>
          <w:color w:val="000000"/>
          <w:lang w:val="en-US"/>
        </w:rPr>
        <w:t> </w:t>
      </w:r>
      <w:r w:rsidRPr="00FE6AC6">
        <w:rPr>
          <w:color w:val="000000"/>
          <w:lang w:val="bg-BG"/>
        </w:rPr>
        <w:t>и иматиниб (вж. точка</w:t>
      </w:r>
      <w:r w:rsidRPr="00FE6AC6">
        <w:rPr>
          <w:color w:val="000000"/>
          <w:lang w:val="en-US"/>
        </w:rPr>
        <w:t> </w:t>
      </w:r>
      <w:r w:rsidRPr="00FE6AC6">
        <w:rPr>
          <w:color w:val="000000"/>
          <w:lang w:val="bg-BG"/>
        </w:rPr>
        <w:t>4.5).</w:t>
      </w:r>
    </w:p>
    <w:p w14:paraId="3E5501CE" w14:textId="77777777" w:rsidR="001B628D" w:rsidRPr="00FE6AC6" w:rsidRDefault="001B628D" w:rsidP="0063575E">
      <w:pPr>
        <w:widowControl w:val="0"/>
        <w:tabs>
          <w:tab w:val="clear" w:pos="567"/>
        </w:tabs>
        <w:spacing w:line="240" w:lineRule="auto"/>
        <w:rPr>
          <w:color w:val="000000"/>
          <w:lang w:val="bg-BG"/>
        </w:rPr>
      </w:pPr>
    </w:p>
    <w:p w14:paraId="3E5501CF" w14:textId="77777777" w:rsidR="001B628D" w:rsidRPr="00FE6AC6" w:rsidRDefault="001B628D" w:rsidP="0063575E">
      <w:pPr>
        <w:pStyle w:val="EndnoteText"/>
        <w:keepNext/>
        <w:widowControl w:val="0"/>
        <w:tabs>
          <w:tab w:val="clear" w:pos="567"/>
          <w:tab w:val="left" w:pos="7655"/>
        </w:tabs>
        <w:rPr>
          <w:iCs/>
          <w:color w:val="000000"/>
          <w:szCs w:val="24"/>
          <w:u w:val="single"/>
          <w:lang w:val="bg-BG"/>
        </w:rPr>
      </w:pPr>
      <w:r w:rsidRPr="00FE6AC6">
        <w:rPr>
          <w:iCs/>
          <w:color w:val="000000"/>
          <w:szCs w:val="24"/>
          <w:u w:val="single"/>
          <w:lang w:val="bg-BG"/>
        </w:rPr>
        <w:t>Хипотиреоидизъм</w:t>
      </w:r>
    </w:p>
    <w:p w14:paraId="3E5501D0" w14:textId="77777777" w:rsidR="001B628D" w:rsidRPr="00FE6AC6" w:rsidRDefault="001B628D" w:rsidP="0063575E">
      <w:pPr>
        <w:pStyle w:val="EndnoteText"/>
        <w:widowControl w:val="0"/>
        <w:tabs>
          <w:tab w:val="clear" w:pos="567"/>
          <w:tab w:val="left" w:pos="7655"/>
        </w:tabs>
        <w:rPr>
          <w:iCs/>
          <w:color w:val="000000"/>
          <w:szCs w:val="24"/>
          <w:lang w:val="bg-BG"/>
        </w:rPr>
      </w:pPr>
      <w:r w:rsidRPr="00FE6AC6">
        <w:rPr>
          <w:iCs/>
          <w:color w:val="000000"/>
          <w:szCs w:val="24"/>
          <w:lang w:val="bg-BG"/>
        </w:rPr>
        <w:t xml:space="preserve">Клинични случаи на хипотиреоидизъм са били докладвани при тироидектомирани пациенти със заместителна терапия с левотироксин по време на лечението с </w:t>
      </w:r>
      <w:r w:rsidRPr="00FE6AC6">
        <w:rPr>
          <w:iCs/>
          <w:color w:val="000000"/>
          <w:szCs w:val="24"/>
        </w:rPr>
        <w:t>Glivec</w:t>
      </w:r>
      <w:r w:rsidRPr="00FE6AC6">
        <w:rPr>
          <w:iCs/>
          <w:color w:val="000000"/>
          <w:szCs w:val="24"/>
          <w:lang w:val="bg-BG"/>
        </w:rPr>
        <w:t xml:space="preserve"> (вж. точка 4.5). Нивата на тироид стимулиращия хормон (ТСХ) трябва да се наблюдават редовно при такива пациенти.</w:t>
      </w:r>
    </w:p>
    <w:p w14:paraId="3E5501D1" w14:textId="77777777" w:rsidR="001B628D" w:rsidRPr="00FE6AC6" w:rsidRDefault="001B628D" w:rsidP="0063575E">
      <w:pPr>
        <w:widowControl w:val="0"/>
        <w:tabs>
          <w:tab w:val="clear" w:pos="567"/>
        </w:tabs>
        <w:spacing w:line="240" w:lineRule="auto"/>
        <w:rPr>
          <w:color w:val="000000"/>
          <w:lang w:val="bg-BG"/>
        </w:rPr>
      </w:pPr>
    </w:p>
    <w:p w14:paraId="3E5501D2" w14:textId="77777777" w:rsidR="001B628D" w:rsidRPr="00FE6AC6" w:rsidRDefault="001B628D" w:rsidP="0063575E">
      <w:pPr>
        <w:keepNext/>
        <w:widowControl w:val="0"/>
        <w:tabs>
          <w:tab w:val="clear" w:pos="567"/>
        </w:tabs>
        <w:spacing w:line="240" w:lineRule="auto"/>
        <w:rPr>
          <w:color w:val="000000"/>
          <w:u w:val="single"/>
          <w:lang w:val="bg-BG"/>
        </w:rPr>
      </w:pPr>
      <w:r w:rsidRPr="00FE6AC6">
        <w:rPr>
          <w:color w:val="000000"/>
          <w:u w:val="single"/>
          <w:lang w:val="bg-BG"/>
        </w:rPr>
        <w:t>Хепатотоксичност</w:t>
      </w:r>
    </w:p>
    <w:p w14:paraId="3E5501D3"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Glivec се метаболизира основно в черния дроб и само</w:t>
      </w:r>
      <w:r w:rsidRPr="00FE6AC6">
        <w:rPr>
          <w:color w:val="000000"/>
          <w:lang w:val="en-US"/>
        </w:rPr>
        <w:t> </w:t>
      </w:r>
      <w:r w:rsidRPr="00FE6AC6">
        <w:rPr>
          <w:color w:val="000000"/>
          <w:lang w:val="bg-BG"/>
        </w:rPr>
        <w:t>13% се екскретират през бъбреците. При пациентите с нарушение на чернодробната функция (леко, средно, тежко), внимателно трябва да се проследяват броя на клетките в периферната кръв и чернодробните ензими (вж. точки</w:t>
      </w:r>
      <w:r w:rsidRPr="00FE6AC6">
        <w:rPr>
          <w:color w:val="000000"/>
          <w:lang w:val="en-US"/>
        </w:rPr>
        <w:t> </w:t>
      </w:r>
      <w:r w:rsidRPr="00FE6AC6">
        <w:rPr>
          <w:color w:val="000000"/>
          <w:lang w:val="bg-BG"/>
        </w:rPr>
        <w:t>4.2, 4.8</w:t>
      </w:r>
      <w:r w:rsidRPr="00FE6AC6">
        <w:rPr>
          <w:color w:val="000000"/>
          <w:lang w:val="en-US"/>
        </w:rPr>
        <w:t> </w:t>
      </w:r>
      <w:r w:rsidRPr="00FE6AC6">
        <w:rPr>
          <w:color w:val="000000"/>
          <w:lang w:val="bg-BG"/>
        </w:rPr>
        <w:t>и</w:t>
      </w:r>
      <w:r w:rsidRPr="00FE6AC6">
        <w:rPr>
          <w:color w:val="000000"/>
          <w:lang w:val="en-US"/>
        </w:rPr>
        <w:t> </w:t>
      </w:r>
      <w:r w:rsidRPr="00FE6AC6">
        <w:rPr>
          <w:color w:val="000000"/>
          <w:lang w:val="bg-BG"/>
        </w:rPr>
        <w:t>5.2). Трябва да се отбележи, че пациентите с ГИСТ могат да имат чернодробни метастази, които могат да доведат до чернодробно увреждане.</w:t>
      </w:r>
    </w:p>
    <w:p w14:paraId="3E5501D4" w14:textId="77777777" w:rsidR="001B628D" w:rsidRPr="00FE6AC6" w:rsidRDefault="001B628D" w:rsidP="0063575E">
      <w:pPr>
        <w:widowControl w:val="0"/>
        <w:tabs>
          <w:tab w:val="clear" w:pos="567"/>
        </w:tabs>
        <w:spacing w:line="240" w:lineRule="auto"/>
        <w:rPr>
          <w:color w:val="000000"/>
          <w:lang w:val="bg-BG"/>
        </w:rPr>
      </w:pPr>
    </w:p>
    <w:p w14:paraId="3E5501D5" w14:textId="77777777" w:rsidR="001B628D" w:rsidRPr="00FE6AC6" w:rsidRDefault="001B628D" w:rsidP="0063575E">
      <w:pPr>
        <w:widowControl w:val="0"/>
        <w:tabs>
          <w:tab w:val="clear" w:pos="567"/>
        </w:tabs>
        <w:spacing w:line="240" w:lineRule="auto"/>
        <w:rPr>
          <w:color w:val="000000"/>
          <w:lang w:val="ru-RU"/>
        </w:rPr>
      </w:pPr>
      <w:r w:rsidRPr="00FE6AC6">
        <w:rPr>
          <w:color w:val="000000"/>
          <w:lang w:val="bg-BG"/>
        </w:rPr>
        <w:t xml:space="preserve">Наблюдавани са случаи на чернодробно увреждане, включително чернодробна недостатъчност и чернодробна некроза при употреба на иматиниб. Когато иматиниб се комбинира с високо-дозови химиотерапевтични схеми, е отчетено увеличение на сериозните чернодробни нежелани реакции. </w:t>
      </w:r>
      <w:r w:rsidRPr="00FE6AC6">
        <w:rPr>
          <w:color w:val="000000"/>
          <w:lang w:val="ru-RU"/>
        </w:rPr>
        <w:t>Чернодобната функция трябва да се следи внимателно в случаи на комбиниране на иматиниб с химиотерапевтични схеми, за които също е известно, че са свързани с нарушение на чернодробната функция (вж. точки 4.5 и 4.8).</w:t>
      </w:r>
    </w:p>
    <w:p w14:paraId="3E5501D6" w14:textId="77777777" w:rsidR="001B628D" w:rsidRPr="00FE6AC6" w:rsidRDefault="001B628D" w:rsidP="0063575E">
      <w:pPr>
        <w:widowControl w:val="0"/>
        <w:tabs>
          <w:tab w:val="clear" w:pos="567"/>
        </w:tabs>
        <w:spacing w:line="240" w:lineRule="auto"/>
        <w:rPr>
          <w:color w:val="000000"/>
          <w:lang w:val="bg-BG"/>
        </w:rPr>
      </w:pPr>
    </w:p>
    <w:p w14:paraId="3E5501D7" w14:textId="77777777" w:rsidR="001B628D" w:rsidRPr="00FE6AC6" w:rsidRDefault="001B628D" w:rsidP="0063575E">
      <w:pPr>
        <w:keepNext/>
        <w:widowControl w:val="0"/>
        <w:tabs>
          <w:tab w:val="clear" w:pos="567"/>
        </w:tabs>
        <w:spacing w:line="240" w:lineRule="auto"/>
        <w:rPr>
          <w:color w:val="000000"/>
          <w:u w:val="single"/>
          <w:lang w:val="bg-BG"/>
        </w:rPr>
      </w:pPr>
      <w:r w:rsidRPr="00FE6AC6">
        <w:rPr>
          <w:color w:val="000000"/>
          <w:u w:val="single"/>
          <w:lang w:val="bg-BG"/>
        </w:rPr>
        <w:t>Задръжка на течности</w:t>
      </w:r>
    </w:p>
    <w:p w14:paraId="3E5501D8"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Случаи на тежка задръжка на течности (плеврални изливи, оток, белодробен оток, асцит</w:t>
      </w:r>
      <w:r w:rsidRPr="00FE6AC6">
        <w:rPr>
          <w:color w:val="000000"/>
          <w:szCs w:val="22"/>
          <w:lang w:val="bg-BG"/>
        </w:rPr>
        <w:t>, повърхностен оток</w:t>
      </w:r>
      <w:r w:rsidRPr="00FE6AC6">
        <w:rPr>
          <w:color w:val="000000"/>
          <w:lang w:val="bg-BG"/>
        </w:rPr>
        <w:t>) се съобщават при приблизително</w:t>
      </w:r>
      <w:r w:rsidRPr="00FE6AC6">
        <w:rPr>
          <w:color w:val="000000"/>
          <w:lang w:val="en-US"/>
        </w:rPr>
        <w:t> </w:t>
      </w:r>
      <w:r w:rsidRPr="00FE6AC6">
        <w:rPr>
          <w:color w:val="000000"/>
          <w:lang w:val="bg-BG"/>
        </w:rPr>
        <w:t>1</w:t>
      </w:r>
      <w:r w:rsidRPr="00FE6AC6">
        <w:rPr>
          <w:color w:val="000000"/>
          <w:lang w:val="en-US"/>
        </w:rPr>
        <w:t> </w:t>
      </w:r>
      <w:r w:rsidRPr="00FE6AC6">
        <w:rPr>
          <w:color w:val="000000"/>
          <w:lang w:val="bg-BG"/>
        </w:rPr>
        <w:t>до</w:t>
      </w:r>
      <w:r w:rsidRPr="00FE6AC6">
        <w:rPr>
          <w:color w:val="000000"/>
          <w:lang w:val="en-US"/>
        </w:rPr>
        <w:t> </w:t>
      </w:r>
      <w:r w:rsidRPr="00FE6AC6">
        <w:rPr>
          <w:color w:val="000000"/>
          <w:lang w:val="bg-BG"/>
        </w:rPr>
        <w:t>2</w:t>
      </w:r>
      <w:r w:rsidRPr="00FE6AC6">
        <w:rPr>
          <w:color w:val="000000"/>
          <w:szCs w:val="22"/>
          <w:lang w:val="bg-BG"/>
        </w:rPr>
        <w:t xml:space="preserve">,5% </w:t>
      </w:r>
      <w:r w:rsidRPr="00FE6AC6">
        <w:rPr>
          <w:color w:val="000000"/>
          <w:lang w:val="bg-BG"/>
        </w:rPr>
        <w:t>от пациентите с ново диагностицирана ХМЛ, приемащи Glivec. Затова силно се препоръчва телесното тегло на пациентите да се проследява редовно. Неочакваното бързо повишаване на телесното тегло трябва да се изяснява внимателно и ако е необходимо да се предприемат съответни поддържащи грижи и терапевтични мерки. При клинични проучвания има повишена честота на тези събития при хора в старческа възраст и тези с предхождаща анамнеза за сърдечно заболяване. Затова при пациенти с нарушена сърдечна функция трябва да се подхожда предпазливо.</w:t>
      </w:r>
    </w:p>
    <w:p w14:paraId="3E5501D9" w14:textId="77777777" w:rsidR="001B628D" w:rsidRPr="00FE6AC6" w:rsidRDefault="001B628D" w:rsidP="0063575E">
      <w:pPr>
        <w:pStyle w:val="EndnoteText"/>
        <w:widowControl w:val="0"/>
        <w:tabs>
          <w:tab w:val="clear" w:pos="567"/>
        </w:tabs>
        <w:rPr>
          <w:color w:val="000000"/>
          <w:lang w:val="bg-BG"/>
        </w:rPr>
      </w:pPr>
    </w:p>
    <w:p w14:paraId="3E5501DA" w14:textId="77777777" w:rsidR="001B628D" w:rsidRPr="00FE6AC6" w:rsidRDefault="001B628D" w:rsidP="0063575E">
      <w:pPr>
        <w:pStyle w:val="EndnoteText"/>
        <w:keepNext/>
        <w:widowControl w:val="0"/>
        <w:tabs>
          <w:tab w:val="clear" w:pos="567"/>
        </w:tabs>
        <w:rPr>
          <w:color w:val="000000"/>
          <w:u w:val="single"/>
          <w:lang w:val="bg-BG"/>
        </w:rPr>
      </w:pPr>
      <w:r w:rsidRPr="00FE6AC6">
        <w:rPr>
          <w:color w:val="000000"/>
          <w:u w:val="single"/>
          <w:lang w:val="bg-BG"/>
        </w:rPr>
        <w:t>Пациенти със сърдечно заболяване</w:t>
      </w:r>
    </w:p>
    <w:p w14:paraId="3E5501DB" w14:textId="77777777" w:rsidR="001B628D" w:rsidRPr="00FE6AC6" w:rsidRDefault="001B628D" w:rsidP="0063575E">
      <w:pPr>
        <w:pStyle w:val="EndnoteText"/>
        <w:widowControl w:val="0"/>
        <w:tabs>
          <w:tab w:val="clear" w:pos="567"/>
        </w:tabs>
        <w:rPr>
          <w:color w:val="000000"/>
          <w:lang w:val="bg-BG"/>
        </w:rPr>
      </w:pPr>
      <w:r w:rsidRPr="00FE6AC6">
        <w:rPr>
          <w:color w:val="000000"/>
          <w:lang w:val="bg-BG"/>
        </w:rPr>
        <w:t>Пациентите със сърдечно заболяване, рискови фактори за сърдечна недостатъчност или анамнеза за бъбречна недостатъчност трябва да се наблюдават внимателно, а всеки пациент с признаци или симптоми, характерни за сърдечна или бъбречна недостатъчност трябва да бъде изследван и лекуван.</w:t>
      </w:r>
    </w:p>
    <w:p w14:paraId="3E5501DC" w14:textId="77777777" w:rsidR="001B628D" w:rsidRPr="00FE6AC6" w:rsidRDefault="001B628D" w:rsidP="0063575E">
      <w:pPr>
        <w:pStyle w:val="Text"/>
        <w:widowControl w:val="0"/>
        <w:spacing w:before="0"/>
        <w:jc w:val="left"/>
        <w:rPr>
          <w:color w:val="000000"/>
          <w:sz w:val="22"/>
          <w:szCs w:val="22"/>
          <w:lang w:val="bg-BG"/>
        </w:rPr>
      </w:pPr>
    </w:p>
    <w:p w14:paraId="3E5501DD" w14:textId="77777777" w:rsidR="001B628D" w:rsidRPr="00FE6AC6" w:rsidRDefault="001B628D" w:rsidP="0063575E">
      <w:pPr>
        <w:pStyle w:val="Text"/>
        <w:widowControl w:val="0"/>
        <w:spacing w:before="0"/>
        <w:jc w:val="left"/>
        <w:rPr>
          <w:color w:val="000000"/>
          <w:sz w:val="22"/>
          <w:szCs w:val="22"/>
          <w:lang w:val="bg-BG"/>
        </w:rPr>
      </w:pPr>
      <w:r w:rsidRPr="00FE6AC6">
        <w:rPr>
          <w:color w:val="000000"/>
          <w:sz w:val="22"/>
          <w:szCs w:val="22"/>
          <w:lang w:val="bg-BG"/>
        </w:rPr>
        <w:t>При пациенти с хипереозинофилен синдром</w:t>
      </w:r>
      <w:r w:rsidRPr="00FE6AC6">
        <w:rPr>
          <w:snapToGrid w:val="0"/>
          <w:color w:val="000000"/>
          <w:sz w:val="22"/>
          <w:szCs w:val="22"/>
          <w:lang w:val="bg-BG" w:eastAsia="de-DE"/>
        </w:rPr>
        <w:t xml:space="preserve"> (ХЕС) с окултна инфилтрация на ХЕС клетки в миокарда</w:t>
      </w:r>
      <w:r w:rsidRPr="00FE6AC6">
        <w:rPr>
          <w:color w:val="000000"/>
          <w:sz w:val="22"/>
          <w:szCs w:val="22"/>
          <w:lang w:val="bg-BG"/>
        </w:rPr>
        <w:t>, изолирани случаи на кардиогенен шок/левокамерна дисфункция са били свързвани с ХЕС клетъчна дегранулация при започване на лечение с иматиниб. Докладваното състояние е било обратимо при системно приложение на кортикостероиди, циркулаторни поддържащи мерки и временно спиране на иматиниб. Тъй като сърдечни нежелани реакции се докладват не често при иматиниб, преди започване на лечението трябва да се направи внимателна оценка на съотношението полза/риск на терапията с иматиниб при ХЕС/ХЕЛ популацията.</w:t>
      </w:r>
    </w:p>
    <w:p w14:paraId="3E5501DE" w14:textId="77777777" w:rsidR="001B628D" w:rsidRPr="00FE6AC6" w:rsidRDefault="001B628D" w:rsidP="0063575E">
      <w:pPr>
        <w:pStyle w:val="Text"/>
        <w:widowControl w:val="0"/>
        <w:spacing w:before="0"/>
        <w:jc w:val="left"/>
        <w:rPr>
          <w:color w:val="000000"/>
          <w:sz w:val="22"/>
          <w:szCs w:val="22"/>
          <w:lang w:val="bg-BG"/>
        </w:rPr>
      </w:pPr>
    </w:p>
    <w:p w14:paraId="3E5501DF" w14:textId="77777777" w:rsidR="001B628D" w:rsidRPr="00FE6AC6" w:rsidRDefault="001B628D" w:rsidP="0063575E">
      <w:pPr>
        <w:pStyle w:val="Text"/>
        <w:widowControl w:val="0"/>
        <w:spacing w:before="0"/>
        <w:jc w:val="left"/>
        <w:rPr>
          <w:color w:val="000000"/>
          <w:sz w:val="22"/>
          <w:szCs w:val="22"/>
          <w:lang w:val="bg-BG"/>
        </w:rPr>
      </w:pPr>
      <w:r w:rsidRPr="00FE6AC6">
        <w:rPr>
          <w:snapToGrid w:val="0"/>
          <w:color w:val="000000"/>
          <w:sz w:val="22"/>
          <w:szCs w:val="22"/>
          <w:lang w:val="bg-BG" w:eastAsia="de-DE"/>
        </w:rPr>
        <w:t xml:space="preserve">Миелодиспластичният синдром/миелопролиферативните заболявания с </w:t>
      </w:r>
      <w:r w:rsidRPr="00FE6AC6">
        <w:rPr>
          <w:snapToGrid w:val="0"/>
          <w:color w:val="000000"/>
          <w:sz w:val="22"/>
          <w:szCs w:val="22"/>
          <w:lang w:val="en-GB" w:eastAsia="de-DE"/>
        </w:rPr>
        <w:t>PDGFR</w:t>
      </w:r>
      <w:r w:rsidRPr="00FE6AC6">
        <w:rPr>
          <w:snapToGrid w:val="0"/>
          <w:color w:val="000000"/>
          <w:sz w:val="22"/>
          <w:szCs w:val="22"/>
          <w:lang w:val="bg-BG" w:eastAsia="de-DE"/>
        </w:rPr>
        <w:t xml:space="preserve"> генни пренареждания могат да бъдат свързани с високи нива на еозинофилите</w:t>
      </w:r>
      <w:r w:rsidRPr="00FE6AC6">
        <w:rPr>
          <w:color w:val="000000"/>
          <w:sz w:val="22"/>
          <w:szCs w:val="22"/>
          <w:lang w:val="bg-BG"/>
        </w:rPr>
        <w:t>. Поради тази причина е необходимо да се направят оценка от кардиолог, електрокардиограма и определяне на серумния тропонин при пациентите с ХЕС/ХЕЛ, както и при пациенти с МДС/МПЗ, свързани с високи нива на еозинофилите, преди прилагането на иматиниб. Ако някое от горепосочените е извън нормата, при започване на терапията трябва да се има предвид консултация с кардиолог и профилактична употреба на системни кортикостероиди (1</w:t>
      </w:r>
      <w:r w:rsidRPr="00FE6AC6">
        <w:rPr>
          <w:color w:val="000000"/>
          <w:sz w:val="22"/>
          <w:szCs w:val="22"/>
          <w:lang w:val="bg-BG"/>
        </w:rPr>
        <w:noBreakHyphen/>
        <w:t>2</w:t>
      </w:r>
      <w:r w:rsidRPr="00FE6AC6">
        <w:rPr>
          <w:color w:val="000000"/>
          <w:sz w:val="22"/>
          <w:szCs w:val="22"/>
          <w:lang w:val="en-GB"/>
        </w:rPr>
        <w:t> mg</w:t>
      </w:r>
      <w:r w:rsidRPr="00FE6AC6">
        <w:rPr>
          <w:color w:val="000000"/>
          <w:sz w:val="22"/>
          <w:szCs w:val="22"/>
          <w:lang w:val="bg-BG"/>
        </w:rPr>
        <w:t>/</w:t>
      </w:r>
      <w:r w:rsidRPr="00FE6AC6">
        <w:rPr>
          <w:color w:val="000000"/>
          <w:sz w:val="22"/>
          <w:szCs w:val="22"/>
          <w:lang w:val="en-GB"/>
        </w:rPr>
        <w:t>kg</w:t>
      </w:r>
      <w:r w:rsidRPr="00FE6AC6">
        <w:rPr>
          <w:color w:val="000000"/>
          <w:sz w:val="22"/>
          <w:szCs w:val="22"/>
          <w:lang w:val="bg-BG"/>
        </w:rPr>
        <w:t>) в продължение на една или две седмици, едновременно с иматиниб.</w:t>
      </w:r>
    </w:p>
    <w:p w14:paraId="3E5501E0" w14:textId="77777777" w:rsidR="001B628D" w:rsidRPr="00FE6AC6" w:rsidRDefault="001B628D" w:rsidP="0063575E">
      <w:pPr>
        <w:widowControl w:val="0"/>
        <w:tabs>
          <w:tab w:val="clear" w:pos="567"/>
        </w:tabs>
        <w:spacing w:line="240" w:lineRule="auto"/>
        <w:rPr>
          <w:color w:val="000000"/>
          <w:lang w:val="bg-BG"/>
        </w:rPr>
      </w:pPr>
    </w:p>
    <w:p w14:paraId="3E5501E1" w14:textId="77777777" w:rsidR="001B628D" w:rsidRPr="00FE6AC6" w:rsidRDefault="001B628D" w:rsidP="0063575E">
      <w:pPr>
        <w:keepNext/>
        <w:widowControl w:val="0"/>
        <w:tabs>
          <w:tab w:val="clear" w:pos="567"/>
        </w:tabs>
        <w:spacing w:line="240" w:lineRule="auto"/>
        <w:rPr>
          <w:color w:val="000000"/>
          <w:u w:val="single"/>
          <w:lang w:val="bg-BG"/>
        </w:rPr>
      </w:pPr>
      <w:r w:rsidRPr="00FE6AC6">
        <w:rPr>
          <w:color w:val="000000"/>
          <w:u w:val="single"/>
          <w:lang w:val="bg-BG"/>
        </w:rPr>
        <w:t>Гастроинтестинален кръвоизлив</w:t>
      </w:r>
    </w:p>
    <w:p w14:paraId="3E5501E2"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В проучване при пациенти с неподлежащи на резекция и/или метастатични ГИСТ се съобщават както гастро-интестинални, така и вътретуморни кръвоизливи (вж. точка</w:t>
      </w:r>
      <w:r w:rsidRPr="00FE6AC6">
        <w:rPr>
          <w:color w:val="000000"/>
          <w:lang w:val="en-US"/>
        </w:rPr>
        <w:t> </w:t>
      </w:r>
      <w:r w:rsidRPr="00FE6AC6">
        <w:rPr>
          <w:color w:val="000000"/>
          <w:lang w:val="bg-BG"/>
        </w:rPr>
        <w:t>4.8). Въз основа на наличните данни не се установяват предразполагащи фактори (напр. размер на тумора, разположение на тумора и коагулационни нарушения), които да определят пациентите с ГИСТ в риск за някой от двата вида кръвоизливи. Тъй като повишената васкуларизация и склонност към кървене са част от естествения клиничен ход на ГИСТ, при всички пациенти трябва да се прилагат стандартната практика и процедури за проследяване и поведение при кръвоизливи.</w:t>
      </w:r>
    </w:p>
    <w:p w14:paraId="3E5501E3" w14:textId="77777777" w:rsidR="00AB7D04" w:rsidRPr="00FE6AC6" w:rsidRDefault="00AB7D04" w:rsidP="0063575E">
      <w:pPr>
        <w:pStyle w:val="EndnoteText"/>
        <w:widowControl w:val="0"/>
        <w:tabs>
          <w:tab w:val="clear" w:pos="567"/>
        </w:tabs>
        <w:rPr>
          <w:snapToGrid w:val="0"/>
          <w:szCs w:val="22"/>
          <w:lang w:val="bg-BG"/>
        </w:rPr>
      </w:pPr>
    </w:p>
    <w:p w14:paraId="3E5501E4" w14:textId="77777777" w:rsidR="001B628D" w:rsidRPr="00FE6AC6" w:rsidRDefault="00AB7D04" w:rsidP="0063575E">
      <w:pPr>
        <w:widowControl w:val="0"/>
        <w:tabs>
          <w:tab w:val="clear" w:pos="567"/>
        </w:tabs>
        <w:spacing w:line="240" w:lineRule="auto"/>
        <w:rPr>
          <w:lang w:val="bg-BG"/>
        </w:rPr>
      </w:pPr>
      <w:r w:rsidRPr="00FE6AC6">
        <w:rPr>
          <w:lang w:val="bg-BG"/>
        </w:rPr>
        <w:t>Освен това, по време на постмаркетинговия опит при пациенти с ХМЛ, ОЛЛ и други заболявания се съобщава за стомашна антрална съдова ектазия (</w:t>
      </w:r>
      <w:r w:rsidRPr="00FE6AC6">
        <w:t>GAVE</w:t>
      </w:r>
      <w:r w:rsidRPr="00FE6AC6">
        <w:rPr>
          <w:lang w:val="bg-BG"/>
        </w:rPr>
        <w:t xml:space="preserve">), рядка причина за гастроинтестинален кръвоизлив (вж. точка 4.8). Когато е необходимо, може да се обмисли преустановяване на лечението с </w:t>
      </w:r>
      <w:r w:rsidRPr="00FE6AC6">
        <w:t>Glivec</w:t>
      </w:r>
      <w:r w:rsidRPr="00FE6AC6">
        <w:rPr>
          <w:lang w:val="bg-BG"/>
        </w:rPr>
        <w:t>.</w:t>
      </w:r>
    </w:p>
    <w:p w14:paraId="3E5501E5" w14:textId="77777777" w:rsidR="00AB7D04" w:rsidRPr="00FE6AC6" w:rsidRDefault="00AB7D04" w:rsidP="0063575E">
      <w:pPr>
        <w:widowControl w:val="0"/>
        <w:tabs>
          <w:tab w:val="clear" w:pos="567"/>
        </w:tabs>
        <w:spacing w:line="240" w:lineRule="auto"/>
        <w:rPr>
          <w:color w:val="000000"/>
          <w:lang w:val="bg-BG"/>
        </w:rPr>
      </w:pPr>
    </w:p>
    <w:p w14:paraId="3E5501E6" w14:textId="77777777" w:rsidR="001B628D" w:rsidRPr="00FE6AC6" w:rsidRDefault="001B628D" w:rsidP="0063575E">
      <w:pPr>
        <w:keepNext/>
        <w:widowControl w:val="0"/>
        <w:tabs>
          <w:tab w:val="clear" w:pos="567"/>
        </w:tabs>
        <w:spacing w:line="240" w:lineRule="auto"/>
        <w:rPr>
          <w:color w:val="000000"/>
          <w:u w:val="single"/>
          <w:lang w:val="bg-BG"/>
        </w:rPr>
      </w:pPr>
      <w:r w:rsidRPr="00FE6AC6">
        <w:rPr>
          <w:color w:val="000000"/>
          <w:u w:val="single"/>
          <w:lang w:val="bg-BG"/>
        </w:rPr>
        <w:t>Тумор-лизис синдром</w:t>
      </w:r>
    </w:p>
    <w:p w14:paraId="3E5501E7"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 xml:space="preserve">Поради възможността за възникване на тумор-лизис синдром (ТЛС) се препоръчва коригиране на клинично значимата дехидратация и високите нива на пикочна киселина преди започване на лечението с </w:t>
      </w:r>
      <w:r w:rsidRPr="00FE6AC6">
        <w:rPr>
          <w:color w:val="000000"/>
          <w:lang w:val="en-US"/>
        </w:rPr>
        <w:t>Glivec</w:t>
      </w:r>
      <w:r w:rsidRPr="00FE6AC6">
        <w:rPr>
          <w:color w:val="000000"/>
          <w:lang w:val="bg-BG"/>
        </w:rPr>
        <w:t xml:space="preserve"> (вж. точка 4.8).</w:t>
      </w:r>
    </w:p>
    <w:p w14:paraId="3E5501E8" w14:textId="77777777" w:rsidR="0070096E" w:rsidRPr="00FE6AC6" w:rsidRDefault="0070096E" w:rsidP="0063575E">
      <w:pPr>
        <w:widowControl w:val="0"/>
        <w:tabs>
          <w:tab w:val="clear" w:pos="567"/>
        </w:tabs>
        <w:spacing w:line="240" w:lineRule="auto"/>
        <w:rPr>
          <w:color w:val="000000"/>
          <w:lang w:val="bg-BG"/>
        </w:rPr>
      </w:pPr>
    </w:p>
    <w:p w14:paraId="3E5501E9" w14:textId="77777777" w:rsidR="0070096E" w:rsidRPr="00FE6AC6" w:rsidRDefault="0070096E" w:rsidP="0063575E">
      <w:pPr>
        <w:keepNext/>
        <w:widowControl w:val="0"/>
        <w:tabs>
          <w:tab w:val="clear" w:pos="567"/>
        </w:tabs>
        <w:spacing w:line="240" w:lineRule="auto"/>
        <w:rPr>
          <w:color w:val="000000"/>
          <w:u w:val="single"/>
          <w:lang w:val="bg-BG"/>
        </w:rPr>
      </w:pPr>
      <w:r w:rsidRPr="00FE6AC6">
        <w:rPr>
          <w:color w:val="000000"/>
          <w:u w:val="single"/>
          <w:lang w:val="bg-BG"/>
        </w:rPr>
        <w:t>Реактивация на хепатит В</w:t>
      </w:r>
    </w:p>
    <w:p w14:paraId="3E5501EA" w14:textId="77777777" w:rsidR="0070096E" w:rsidRPr="00FE6AC6" w:rsidRDefault="0070096E" w:rsidP="0063575E">
      <w:pPr>
        <w:widowControl w:val="0"/>
        <w:tabs>
          <w:tab w:val="clear" w:pos="567"/>
        </w:tabs>
        <w:spacing w:line="240" w:lineRule="auto"/>
        <w:rPr>
          <w:color w:val="000000"/>
          <w:lang w:val="bg-BG"/>
        </w:rPr>
      </w:pPr>
      <w:r w:rsidRPr="00FE6AC6">
        <w:rPr>
          <w:color w:val="000000"/>
          <w:lang w:val="bg-BG"/>
        </w:rPr>
        <w:t>Наблюдавана е реактивация на хепатит В при пациенти, които са хронични носители на този вирус, след като приемат BCR-ABL тирозинкиназни инхибитори. В някои случаи настъпва остра чернодробна недостатъчност или фулминантен хепатит, водещ до чернодробна трансплантация или фатален изход.</w:t>
      </w:r>
    </w:p>
    <w:p w14:paraId="3E5501EB" w14:textId="77777777" w:rsidR="0070096E" w:rsidRPr="00FE6AC6" w:rsidRDefault="0070096E" w:rsidP="0063575E">
      <w:pPr>
        <w:widowControl w:val="0"/>
        <w:tabs>
          <w:tab w:val="clear" w:pos="567"/>
        </w:tabs>
        <w:spacing w:line="240" w:lineRule="auto"/>
        <w:rPr>
          <w:color w:val="000000"/>
          <w:lang w:val="bg-BG"/>
        </w:rPr>
      </w:pPr>
    </w:p>
    <w:p w14:paraId="3E5501EC" w14:textId="77777777" w:rsidR="001B628D" w:rsidRPr="00FE6AC6" w:rsidRDefault="0070096E" w:rsidP="0063575E">
      <w:pPr>
        <w:widowControl w:val="0"/>
        <w:tabs>
          <w:tab w:val="clear" w:pos="567"/>
        </w:tabs>
        <w:spacing w:line="240" w:lineRule="auto"/>
        <w:rPr>
          <w:color w:val="000000"/>
          <w:lang w:val="bg-BG"/>
        </w:rPr>
      </w:pPr>
      <w:r w:rsidRPr="00FE6AC6">
        <w:rPr>
          <w:color w:val="000000"/>
          <w:lang w:val="bg-BG"/>
        </w:rPr>
        <w:t xml:space="preserve">Преди да започнат лечение с Glivec, пациентите трябва да бъдат изследвани за HBV инфекция. Преди да започнат лечение, пациентите с позитивна серология за хепатит В (включително тези с активно заболяване) и пациенти, които са положителни за HBV инфекция по време на лечение, трябва бъдат консултарани със специалисти в лечението на хепатит В. Носителите на HBV, които имат нужда от лечение с Glivec, трябва да бъдат внимателно проследявани за признаци и симптоми на активна HBV инфекция по време на лечението и няколко месеца след края на лечението (вж. </w:t>
      </w:r>
      <w:r w:rsidR="00950355" w:rsidRPr="00FE6AC6">
        <w:rPr>
          <w:color w:val="000000"/>
          <w:lang w:val="bg-BG"/>
        </w:rPr>
        <w:t>Т</w:t>
      </w:r>
      <w:r w:rsidRPr="00FE6AC6">
        <w:rPr>
          <w:color w:val="000000"/>
          <w:lang w:val="bg-BG"/>
        </w:rPr>
        <w:t>очка</w:t>
      </w:r>
      <w:r w:rsidR="00950355" w:rsidRPr="00FE6AC6">
        <w:rPr>
          <w:color w:val="000000"/>
          <w:lang w:val="de-CH"/>
        </w:rPr>
        <w:t> </w:t>
      </w:r>
      <w:r w:rsidRPr="00FE6AC6">
        <w:rPr>
          <w:color w:val="000000"/>
          <w:lang w:val="bg-BG"/>
        </w:rPr>
        <w:t>4.8).</w:t>
      </w:r>
    </w:p>
    <w:p w14:paraId="3E5501ED" w14:textId="77777777" w:rsidR="00E145CF" w:rsidRPr="00FE6AC6" w:rsidRDefault="00E145CF" w:rsidP="0063575E">
      <w:pPr>
        <w:pStyle w:val="EndnoteText"/>
        <w:widowControl w:val="0"/>
        <w:tabs>
          <w:tab w:val="clear" w:pos="567"/>
        </w:tabs>
        <w:rPr>
          <w:snapToGrid w:val="0"/>
          <w:color w:val="000000"/>
          <w:szCs w:val="22"/>
          <w:lang w:val="bg-BG"/>
        </w:rPr>
      </w:pPr>
    </w:p>
    <w:p w14:paraId="3E5501EE" w14:textId="77777777" w:rsidR="00E145CF" w:rsidRPr="00FE6AC6" w:rsidRDefault="00E145CF" w:rsidP="0063575E">
      <w:pPr>
        <w:pStyle w:val="EndnoteText"/>
        <w:keepNext/>
        <w:widowControl w:val="0"/>
        <w:tabs>
          <w:tab w:val="clear" w:pos="567"/>
        </w:tabs>
        <w:rPr>
          <w:snapToGrid w:val="0"/>
          <w:color w:val="000000"/>
          <w:szCs w:val="22"/>
          <w:u w:val="single"/>
          <w:lang w:val="bg-BG"/>
        </w:rPr>
      </w:pPr>
      <w:r w:rsidRPr="00FE6AC6">
        <w:rPr>
          <w:snapToGrid w:val="0"/>
          <w:color w:val="000000"/>
          <w:szCs w:val="22"/>
          <w:u w:val="single"/>
          <w:lang w:val="bg-BG"/>
        </w:rPr>
        <w:t>Фототоксичност</w:t>
      </w:r>
    </w:p>
    <w:p w14:paraId="3E5501EF" w14:textId="77777777" w:rsidR="00E145CF" w:rsidRPr="00FE6AC6" w:rsidRDefault="00E145CF" w:rsidP="0063575E">
      <w:pPr>
        <w:widowControl w:val="0"/>
        <w:tabs>
          <w:tab w:val="clear" w:pos="567"/>
        </w:tabs>
        <w:spacing w:line="240" w:lineRule="auto"/>
        <w:rPr>
          <w:snapToGrid w:val="0"/>
          <w:color w:val="000000"/>
          <w:szCs w:val="22"/>
          <w:lang w:val="bg-BG"/>
        </w:rPr>
      </w:pPr>
      <w:r w:rsidRPr="00FE6AC6">
        <w:rPr>
          <w:snapToGrid w:val="0"/>
          <w:color w:val="000000"/>
          <w:szCs w:val="22"/>
          <w:lang w:val="bg-BG"/>
        </w:rPr>
        <w:t xml:space="preserve">Излагането на директна слънчева светлина трябва да се избягва или </w:t>
      </w:r>
      <w:r w:rsidR="00257594" w:rsidRPr="00FE6AC6">
        <w:rPr>
          <w:snapToGrid w:val="0"/>
          <w:color w:val="000000"/>
          <w:szCs w:val="22"/>
          <w:lang w:val="bg-BG"/>
        </w:rPr>
        <w:t>намали до минимум</w:t>
      </w:r>
      <w:r w:rsidRPr="00FE6AC6">
        <w:rPr>
          <w:snapToGrid w:val="0"/>
          <w:color w:val="000000"/>
          <w:szCs w:val="22"/>
          <w:lang w:val="bg-BG"/>
        </w:rPr>
        <w:t xml:space="preserve"> поради риска от фототоксичност, свързана с лечението с иматиниб. Пациентите трябва да бъдат инструктирани да използват предпазни средства като предпазно облекло и слънцезащитни продукти с висок слънцезащитен фактор (</w:t>
      </w:r>
      <w:r w:rsidRPr="00FE6AC6">
        <w:rPr>
          <w:snapToGrid w:val="0"/>
          <w:color w:val="000000"/>
          <w:szCs w:val="22"/>
        </w:rPr>
        <w:t>SPF</w:t>
      </w:r>
      <w:r w:rsidRPr="00FE6AC6">
        <w:rPr>
          <w:snapToGrid w:val="0"/>
          <w:color w:val="000000"/>
          <w:szCs w:val="22"/>
          <w:lang w:val="bg-BG"/>
        </w:rPr>
        <w:t>).</w:t>
      </w:r>
    </w:p>
    <w:p w14:paraId="3E5501F0" w14:textId="77777777" w:rsidR="00026816" w:rsidRPr="00FE6AC6" w:rsidRDefault="00026816" w:rsidP="0063575E">
      <w:pPr>
        <w:widowControl w:val="0"/>
        <w:tabs>
          <w:tab w:val="clear" w:pos="567"/>
        </w:tabs>
        <w:spacing w:line="240" w:lineRule="auto"/>
        <w:rPr>
          <w:snapToGrid w:val="0"/>
          <w:color w:val="000000"/>
          <w:szCs w:val="22"/>
          <w:lang w:val="bg-BG"/>
        </w:rPr>
      </w:pPr>
    </w:p>
    <w:p w14:paraId="3E5501F1" w14:textId="77777777" w:rsidR="00026816" w:rsidRPr="00FE6AC6" w:rsidRDefault="00026816" w:rsidP="0063575E">
      <w:pPr>
        <w:pStyle w:val="EndnoteText"/>
        <w:keepNext/>
        <w:widowControl w:val="0"/>
        <w:tabs>
          <w:tab w:val="clear" w:pos="567"/>
        </w:tabs>
        <w:rPr>
          <w:snapToGrid w:val="0"/>
          <w:color w:val="000000"/>
          <w:szCs w:val="22"/>
          <w:u w:val="single"/>
          <w:lang w:val="bg-BG"/>
        </w:rPr>
      </w:pPr>
      <w:r w:rsidRPr="00FE6AC6">
        <w:rPr>
          <w:snapToGrid w:val="0"/>
          <w:color w:val="000000"/>
          <w:szCs w:val="22"/>
          <w:u w:val="single"/>
          <w:lang w:val="bg-BG"/>
        </w:rPr>
        <w:t>Тромботична микроангиопатия</w:t>
      </w:r>
    </w:p>
    <w:p w14:paraId="3E5501F2" w14:textId="77777777" w:rsidR="00026816" w:rsidRPr="00FE6AC6" w:rsidRDefault="00F83BF2" w:rsidP="0063575E">
      <w:pPr>
        <w:pStyle w:val="EndnoteText"/>
        <w:widowControl w:val="0"/>
        <w:tabs>
          <w:tab w:val="clear" w:pos="567"/>
        </w:tabs>
        <w:rPr>
          <w:color w:val="000000"/>
          <w:szCs w:val="22"/>
          <w:lang w:val="bg-BG"/>
        </w:rPr>
      </w:pPr>
      <w:r w:rsidRPr="00FE6AC6">
        <w:rPr>
          <w:color w:val="000000"/>
          <w:szCs w:val="22"/>
        </w:rPr>
        <w:t>BCR</w:t>
      </w:r>
      <w:r w:rsidRPr="00FE6AC6">
        <w:rPr>
          <w:color w:val="000000"/>
          <w:szCs w:val="22"/>
          <w:lang w:val="bg-BG"/>
        </w:rPr>
        <w:t>-</w:t>
      </w:r>
      <w:r w:rsidRPr="00FE6AC6">
        <w:rPr>
          <w:color w:val="000000"/>
          <w:szCs w:val="22"/>
        </w:rPr>
        <w:t>ABL</w:t>
      </w:r>
      <w:r w:rsidRPr="00FE6AC6">
        <w:rPr>
          <w:color w:val="000000"/>
          <w:szCs w:val="22"/>
          <w:lang w:val="bg-BG"/>
        </w:rPr>
        <w:t xml:space="preserve"> тирозинкиназните инхибитори (ТКИ) се свързват с тромботична микроангиопатия (ТМА), включително съобщения на отделни случаи при </w:t>
      </w:r>
      <w:r w:rsidRPr="00FE6AC6">
        <w:rPr>
          <w:color w:val="000000"/>
          <w:szCs w:val="22"/>
        </w:rPr>
        <w:t>Glivec</w:t>
      </w:r>
      <w:r w:rsidRPr="00FE6AC6">
        <w:rPr>
          <w:color w:val="000000"/>
          <w:szCs w:val="22"/>
          <w:lang w:val="bg-BG"/>
        </w:rPr>
        <w:t xml:space="preserve"> (вж. точка</w:t>
      </w:r>
      <w:r w:rsidRPr="00FE6AC6">
        <w:rPr>
          <w:color w:val="000000"/>
          <w:szCs w:val="22"/>
        </w:rPr>
        <w:t> </w:t>
      </w:r>
      <w:r w:rsidRPr="00FE6AC6">
        <w:rPr>
          <w:color w:val="000000"/>
          <w:szCs w:val="22"/>
          <w:lang w:val="bg-BG"/>
        </w:rPr>
        <w:t xml:space="preserve">4.8). Ако при пациенти на лечение с </w:t>
      </w:r>
      <w:r w:rsidRPr="00FE6AC6">
        <w:rPr>
          <w:color w:val="000000"/>
          <w:szCs w:val="22"/>
          <w:lang w:val="en-US"/>
        </w:rPr>
        <w:t>Glivec</w:t>
      </w:r>
      <w:r w:rsidRPr="00FE6AC6">
        <w:rPr>
          <w:color w:val="000000"/>
          <w:szCs w:val="22"/>
          <w:lang w:val="bg-BG"/>
        </w:rPr>
        <w:t xml:space="preserve"> възникнат лабораторни или клинични находки, свързани с ТМА, лечението трябва да се преустанови и да се направи задълбочена оценка за ТМА, включително определяне на активността на </w:t>
      </w:r>
      <w:r w:rsidRPr="00FE6AC6">
        <w:rPr>
          <w:color w:val="000000"/>
          <w:szCs w:val="22"/>
        </w:rPr>
        <w:t>ADAMTS</w:t>
      </w:r>
      <w:r w:rsidRPr="00FE6AC6">
        <w:rPr>
          <w:color w:val="000000"/>
          <w:szCs w:val="22"/>
          <w:lang w:val="bg-BG"/>
        </w:rPr>
        <w:t>13 и наличието на анти</w:t>
      </w:r>
      <w:r w:rsidRPr="00FE6AC6">
        <w:rPr>
          <w:color w:val="000000"/>
          <w:szCs w:val="22"/>
          <w:lang w:val="bg-BG"/>
        </w:rPr>
        <w:noBreakHyphen/>
      </w:r>
      <w:r w:rsidRPr="00FE6AC6">
        <w:rPr>
          <w:color w:val="000000"/>
          <w:szCs w:val="22"/>
        </w:rPr>
        <w:t>ADAMTS</w:t>
      </w:r>
      <w:r w:rsidRPr="00FE6AC6">
        <w:rPr>
          <w:color w:val="000000"/>
          <w:szCs w:val="22"/>
          <w:lang w:val="bg-BG"/>
        </w:rPr>
        <w:t>13 антитела. Ако анти</w:t>
      </w:r>
      <w:r w:rsidRPr="00FE6AC6">
        <w:rPr>
          <w:color w:val="000000"/>
          <w:szCs w:val="22"/>
          <w:lang w:val="bg-BG"/>
        </w:rPr>
        <w:noBreakHyphen/>
      </w:r>
      <w:r w:rsidRPr="00FE6AC6">
        <w:rPr>
          <w:color w:val="000000"/>
          <w:szCs w:val="22"/>
        </w:rPr>
        <w:t>ADAMTS</w:t>
      </w:r>
      <w:r w:rsidRPr="00FE6AC6">
        <w:rPr>
          <w:color w:val="000000"/>
          <w:szCs w:val="22"/>
          <w:lang w:val="bg-BG"/>
        </w:rPr>
        <w:t xml:space="preserve">13 антителата са повишени, съчетано с ниска активност на </w:t>
      </w:r>
      <w:r w:rsidRPr="00FE6AC6">
        <w:rPr>
          <w:color w:val="000000"/>
          <w:szCs w:val="22"/>
        </w:rPr>
        <w:t>ADAMTS</w:t>
      </w:r>
      <w:r w:rsidRPr="00FE6AC6">
        <w:rPr>
          <w:color w:val="000000"/>
          <w:szCs w:val="22"/>
          <w:lang w:val="bg-BG"/>
        </w:rPr>
        <w:t xml:space="preserve">13, лечението с </w:t>
      </w:r>
      <w:r w:rsidRPr="00FE6AC6">
        <w:rPr>
          <w:color w:val="000000"/>
          <w:szCs w:val="22"/>
        </w:rPr>
        <w:t>Glivec</w:t>
      </w:r>
      <w:r w:rsidRPr="00FE6AC6">
        <w:rPr>
          <w:color w:val="000000"/>
          <w:szCs w:val="22"/>
          <w:lang w:val="bg-BG"/>
        </w:rPr>
        <w:t xml:space="preserve"> не трябва да се подновява</w:t>
      </w:r>
      <w:r w:rsidR="00026816" w:rsidRPr="00FE6AC6">
        <w:rPr>
          <w:color w:val="000000"/>
          <w:szCs w:val="22"/>
          <w:lang w:val="bg-BG"/>
        </w:rPr>
        <w:t>.</w:t>
      </w:r>
    </w:p>
    <w:p w14:paraId="3E5501F3" w14:textId="77777777" w:rsidR="0070096E" w:rsidRPr="00FE6AC6" w:rsidRDefault="0070096E" w:rsidP="0063575E">
      <w:pPr>
        <w:widowControl w:val="0"/>
        <w:tabs>
          <w:tab w:val="clear" w:pos="567"/>
        </w:tabs>
        <w:spacing w:line="240" w:lineRule="auto"/>
        <w:rPr>
          <w:color w:val="000000"/>
          <w:u w:val="single"/>
          <w:lang w:val="bg-BG"/>
        </w:rPr>
      </w:pPr>
    </w:p>
    <w:p w14:paraId="3E5501F4" w14:textId="77777777" w:rsidR="001B628D" w:rsidRPr="00FE6AC6" w:rsidRDefault="001B628D" w:rsidP="0063575E">
      <w:pPr>
        <w:keepNext/>
        <w:widowControl w:val="0"/>
        <w:tabs>
          <w:tab w:val="clear" w:pos="567"/>
        </w:tabs>
        <w:spacing w:line="240" w:lineRule="auto"/>
        <w:rPr>
          <w:color w:val="000000"/>
          <w:u w:val="single"/>
          <w:lang w:val="bg-BG"/>
        </w:rPr>
      </w:pPr>
      <w:r w:rsidRPr="00FE6AC6">
        <w:rPr>
          <w:color w:val="000000"/>
          <w:u w:val="single"/>
          <w:lang w:val="bg-BG"/>
        </w:rPr>
        <w:t>Лабораторни изследвания</w:t>
      </w:r>
    </w:p>
    <w:p w14:paraId="3E5501F5"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По време на лечението с Glivec редовно трябва да се извършва определяне на броя на всички кръвни клетки. Лечението с Glivec на пациентите с ХМЛ е свързано с неутропения или тромбоцитопения. Честотата на тези цитопении обаче вероятно е свързана със стадия на заболяването, в който се прилага лечението и са по-чести при пациенти с ХМЛ във фаза на акцелерация или бластна криза, в сравнение с пациентите в хронична фаза на ХМЛ. Лечението с Glivec може да се прекъсва или да се понижава дозата според препоръките в точка</w:t>
      </w:r>
      <w:r w:rsidRPr="00FE6AC6">
        <w:rPr>
          <w:color w:val="000000"/>
          <w:lang w:val="en-US"/>
        </w:rPr>
        <w:t> </w:t>
      </w:r>
      <w:r w:rsidRPr="00FE6AC6">
        <w:rPr>
          <w:color w:val="000000"/>
          <w:lang w:val="bg-BG"/>
        </w:rPr>
        <w:t>4.2.</w:t>
      </w:r>
    </w:p>
    <w:p w14:paraId="3E5501F6" w14:textId="77777777" w:rsidR="001B628D" w:rsidRPr="00FE6AC6" w:rsidRDefault="001B628D" w:rsidP="0063575E">
      <w:pPr>
        <w:widowControl w:val="0"/>
        <w:tabs>
          <w:tab w:val="clear" w:pos="567"/>
        </w:tabs>
        <w:spacing w:line="240" w:lineRule="auto"/>
        <w:rPr>
          <w:color w:val="000000"/>
          <w:lang w:val="bg-BG"/>
        </w:rPr>
      </w:pPr>
    </w:p>
    <w:p w14:paraId="3E5501F7"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При пациентите, получаващи Glivec, редовно трябва да се следи функцията на черния дроб (трансаминази, билирубин, алкална фосфатаза).</w:t>
      </w:r>
    </w:p>
    <w:p w14:paraId="3E5501F8" w14:textId="77777777" w:rsidR="001B628D" w:rsidRPr="00FE6AC6" w:rsidRDefault="001B628D" w:rsidP="0063575E">
      <w:pPr>
        <w:widowControl w:val="0"/>
        <w:tabs>
          <w:tab w:val="clear" w:pos="567"/>
        </w:tabs>
        <w:spacing w:line="240" w:lineRule="auto"/>
        <w:rPr>
          <w:color w:val="000000"/>
          <w:lang w:val="bg-BG"/>
        </w:rPr>
      </w:pPr>
    </w:p>
    <w:p w14:paraId="3E5501F9" w14:textId="77777777" w:rsidR="001B628D" w:rsidRPr="00FE6AC6" w:rsidRDefault="001B628D" w:rsidP="0063575E">
      <w:pPr>
        <w:pStyle w:val="EndnoteText"/>
        <w:widowControl w:val="0"/>
        <w:tabs>
          <w:tab w:val="clear" w:pos="567"/>
        </w:tabs>
        <w:rPr>
          <w:color w:val="000000"/>
          <w:lang w:val="bg-BG"/>
        </w:rPr>
      </w:pPr>
      <w:r w:rsidRPr="00FE6AC6">
        <w:rPr>
          <w:color w:val="000000"/>
          <w:lang w:val="bg-BG"/>
        </w:rPr>
        <w:t xml:space="preserve">При пациенти с нарушена бъбречна функция, плазмената експозиция на иматиниб е по-висока, отколкото при пациенти с нормална бъбречна функция, вероятно поради повишени плазмени нива на </w:t>
      </w:r>
      <w:r w:rsidRPr="00FE6AC6">
        <w:rPr>
          <w:snapToGrid w:val="0"/>
          <w:color w:val="000000"/>
          <w:lang w:val="bg-BG"/>
        </w:rPr>
        <w:t>алфа-киселинния гликопротеин</w:t>
      </w:r>
      <w:r w:rsidRPr="00FE6AC6">
        <w:rPr>
          <w:color w:val="000000"/>
          <w:lang w:val="bg-BG"/>
        </w:rPr>
        <w:t xml:space="preserve"> (</w:t>
      </w:r>
      <w:r w:rsidRPr="00FE6AC6">
        <w:rPr>
          <w:color w:val="000000"/>
        </w:rPr>
        <w:t>AGP</w:t>
      </w:r>
      <w:r w:rsidRPr="00FE6AC6">
        <w:rPr>
          <w:color w:val="000000"/>
          <w:lang w:val="bg-BG"/>
        </w:rPr>
        <w:t>), иматиниб-свързващ протеин, при тези пациенти. При пациентите с бъбречна недостатъчност трябва да се прилага минималната начална доза. Пациентите с тежка бъбречна недостатъчност трябва да бъдат лекувани с повишено внимание. Дозата може да бъде понижена, ако не се понася (вж. точка 4.2 и 5.2).</w:t>
      </w:r>
    </w:p>
    <w:p w14:paraId="3E5501FA" w14:textId="77777777" w:rsidR="00524E38" w:rsidRPr="00FE6AC6" w:rsidRDefault="00524E38" w:rsidP="0063575E">
      <w:pPr>
        <w:pStyle w:val="EndnoteText"/>
        <w:widowControl w:val="0"/>
        <w:tabs>
          <w:tab w:val="clear" w:pos="567"/>
        </w:tabs>
        <w:rPr>
          <w:color w:val="000000"/>
          <w:szCs w:val="22"/>
          <w:lang w:val="bg-BG"/>
        </w:rPr>
      </w:pPr>
    </w:p>
    <w:p w14:paraId="3E5501FB" w14:textId="77777777" w:rsidR="00524E38" w:rsidRPr="00FE6AC6" w:rsidRDefault="00524E38" w:rsidP="0063575E">
      <w:pPr>
        <w:pStyle w:val="EndnoteText"/>
        <w:widowControl w:val="0"/>
        <w:tabs>
          <w:tab w:val="clear" w:pos="567"/>
        </w:tabs>
        <w:rPr>
          <w:color w:val="000000"/>
          <w:szCs w:val="22"/>
          <w:lang w:val="bg-BG"/>
        </w:rPr>
      </w:pPr>
      <w:r w:rsidRPr="00FE6AC6">
        <w:rPr>
          <w:color w:val="000000"/>
          <w:szCs w:val="22"/>
          <w:lang w:val="bg-BG"/>
        </w:rPr>
        <w:t>Продължителното лечение с иматиниб може да бъде свръзано с клинично значимо намаляване на бъбречната функция. Поради тази причина бъбречната функция трябва да бъде оценена преди започване на лечението с иматиниб и да бъде внимателно прослед</w:t>
      </w:r>
      <w:r w:rsidR="00153137" w:rsidRPr="00FE6AC6">
        <w:rPr>
          <w:color w:val="000000"/>
          <w:szCs w:val="22"/>
          <w:lang w:val="bg-BG"/>
        </w:rPr>
        <w:t>явана</w:t>
      </w:r>
      <w:r w:rsidRPr="00FE6AC6">
        <w:rPr>
          <w:color w:val="000000"/>
          <w:szCs w:val="22"/>
          <w:lang w:val="bg-BG"/>
        </w:rPr>
        <w:t xml:space="preserve"> по време на лечението, като се обърне специално внимание на пациентите, изложени на рискови фактори за развитие на бъбречна дисфункция. Ако се наблюдава бъбречна дисфункция, трябва да бъде предписано </w:t>
      </w:r>
      <w:r w:rsidR="00153137" w:rsidRPr="00FE6AC6">
        <w:rPr>
          <w:color w:val="000000"/>
          <w:szCs w:val="22"/>
          <w:lang w:val="bg-BG"/>
        </w:rPr>
        <w:t>подходящо</w:t>
      </w:r>
      <w:r w:rsidRPr="00FE6AC6">
        <w:rPr>
          <w:color w:val="000000"/>
          <w:szCs w:val="22"/>
          <w:lang w:val="bg-BG"/>
        </w:rPr>
        <w:t xml:space="preserve"> лечение в съответствие със </w:t>
      </w:r>
      <w:r w:rsidR="007F7ABD" w:rsidRPr="00FE6AC6">
        <w:rPr>
          <w:color w:val="000000"/>
          <w:szCs w:val="22"/>
          <w:lang w:val="bg-BG"/>
        </w:rPr>
        <w:t>стандартите за лечение</w:t>
      </w:r>
      <w:r w:rsidRPr="00FE6AC6">
        <w:rPr>
          <w:color w:val="000000"/>
          <w:szCs w:val="22"/>
          <w:lang w:val="bg-BG"/>
        </w:rPr>
        <w:t>.</w:t>
      </w:r>
    </w:p>
    <w:p w14:paraId="3E5501FC" w14:textId="77777777" w:rsidR="001B628D" w:rsidRPr="00FE6AC6" w:rsidRDefault="001B628D" w:rsidP="0063575E">
      <w:pPr>
        <w:pStyle w:val="EndnoteText"/>
        <w:widowControl w:val="0"/>
        <w:tabs>
          <w:tab w:val="clear" w:pos="567"/>
        </w:tabs>
        <w:rPr>
          <w:color w:val="000000"/>
          <w:lang w:val="bg-BG"/>
        </w:rPr>
      </w:pPr>
    </w:p>
    <w:p w14:paraId="3E5501FD" w14:textId="77777777" w:rsidR="001B628D" w:rsidRPr="00FE6AC6" w:rsidRDefault="001B628D" w:rsidP="0063575E">
      <w:pPr>
        <w:pStyle w:val="EndnoteText"/>
        <w:keepNext/>
        <w:widowControl w:val="0"/>
        <w:tabs>
          <w:tab w:val="clear" w:pos="567"/>
        </w:tabs>
        <w:rPr>
          <w:color w:val="000000"/>
          <w:u w:val="single"/>
          <w:lang w:val="bg-BG"/>
        </w:rPr>
      </w:pPr>
      <w:r w:rsidRPr="00FE6AC6">
        <w:rPr>
          <w:color w:val="000000"/>
          <w:u w:val="single"/>
          <w:lang w:val="bg-BG"/>
        </w:rPr>
        <w:t>Педиатрична популация</w:t>
      </w:r>
    </w:p>
    <w:p w14:paraId="3E5501FE" w14:textId="77777777" w:rsidR="001B628D" w:rsidRPr="00FE6AC6" w:rsidRDefault="001B628D" w:rsidP="0063575E">
      <w:pPr>
        <w:pStyle w:val="EndnoteText"/>
        <w:widowControl w:val="0"/>
        <w:tabs>
          <w:tab w:val="clear" w:pos="567"/>
        </w:tabs>
        <w:rPr>
          <w:color w:val="000000"/>
          <w:lang w:val="bg-BG"/>
        </w:rPr>
      </w:pPr>
      <w:r w:rsidRPr="00FE6AC6">
        <w:rPr>
          <w:color w:val="000000"/>
          <w:lang w:val="bg-BG"/>
        </w:rPr>
        <w:t xml:space="preserve">Има съобщения за случаи на изоставане в растежа при деца и подрастващи, приемащи иматиниб. </w:t>
      </w:r>
      <w:r w:rsidR="00666D39" w:rsidRPr="00FE6AC6">
        <w:rPr>
          <w:color w:val="000000"/>
          <w:lang w:val="bg-BG"/>
        </w:rPr>
        <w:t xml:space="preserve">В обсервационно проучване </w:t>
      </w:r>
      <w:r w:rsidR="00271395" w:rsidRPr="00FE6AC6">
        <w:rPr>
          <w:color w:val="000000"/>
          <w:lang w:val="bg-BG"/>
        </w:rPr>
        <w:t>при</w:t>
      </w:r>
      <w:r w:rsidR="00666D39" w:rsidRPr="00FE6AC6">
        <w:rPr>
          <w:color w:val="000000"/>
          <w:lang w:val="bg-BG"/>
        </w:rPr>
        <w:t xml:space="preserve"> педиатричната популация с ХМЛ се съобщава за статистически значимо (но с не</w:t>
      </w:r>
      <w:r w:rsidR="00271395" w:rsidRPr="00FE6AC6">
        <w:rPr>
          <w:color w:val="000000"/>
          <w:lang w:val="bg-BG"/>
        </w:rPr>
        <w:t>определено</w:t>
      </w:r>
      <w:r w:rsidR="00666D39" w:rsidRPr="00FE6AC6">
        <w:rPr>
          <w:color w:val="000000"/>
          <w:lang w:val="bg-BG"/>
        </w:rPr>
        <w:t xml:space="preserve"> клинично значение) понижение в медианата на скоровете за стандартно отклонение в ръста след 12 и 24 месеца лечение в две малки подгрупи, независимо от пубертетния статус или пола</w:t>
      </w:r>
      <w:r w:rsidR="00784128" w:rsidRPr="00FE6AC6">
        <w:rPr>
          <w:color w:val="000000"/>
          <w:lang w:val="bg-BG"/>
        </w:rPr>
        <w:t xml:space="preserve">. Препоръчва се внимателно проследяване на растежа </w:t>
      </w:r>
      <w:r w:rsidRPr="00FE6AC6">
        <w:rPr>
          <w:color w:val="000000"/>
          <w:lang w:val="bg-BG"/>
        </w:rPr>
        <w:t>при децата на лечение с иматиниб (вж. точка</w:t>
      </w:r>
      <w:r w:rsidR="00041540" w:rsidRPr="00FE6AC6">
        <w:rPr>
          <w:color w:val="000000"/>
          <w:lang w:val="en-US"/>
        </w:rPr>
        <w:t> </w:t>
      </w:r>
      <w:r w:rsidRPr="00FE6AC6">
        <w:rPr>
          <w:color w:val="000000"/>
          <w:lang w:val="bg-BG"/>
        </w:rPr>
        <w:t>4.8).</w:t>
      </w:r>
    </w:p>
    <w:p w14:paraId="3E5501FF" w14:textId="77777777" w:rsidR="001B628D" w:rsidRPr="00FE6AC6" w:rsidRDefault="001B628D" w:rsidP="0063575E">
      <w:pPr>
        <w:widowControl w:val="0"/>
        <w:tabs>
          <w:tab w:val="clear" w:pos="567"/>
        </w:tabs>
        <w:spacing w:line="240" w:lineRule="auto"/>
        <w:rPr>
          <w:color w:val="000000"/>
          <w:lang w:val="bg-BG"/>
        </w:rPr>
      </w:pPr>
    </w:p>
    <w:p w14:paraId="3E550200" w14:textId="77777777" w:rsidR="001B628D" w:rsidRPr="00FE6AC6" w:rsidRDefault="001B628D" w:rsidP="0063575E">
      <w:pPr>
        <w:keepNext/>
        <w:widowControl w:val="0"/>
        <w:spacing w:line="240" w:lineRule="auto"/>
        <w:ind w:left="567" w:hanging="567"/>
        <w:rPr>
          <w:color w:val="000000"/>
          <w:lang w:val="bg-BG"/>
        </w:rPr>
      </w:pPr>
      <w:r w:rsidRPr="00FE6AC6">
        <w:rPr>
          <w:b/>
          <w:color w:val="000000"/>
          <w:lang w:val="bg-BG"/>
        </w:rPr>
        <w:t>4.5</w:t>
      </w:r>
      <w:r w:rsidRPr="00FE6AC6">
        <w:rPr>
          <w:b/>
          <w:color w:val="000000"/>
          <w:lang w:val="bg-BG"/>
        </w:rPr>
        <w:tab/>
        <w:t>Взаимодействие с други лекарствени продукти и други форми на взаимодействие</w:t>
      </w:r>
    </w:p>
    <w:p w14:paraId="3E550201" w14:textId="77777777" w:rsidR="001B628D" w:rsidRPr="00FE6AC6" w:rsidRDefault="001B628D" w:rsidP="0063575E">
      <w:pPr>
        <w:keepNext/>
        <w:widowControl w:val="0"/>
        <w:tabs>
          <w:tab w:val="clear" w:pos="567"/>
        </w:tabs>
        <w:spacing w:line="240" w:lineRule="auto"/>
        <w:rPr>
          <w:color w:val="000000"/>
          <w:lang w:val="bg-BG"/>
        </w:rPr>
      </w:pPr>
    </w:p>
    <w:p w14:paraId="3E550202"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 xml:space="preserve">Активни вещества, които могат да </w:t>
      </w:r>
      <w:r w:rsidRPr="00FE6AC6">
        <w:rPr>
          <w:b/>
          <w:color w:val="000000"/>
          <w:u w:val="single"/>
          <w:lang w:val="bg-BG"/>
        </w:rPr>
        <w:t xml:space="preserve">повишат </w:t>
      </w:r>
      <w:r w:rsidRPr="00FE6AC6">
        <w:rPr>
          <w:color w:val="000000"/>
          <w:u w:val="single"/>
          <w:lang w:val="bg-BG"/>
        </w:rPr>
        <w:t>плазмените концентрации на иматиниб:</w:t>
      </w:r>
    </w:p>
    <w:p w14:paraId="3E550203" w14:textId="77777777" w:rsidR="001B628D" w:rsidRPr="00FE6AC6" w:rsidRDefault="001B628D" w:rsidP="0063575E">
      <w:pPr>
        <w:widowControl w:val="0"/>
        <w:spacing w:line="240" w:lineRule="auto"/>
        <w:rPr>
          <w:color w:val="000000"/>
          <w:lang w:val="bg-BG"/>
        </w:rPr>
      </w:pPr>
      <w:r w:rsidRPr="00FE6AC6">
        <w:rPr>
          <w:color w:val="000000"/>
          <w:lang w:val="bg-BG"/>
        </w:rPr>
        <w:t>Веществата, които инхибират активността на цитохром P450</w:t>
      </w:r>
      <w:r w:rsidRPr="00FE6AC6">
        <w:rPr>
          <w:color w:val="000000"/>
          <w:lang w:val="en-US"/>
        </w:rPr>
        <w:t> </w:t>
      </w:r>
      <w:r w:rsidRPr="00FE6AC6">
        <w:rPr>
          <w:color w:val="000000"/>
          <w:lang w:val="bg-BG"/>
        </w:rPr>
        <w:t>изоензима CYP3A4</w:t>
      </w:r>
      <w:r w:rsidRPr="00FE6AC6">
        <w:rPr>
          <w:color w:val="000000"/>
          <w:lang w:val="en-US"/>
        </w:rPr>
        <w:t> </w:t>
      </w:r>
      <w:r w:rsidRPr="00FE6AC6">
        <w:rPr>
          <w:color w:val="000000"/>
          <w:lang w:val="bg-BG"/>
        </w:rPr>
        <w:t>(напр. протеазни инхибитори като индинавир, лопинавир/ритонавир, ритонавир, саквинавир, телапревир, нелфинавир, боцепревир; противогъбични азоли като кетоконазол, итраконазол, позаконазол, вориконазол; някои макролиди като еритромицин, кларитромицин и телитромицин) може да забавят метаболизма и да повишат концентрациите на иматиниб. При здрави лица е наблюдавано значимо повишение на експозицията на иматиниб (средната C</w:t>
      </w:r>
      <w:r w:rsidRPr="00FE6AC6">
        <w:rPr>
          <w:color w:val="000000"/>
          <w:vertAlign w:val="subscript"/>
          <w:lang w:val="bg-BG"/>
        </w:rPr>
        <w:t>max</w:t>
      </w:r>
      <w:r w:rsidRPr="00FE6AC6">
        <w:rPr>
          <w:color w:val="000000"/>
          <w:lang w:val="bg-BG"/>
        </w:rPr>
        <w:t xml:space="preserve"> и AUC на иматиниб нарастват съответно с</w:t>
      </w:r>
      <w:r w:rsidRPr="00FE6AC6">
        <w:rPr>
          <w:color w:val="000000"/>
          <w:lang w:val="en-US"/>
        </w:rPr>
        <w:t> </w:t>
      </w:r>
      <w:r w:rsidRPr="00FE6AC6">
        <w:rPr>
          <w:color w:val="000000"/>
          <w:lang w:val="bg-BG"/>
        </w:rPr>
        <w:t>26% и</w:t>
      </w:r>
      <w:r w:rsidRPr="00FE6AC6">
        <w:rPr>
          <w:color w:val="000000"/>
          <w:lang w:val="en-US"/>
        </w:rPr>
        <w:t> </w:t>
      </w:r>
      <w:r w:rsidRPr="00FE6AC6">
        <w:rPr>
          <w:color w:val="000000"/>
          <w:lang w:val="bg-BG"/>
        </w:rPr>
        <w:t>40%), ако той се прилага заедно с единична доза кетоконазол (CYP3A4</w:t>
      </w:r>
      <w:r w:rsidRPr="00FE6AC6">
        <w:rPr>
          <w:color w:val="000000"/>
          <w:lang w:val="en-US"/>
        </w:rPr>
        <w:t> </w:t>
      </w:r>
      <w:r w:rsidRPr="00FE6AC6">
        <w:rPr>
          <w:color w:val="000000"/>
          <w:lang w:val="bg-BG"/>
        </w:rPr>
        <w:t>инхибитор). Трябва да се подхожда предпазливо, ако Glivec се прилага съвместно с инхибитори от групата на CYP3A4 ензимите.</w:t>
      </w:r>
    </w:p>
    <w:p w14:paraId="3E550204" w14:textId="77777777" w:rsidR="001B628D" w:rsidRPr="00FE6AC6" w:rsidRDefault="001B628D" w:rsidP="0063575E">
      <w:pPr>
        <w:widowControl w:val="0"/>
        <w:spacing w:line="240" w:lineRule="auto"/>
        <w:rPr>
          <w:color w:val="000000"/>
          <w:lang w:val="bg-BG"/>
        </w:rPr>
      </w:pPr>
    </w:p>
    <w:p w14:paraId="3E550205"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 xml:space="preserve">Активни вещества, които могат да </w:t>
      </w:r>
      <w:r w:rsidRPr="00FE6AC6">
        <w:rPr>
          <w:b/>
          <w:color w:val="000000"/>
          <w:u w:val="single"/>
          <w:lang w:val="bg-BG"/>
        </w:rPr>
        <w:t xml:space="preserve">понижат </w:t>
      </w:r>
      <w:r w:rsidRPr="00FE6AC6">
        <w:rPr>
          <w:color w:val="000000"/>
          <w:u w:val="single"/>
          <w:lang w:val="bg-BG"/>
        </w:rPr>
        <w:t>плазмените концентрации на иматиниб:</w:t>
      </w:r>
    </w:p>
    <w:p w14:paraId="3E550206" w14:textId="77777777" w:rsidR="001B628D" w:rsidRPr="00FE6AC6" w:rsidRDefault="001B628D" w:rsidP="0063575E">
      <w:pPr>
        <w:widowControl w:val="0"/>
        <w:spacing w:line="240" w:lineRule="auto"/>
        <w:rPr>
          <w:color w:val="000000"/>
          <w:lang w:val="bg-BG"/>
        </w:rPr>
      </w:pPr>
      <w:r w:rsidRPr="00FE6AC6">
        <w:rPr>
          <w:color w:val="000000"/>
          <w:lang w:val="bg-BG"/>
        </w:rPr>
        <w:t xml:space="preserve">Веществата, които са индуктoри на активността на CYP3A4 (напр. дексаметазон, фенитоин, карбамазепин, рифампицин, фенобарбитал, </w:t>
      </w:r>
      <w:r w:rsidRPr="00FE6AC6">
        <w:rPr>
          <w:color w:val="000000"/>
          <w:szCs w:val="22"/>
          <w:lang w:val="bg-BG"/>
        </w:rPr>
        <w:t>фосфенитоин, примидон</w:t>
      </w:r>
      <w:r w:rsidRPr="00FE6AC6">
        <w:rPr>
          <w:color w:val="000000"/>
          <w:lang w:val="bg-BG"/>
        </w:rPr>
        <w:t xml:space="preserve"> или растението </w:t>
      </w:r>
      <w:r w:rsidRPr="00FE6AC6">
        <w:rPr>
          <w:i/>
          <w:color w:val="000000"/>
        </w:rPr>
        <w:t>Hypericum</w:t>
      </w:r>
      <w:r w:rsidRPr="00FE6AC6">
        <w:rPr>
          <w:i/>
          <w:color w:val="000000"/>
          <w:lang w:val="ru-RU"/>
        </w:rPr>
        <w:t xml:space="preserve"> </w:t>
      </w:r>
      <w:r w:rsidRPr="00FE6AC6">
        <w:rPr>
          <w:i/>
          <w:color w:val="000000"/>
        </w:rPr>
        <w:t>perforatum</w:t>
      </w:r>
      <w:r w:rsidRPr="00FE6AC6">
        <w:rPr>
          <w:color w:val="000000"/>
          <w:lang w:val="bg-BG"/>
        </w:rPr>
        <w:t>, известно още като жълт кантарион) могат значително да понижат експозицията на Glivec като така е възможно да повишат риска за неуспех от терапията. При предварителното прилагане на многократни дози рифампицин</w:t>
      </w:r>
      <w:r w:rsidRPr="00FE6AC6">
        <w:rPr>
          <w:color w:val="000000"/>
          <w:lang w:val="en-US"/>
        </w:rPr>
        <w:t> </w:t>
      </w:r>
      <w:r w:rsidRPr="00FE6AC6">
        <w:rPr>
          <w:color w:val="000000"/>
          <w:lang w:val="bg-BG"/>
        </w:rPr>
        <w:t>600 mg, последвано от единична доза от</w:t>
      </w:r>
      <w:r w:rsidRPr="00FE6AC6">
        <w:rPr>
          <w:color w:val="000000"/>
          <w:lang w:val="en-US"/>
        </w:rPr>
        <w:t> </w:t>
      </w:r>
      <w:r w:rsidRPr="00FE6AC6">
        <w:rPr>
          <w:color w:val="000000"/>
          <w:lang w:val="bg-BG"/>
        </w:rPr>
        <w:t>400 mg Glivec е наблюдавано понижение на C</w:t>
      </w:r>
      <w:r w:rsidRPr="00FE6AC6">
        <w:rPr>
          <w:color w:val="000000"/>
          <w:vertAlign w:val="subscript"/>
          <w:lang w:val="bg-BG"/>
        </w:rPr>
        <w:t xml:space="preserve">max </w:t>
      </w:r>
      <w:r w:rsidRPr="00FE6AC6">
        <w:rPr>
          <w:color w:val="000000"/>
          <w:lang w:val="bg-BG"/>
        </w:rPr>
        <w:t>и AUC</w:t>
      </w:r>
      <w:r w:rsidRPr="00FE6AC6">
        <w:rPr>
          <w:color w:val="000000"/>
          <w:vertAlign w:val="subscript"/>
          <w:lang w:val="ru-RU"/>
        </w:rPr>
        <w:t>(0-∞)</w:t>
      </w:r>
      <w:r w:rsidRPr="00FE6AC6">
        <w:rPr>
          <w:color w:val="000000"/>
          <w:lang w:val="ru-RU"/>
        </w:rPr>
        <w:t xml:space="preserve"> </w:t>
      </w:r>
      <w:r w:rsidRPr="00FE6AC6">
        <w:rPr>
          <w:color w:val="000000"/>
          <w:lang w:val="bg-BG"/>
        </w:rPr>
        <w:t>с поне</w:t>
      </w:r>
      <w:r w:rsidRPr="00FE6AC6">
        <w:rPr>
          <w:color w:val="000000"/>
          <w:lang w:val="en-US"/>
        </w:rPr>
        <w:t> </w:t>
      </w:r>
      <w:r w:rsidRPr="00FE6AC6">
        <w:rPr>
          <w:color w:val="000000"/>
          <w:lang w:val="bg-BG"/>
        </w:rPr>
        <w:t>54% и</w:t>
      </w:r>
      <w:r w:rsidRPr="00FE6AC6">
        <w:rPr>
          <w:color w:val="000000"/>
          <w:lang w:val="en-US"/>
        </w:rPr>
        <w:t> </w:t>
      </w:r>
      <w:r w:rsidRPr="00FE6AC6">
        <w:rPr>
          <w:color w:val="000000"/>
          <w:lang w:val="bg-BG"/>
        </w:rPr>
        <w:t xml:space="preserve">74% от съответните стойности, сравнявано с тези без лечение с рифампицин. Подобни резултати са наблюдавани при пациенти с малигнени глиоми, които са лекувани с Glivec по време на приема на ензим-индуциращи антиепилептични лекарствени продукти (EIAEDs) като карбамазепин, окскарбазепин и фенитоин. Плазмената </w:t>
      </w:r>
      <w:r w:rsidRPr="00FE6AC6">
        <w:t>AUC</w:t>
      </w:r>
      <w:r w:rsidRPr="00FE6AC6">
        <w:rPr>
          <w:lang w:val="bg-BG"/>
        </w:rPr>
        <w:t xml:space="preserve"> за иматиниб се понижава със</w:t>
      </w:r>
      <w:r w:rsidRPr="00FE6AC6">
        <w:rPr>
          <w:lang w:val="de-CH"/>
        </w:rPr>
        <w:t> </w:t>
      </w:r>
      <w:r w:rsidRPr="00FE6AC6">
        <w:rPr>
          <w:lang w:val="bg-BG"/>
        </w:rPr>
        <w:t>73%, в сравнение с п</w:t>
      </w:r>
      <w:r w:rsidRPr="00FE6AC6">
        <w:rPr>
          <w:lang w:val="en-US"/>
        </w:rPr>
        <w:t>a</w:t>
      </w:r>
      <w:r w:rsidRPr="00FE6AC6">
        <w:rPr>
          <w:lang w:val="bg-BG"/>
        </w:rPr>
        <w:t>циентите, които не приемат EIAEDs.</w:t>
      </w:r>
      <w:r w:rsidRPr="00FE6AC6">
        <w:rPr>
          <w:lang w:val="ru-RU"/>
        </w:rPr>
        <w:t xml:space="preserve"> Трябва</w:t>
      </w:r>
      <w:r w:rsidRPr="00FE6AC6">
        <w:rPr>
          <w:color w:val="000000"/>
          <w:lang w:val="bg-BG"/>
        </w:rPr>
        <w:t xml:space="preserve"> да се избягва съвместната употреба на рифампицин или други мощни индуктори на CYP3A4 и иматиниб.</w:t>
      </w:r>
    </w:p>
    <w:p w14:paraId="3E550207" w14:textId="77777777" w:rsidR="001B628D" w:rsidRPr="00FE6AC6" w:rsidRDefault="001B628D" w:rsidP="0063575E">
      <w:pPr>
        <w:widowControl w:val="0"/>
        <w:spacing w:line="240" w:lineRule="auto"/>
        <w:rPr>
          <w:color w:val="000000"/>
          <w:lang w:val="bg-BG"/>
        </w:rPr>
      </w:pPr>
    </w:p>
    <w:p w14:paraId="3E550208" w14:textId="77777777" w:rsidR="001B628D" w:rsidRPr="00FE6AC6" w:rsidRDefault="001B628D" w:rsidP="0063575E">
      <w:pPr>
        <w:keepNext/>
        <w:widowControl w:val="0"/>
        <w:spacing w:line="240" w:lineRule="auto"/>
        <w:rPr>
          <w:b/>
          <w:color w:val="000000"/>
          <w:lang w:val="bg-BG"/>
        </w:rPr>
      </w:pPr>
      <w:r w:rsidRPr="00FE6AC6">
        <w:rPr>
          <w:b/>
          <w:color w:val="000000"/>
          <w:lang w:val="bg-BG"/>
        </w:rPr>
        <w:t>Активни вещества, чиито плазмени концентрации могат да се променят от Glivec</w:t>
      </w:r>
    </w:p>
    <w:p w14:paraId="3E550209" w14:textId="77777777" w:rsidR="001B628D" w:rsidRPr="00FE6AC6" w:rsidRDefault="001B628D" w:rsidP="0063575E">
      <w:pPr>
        <w:widowControl w:val="0"/>
        <w:spacing w:line="240" w:lineRule="auto"/>
        <w:rPr>
          <w:color w:val="000000"/>
          <w:lang w:val="bg-BG"/>
        </w:rPr>
      </w:pPr>
      <w:r w:rsidRPr="00FE6AC6">
        <w:rPr>
          <w:color w:val="000000"/>
          <w:lang w:val="bg-BG"/>
        </w:rPr>
        <w:t>Иматиниб повишава средните C</w:t>
      </w:r>
      <w:r w:rsidRPr="00FE6AC6">
        <w:rPr>
          <w:color w:val="000000"/>
          <w:vertAlign w:val="subscript"/>
          <w:lang w:val="bg-BG"/>
        </w:rPr>
        <w:t>max</w:t>
      </w:r>
      <w:r w:rsidRPr="00FE6AC6">
        <w:rPr>
          <w:color w:val="000000"/>
          <w:lang w:val="bg-BG"/>
        </w:rPr>
        <w:t xml:space="preserve"> и AUC на симвастатин (субстрат на CYP3A4) съответно</w:t>
      </w:r>
      <w:r w:rsidRPr="00FE6AC6">
        <w:rPr>
          <w:color w:val="000000"/>
          <w:lang w:val="en-US"/>
        </w:rPr>
        <w:t> </w:t>
      </w:r>
      <w:r w:rsidRPr="00FE6AC6">
        <w:rPr>
          <w:color w:val="000000"/>
          <w:lang w:val="bg-BG"/>
        </w:rPr>
        <w:t>2</w:t>
      </w:r>
      <w:r w:rsidRPr="00FE6AC6">
        <w:rPr>
          <w:color w:val="000000"/>
          <w:lang w:val="en-US"/>
        </w:rPr>
        <w:t> </w:t>
      </w:r>
      <w:r w:rsidRPr="00FE6AC6">
        <w:rPr>
          <w:color w:val="000000"/>
          <w:lang w:val="bg-BG"/>
        </w:rPr>
        <w:t>и</w:t>
      </w:r>
      <w:r w:rsidRPr="00FE6AC6">
        <w:rPr>
          <w:color w:val="000000"/>
          <w:lang w:val="en-US"/>
        </w:rPr>
        <w:t> </w:t>
      </w:r>
      <w:r w:rsidRPr="00FE6AC6">
        <w:rPr>
          <w:color w:val="000000"/>
          <w:lang w:val="bg-BG"/>
        </w:rPr>
        <w:t>3,5</w:t>
      </w:r>
      <w:r w:rsidRPr="00FE6AC6">
        <w:rPr>
          <w:color w:val="000000"/>
          <w:lang w:val="en-US"/>
        </w:rPr>
        <w:t> </w:t>
      </w:r>
      <w:r w:rsidRPr="00FE6AC6">
        <w:rPr>
          <w:color w:val="000000"/>
          <w:lang w:val="bg-BG"/>
        </w:rPr>
        <w:t>пъти, което показва инхибиране на CYP3A4</w:t>
      </w:r>
      <w:r w:rsidRPr="00FE6AC6">
        <w:rPr>
          <w:color w:val="000000"/>
          <w:lang w:val="en-US"/>
        </w:rPr>
        <w:t> </w:t>
      </w:r>
      <w:r w:rsidRPr="00FE6AC6">
        <w:rPr>
          <w:color w:val="000000"/>
          <w:lang w:val="bg-BG"/>
        </w:rPr>
        <w:t>от иматиниб. Затова се препоръчва внимателно поведение, ако Glivec се прилага със субстрати на CYP3A4</w:t>
      </w:r>
      <w:r w:rsidRPr="00FE6AC6">
        <w:rPr>
          <w:color w:val="000000"/>
          <w:lang w:val="en-US"/>
        </w:rPr>
        <w:t> </w:t>
      </w:r>
      <w:r w:rsidRPr="00FE6AC6">
        <w:rPr>
          <w:color w:val="000000"/>
          <w:lang w:val="bg-BG"/>
        </w:rPr>
        <w:t>с тесен терапевтичен индекс (напр. циклоспорин, пимозид, такролимус, сиролимус, ерготамин, диерготамин, фентанил, алфентанил, терфенадин, бортезомиб, доцетаксел и хинидин). Glivec може да повиши плазмените концентрации на други метаболизирани от CYP3A4</w:t>
      </w:r>
      <w:r w:rsidRPr="00FE6AC6">
        <w:rPr>
          <w:color w:val="000000"/>
          <w:lang w:val="en-US"/>
        </w:rPr>
        <w:t> </w:t>
      </w:r>
      <w:r w:rsidRPr="00FE6AC6">
        <w:rPr>
          <w:color w:val="000000"/>
          <w:lang w:val="bg-BG"/>
        </w:rPr>
        <w:t>лекарства (напр. триазолови бензодиазипини, блокери на калциевите канали от дихидропиридинов тип, определени инхибитори на HMG-CoA редуктазата, напр. статини и т.н.).</w:t>
      </w:r>
    </w:p>
    <w:p w14:paraId="3E55020A" w14:textId="77777777" w:rsidR="001B628D" w:rsidRPr="00FE6AC6" w:rsidRDefault="001B628D" w:rsidP="0063575E">
      <w:pPr>
        <w:widowControl w:val="0"/>
        <w:spacing w:line="240" w:lineRule="auto"/>
        <w:rPr>
          <w:color w:val="000000"/>
          <w:lang w:val="bg-BG"/>
        </w:rPr>
      </w:pPr>
    </w:p>
    <w:p w14:paraId="3E55020B" w14:textId="77777777" w:rsidR="001B628D" w:rsidRPr="00FE6AC6" w:rsidRDefault="001B628D" w:rsidP="0063575E">
      <w:pPr>
        <w:widowControl w:val="0"/>
        <w:spacing w:line="240" w:lineRule="auto"/>
        <w:rPr>
          <w:color w:val="000000"/>
          <w:lang w:val="bg-BG"/>
        </w:rPr>
      </w:pPr>
      <w:r w:rsidRPr="00FE6AC6">
        <w:rPr>
          <w:color w:val="000000"/>
          <w:lang w:val="bg-BG"/>
        </w:rPr>
        <w:t>Поради известния повишен риск от кървене, свързан с употребата на иматиниб (напр. хеморагия), пациентите, които се нуждаят от антикоагулантна терапия, трябва да получават нискомолекулен или стандартен хепарин, вместо кумаринови производни, като варфарин.</w:t>
      </w:r>
    </w:p>
    <w:p w14:paraId="3E55020C" w14:textId="77777777" w:rsidR="001B628D" w:rsidRPr="00FE6AC6" w:rsidRDefault="001B628D" w:rsidP="0063575E">
      <w:pPr>
        <w:widowControl w:val="0"/>
        <w:spacing w:line="240" w:lineRule="auto"/>
        <w:rPr>
          <w:color w:val="000000"/>
          <w:lang w:val="bg-BG"/>
        </w:rPr>
      </w:pPr>
    </w:p>
    <w:p w14:paraId="3E55020D" w14:textId="77777777" w:rsidR="001B628D" w:rsidRPr="00FE6AC6" w:rsidRDefault="001B628D" w:rsidP="0063575E">
      <w:pPr>
        <w:widowControl w:val="0"/>
        <w:spacing w:line="240" w:lineRule="auto"/>
        <w:rPr>
          <w:color w:val="000000"/>
          <w:lang w:val="bg-BG"/>
        </w:rPr>
      </w:pPr>
      <w:r w:rsidRPr="00FE6AC6">
        <w:rPr>
          <w:i/>
          <w:color w:val="000000"/>
          <w:lang w:val="bg-BG"/>
        </w:rPr>
        <w:t xml:space="preserve">In vitro </w:t>
      </w:r>
      <w:r w:rsidRPr="00FE6AC6">
        <w:rPr>
          <w:color w:val="000000"/>
          <w:lang w:val="bg-BG"/>
        </w:rPr>
        <w:t>Glivec инхибира активността на цитохром P450</w:t>
      </w:r>
      <w:r w:rsidRPr="00FE6AC6">
        <w:rPr>
          <w:color w:val="000000"/>
          <w:lang w:val="en-US"/>
        </w:rPr>
        <w:t> </w:t>
      </w:r>
      <w:r w:rsidRPr="00FE6AC6">
        <w:rPr>
          <w:color w:val="000000"/>
          <w:lang w:val="bg-BG"/>
        </w:rPr>
        <w:t>изоензима CYP2D6</w:t>
      </w:r>
      <w:r w:rsidRPr="00FE6AC6">
        <w:rPr>
          <w:color w:val="000000"/>
          <w:lang w:val="en-US"/>
        </w:rPr>
        <w:t> </w:t>
      </w:r>
      <w:r w:rsidRPr="00FE6AC6">
        <w:rPr>
          <w:color w:val="000000"/>
          <w:lang w:val="bg-BG"/>
        </w:rPr>
        <w:t>в концентрации, подобни на тези, които повлияват активността на CYP3A4. Иматиниб 400 </w:t>
      </w:r>
      <w:r w:rsidRPr="00FE6AC6">
        <w:rPr>
          <w:color w:val="000000"/>
          <w:lang w:val="en-US"/>
        </w:rPr>
        <w:t>mg</w:t>
      </w:r>
      <w:r w:rsidRPr="00FE6AC6">
        <w:rPr>
          <w:color w:val="000000"/>
          <w:lang w:val="bg-BG"/>
        </w:rPr>
        <w:t xml:space="preserve">, два пъти дневно има инхибиращ ефект върху </w:t>
      </w:r>
      <w:r w:rsidRPr="00FE6AC6">
        <w:rPr>
          <w:color w:val="000000"/>
          <w:lang w:val="en-US"/>
        </w:rPr>
        <w:t>CYP</w:t>
      </w:r>
      <w:r w:rsidRPr="00FE6AC6">
        <w:rPr>
          <w:color w:val="000000"/>
          <w:lang w:val="bg-BG"/>
        </w:rPr>
        <w:t>2</w:t>
      </w:r>
      <w:r w:rsidRPr="00FE6AC6">
        <w:rPr>
          <w:color w:val="000000"/>
          <w:lang w:val="en-US"/>
        </w:rPr>
        <w:t>D</w:t>
      </w:r>
      <w:r w:rsidRPr="00FE6AC6">
        <w:rPr>
          <w:color w:val="000000"/>
          <w:lang w:val="bg-BG"/>
        </w:rPr>
        <w:t xml:space="preserve">6-медиирания метаболизъм на метопролол, с приблизително повишение на </w:t>
      </w:r>
      <w:r w:rsidRPr="00FE6AC6">
        <w:rPr>
          <w:color w:val="000000"/>
          <w:szCs w:val="22"/>
        </w:rPr>
        <w:t>C</w:t>
      </w:r>
      <w:r w:rsidRPr="00FE6AC6">
        <w:rPr>
          <w:color w:val="000000"/>
          <w:szCs w:val="22"/>
          <w:vertAlign w:val="subscript"/>
        </w:rPr>
        <w:t>max</w:t>
      </w:r>
      <w:r w:rsidRPr="00FE6AC6">
        <w:rPr>
          <w:color w:val="000000"/>
          <w:szCs w:val="22"/>
          <w:lang w:val="bg-BG"/>
        </w:rPr>
        <w:t xml:space="preserve"> и </w:t>
      </w:r>
      <w:r w:rsidRPr="00FE6AC6">
        <w:rPr>
          <w:color w:val="000000"/>
          <w:szCs w:val="22"/>
        </w:rPr>
        <w:t>AUC</w:t>
      </w:r>
      <w:r w:rsidRPr="00FE6AC6">
        <w:rPr>
          <w:color w:val="000000"/>
          <w:szCs w:val="22"/>
          <w:lang w:val="bg-BG"/>
        </w:rPr>
        <w:t xml:space="preserve"> на метопролол с</w:t>
      </w:r>
      <w:r w:rsidRPr="00FE6AC6">
        <w:rPr>
          <w:color w:val="000000"/>
          <w:szCs w:val="22"/>
          <w:lang w:val="de-CH"/>
        </w:rPr>
        <w:t> </w:t>
      </w:r>
      <w:r w:rsidRPr="00FE6AC6">
        <w:rPr>
          <w:color w:val="000000"/>
          <w:szCs w:val="22"/>
          <w:lang w:val="bg-BG"/>
        </w:rPr>
        <w:t xml:space="preserve">23% (90% </w:t>
      </w:r>
      <w:r w:rsidRPr="00FE6AC6">
        <w:rPr>
          <w:color w:val="000000"/>
          <w:szCs w:val="22"/>
          <w:lang w:val="en-US"/>
        </w:rPr>
        <w:t>CI</w:t>
      </w:r>
      <w:r w:rsidRPr="00FE6AC6">
        <w:rPr>
          <w:color w:val="000000"/>
          <w:szCs w:val="22"/>
          <w:lang w:val="bg-BG"/>
        </w:rPr>
        <w:t xml:space="preserve"> [1,16</w:t>
      </w:r>
      <w:r w:rsidRPr="00FE6AC6">
        <w:rPr>
          <w:color w:val="000000"/>
          <w:szCs w:val="22"/>
          <w:lang w:val="bg-BG"/>
        </w:rPr>
        <w:noBreakHyphen/>
        <w:t xml:space="preserve">1,30]). Няма данни за необходимост от адаптиране на дозировката, когато иматиниб се приема едновременно с </w:t>
      </w:r>
      <w:r w:rsidRPr="00FE6AC6">
        <w:rPr>
          <w:color w:val="000000"/>
          <w:szCs w:val="22"/>
        </w:rPr>
        <w:t>CYP</w:t>
      </w:r>
      <w:r w:rsidRPr="00FE6AC6">
        <w:rPr>
          <w:color w:val="000000"/>
          <w:szCs w:val="22"/>
          <w:lang w:val="bg-BG"/>
        </w:rPr>
        <w:t>2</w:t>
      </w:r>
      <w:r w:rsidRPr="00FE6AC6">
        <w:rPr>
          <w:color w:val="000000"/>
          <w:szCs w:val="22"/>
        </w:rPr>
        <w:t>D</w:t>
      </w:r>
      <w:r w:rsidRPr="00FE6AC6">
        <w:rPr>
          <w:color w:val="000000"/>
          <w:szCs w:val="22"/>
          <w:lang w:val="bg-BG"/>
        </w:rPr>
        <w:t xml:space="preserve">6 субстрати, но все пак е необходимо повишено внимание при </w:t>
      </w:r>
      <w:r w:rsidRPr="00FE6AC6">
        <w:rPr>
          <w:color w:val="000000"/>
          <w:szCs w:val="22"/>
        </w:rPr>
        <w:t>CYP</w:t>
      </w:r>
      <w:r w:rsidRPr="00FE6AC6">
        <w:rPr>
          <w:color w:val="000000"/>
          <w:szCs w:val="22"/>
          <w:lang w:val="bg-BG"/>
        </w:rPr>
        <w:t>2</w:t>
      </w:r>
      <w:r w:rsidRPr="00FE6AC6">
        <w:rPr>
          <w:color w:val="000000"/>
          <w:szCs w:val="22"/>
        </w:rPr>
        <w:t>D</w:t>
      </w:r>
      <w:r w:rsidRPr="00FE6AC6">
        <w:rPr>
          <w:color w:val="000000"/>
          <w:szCs w:val="22"/>
          <w:lang w:val="bg-BG"/>
        </w:rPr>
        <w:t>6 субстрати с малка терапевтична ширина, като метопролол. При пациенти, лекувани с метопролол, трябва да се има предвид клинично наблюдение.</w:t>
      </w:r>
    </w:p>
    <w:p w14:paraId="3E55020E" w14:textId="77777777" w:rsidR="001B628D" w:rsidRPr="00FE6AC6" w:rsidRDefault="001B628D" w:rsidP="0063575E">
      <w:pPr>
        <w:widowControl w:val="0"/>
        <w:spacing w:line="240" w:lineRule="auto"/>
        <w:rPr>
          <w:color w:val="000000"/>
          <w:lang w:val="bg-BG"/>
        </w:rPr>
      </w:pPr>
    </w:p>
    <w:p w14:paraId="3E55020F" w14:textId="77777777" w:rsidR="001B628D" w:rsidRPr="00FE6AC6" w:rsidRDefault="001B628D" w:rsidP="0063575E">
      <w:pPr>
        <w:widowControl w:val="0"/>
        <w:spacing w:line="240" w:lineRule="auto"/>
        <w:rPr>
          <w:color w:val="000000"/>
          <w:lang w:val="bg-BG"/>
        </w:rPr>
      </w:pPr>
      <w:r w:rsidRPr="00FE6AC6">
        <w:rPr>
          <w:i/>
          <w:color w:val="000000"/>
          <w:lang w:val="bg-BG"/>
        </w:rPr>
        <w:t xml:space="preserve">In vitro </w:t>
      </w:r>
      <w:r w:rsidRPr="00FE6AC6">
        <w:rPr>
          <w:color w:val="000000"/>
          <w:lang w:val="bg-BG"/>
        </w:rPr>
        <w:t>Glivec инхибира O-глюкуронидирането на парацетамол със стойност на Ki –</w:t>
      </w:r>
      <w:r w:rsidRPr="00FE6AC6">
        <w:rPr>
          <w:color w:val="000000"/>
          <w:lang w:val="en-US"/>
        </w:rPr>
        <w:t> </w:t>
      </w:r>
      <w:r w:rsidRPr="00FE6AC6">
        <w:rPr>
          <w:color w:val="000000"/>
          <w:lang w:val="bg-BG"/>
        </w:rPr>
        <w:t>58,5</w:t>
      </w:r>
      <w:r w:rsidRPr="00FE6AC6">
        <w:rPr>
          <w:color w:val="000000"/>
          <w:lang w:val="en-US"/>
        </w:rPr>
        <w:t> </w:t>
      </w:r>
      <w:r w:rsidRPr="00FE6AC6">
        <w:rPr>
          <w:color w:val="000000"/>
          <w:lang w:val="bg-BG"/>
        </w:rPr>
        <w:t xml:space="preserve">micromol/l. </w:t>
      </w:r>
      <w:r w:rsidRPr="00FE6AC6">
        <w:rPr>
          <w:i/>
          <w:color w:val="000000"/>
          <w:lang w:val="bg-BG"/>
        </w:rPr>
        <w:t>In</w:t>
      </w:r>
      <w:r w:rsidRPr="00FE6AC6">
        <w:rPr>
          <w:i/>
          <w:iCs/>
          <w:color w:val="000000"/>
          <w:szCs w:val="22"/>
          <w:lang w:val="bg-BG"/>
        </w:rPr>
        <w:t xml:space="preserve"> </w:t>
      </w:r>
      <w:r w:rsidRPr="00FE6AC6">
        <w:rPr>
          <w:i/>
          <w:iCs/>
          <w:color w:val="000000"/>
          <w:szCs w:val="22"/>
        </w:rPr>
        <w:t>vivo</w:t>
      </w:r>
      <w:r w:rsidRPr="00FE6AC6">
        <w:rPr>
          <w:iCs/>
          <w:color w:val="000000"/>
          <w:szCs w:val="22"/>
          <w:lang w:val="bg-BG"/>
        </w:rPr>
        <w:t xml:space="preserve"> н</w:t>
      </w:r>
      <w:r w:rsidRPr="00FE6AC6">
        <w:rPr>
          <w:color w:val="000000"/>
          <w:lang w:val="bg-BG"/>
        </w:rPr>
        <w:t xml:space="preserve">е е наблюдавано подобно инхибиране при съвместно приложение на </w:t>
      </w:r>
      <w:r w:rsidRPr="00FE6AC6">
        <w:rPr>
          <w:color w:val="000000"/>
          <w:lang w:val="en-US"/>
        </w:rPr>
        <w:t>Glivec</w:t>
      </w:r>
      <w:r w:rsidRPr="00FE6AC6">
        <w:rPr>
          <w:color w:val="000000"/>
          <w:lang w:val="bg-BG"/>
        </w:rPr>
        <w:t xml:space="preserve"> 400</w:t>
      </w:r>
      <w:r w:rsidRPr="00FE6AC6">
        <w:rPr>
          <w:color w:val="000000"/>
          <w:lang w:val="en-US"/>
        </w:rPr>
        <w:t> mg</w:t>
      </w:r>
      <w:r w:rsidRPr="00FE6AC6">
        <w:rPr>
          <w:color w:val="000000"/>
          <w:lang w:val="bg-BG"/>
        </w:rPr>
        <w:t xml:space="preserve"> и парацетамол 1</w:t>
      </w:r>
      <w:r w:rsidR="006A2EDD" w:rsidRPr="00FE6AC6">
        <w:rPr>
          <w:color w:val="000000"/>
          <w:lang w:val="en-US"/>
        </w:rPr>
        <w:t> </w:t>
      </w:r>
      <w:r w:rsidRPr="00FE6AC6">
        <w:rPr>
          <w:color w:val="000000"/>
          <w:lang w:val="bg-BG"/>
        </w:rPr>
        <w:t>000</w:t>
      </w:r>
      <w:r w:rsidRPr="00FE6AC6">
        <w:rPr>
          <w:color w:val="000000"/>
          <w:lang w:val="en-US"/>
        </w:rPr>
        <w:t> mg</w:t>
      </w:r>
      <w:r w:rsidRPr="00FE6AC6">
        <w:rPr>
          <w:color w:val="000000"/>
          <w:lang w:val="bg-BG"/>
        </w:rPr>
        <w:t xml:space="preserve">. Приложение на по-високи дози </w:t>
      </w:r>
      <w:r w:rsidRPr="00FE6AC6">
        <w:rPr>
          <w:color w:val="000000"/>
          <w:lang w:val="en-US"/>
        </w:rPr>
        <w:t>Glivec</w:t>
      </w:r>
      <w:r w:rsidRPr="00FE6AC6">
        <w:rPr>
          <w:color w:val="000000"/>
          <w:lang w:val="bg-BG"/>
        </w:rPr>
        <w:t xml:space="preserve"> и парацетамол не е проучвано.</w:t>
      </w:r>
    </w:p>
    <w:p w14:paraId="3E550210" w14:textId="77777777" w:rsidR="001B628D" w:rsidRPr="00FE6AC6" w:rsidRDefault="001B628D" w:rsidP="0063575E">
      <w:pPr>
        <w:widowControl w:val="0"/>
        <w:spacing w:line="240" w:lineRule="auto"/>
        <w:rPr>
          <w:color w:val="000000"/>
          <w:lang w:val="bg-BG"/>
        </w:rPr>
      </w:pPr>
    </w:p>
    <w:p w14:paraId="3E550211" w14:textId="77777777" w:rsidR="001B628D" w:rsidRPr="00FE6AC6" w:rsidRDefault="001B628D" w:rsidP="0063575E">
      <w:pPr>
        <w:widowControl w:val="0"/>
        <w:spacing w:line="240" w:lineRule="auto"/>
        <w:rPr>
          <w:color w:val="000000"/>
          <w:lang w:val="bg-BG"/>
        </w:rPr>
      </w:pPr>
      <w:r w:rsidRPr="00FE6AC6">
        <w:rPr>
          <w:color w:val="000000"/>
          <w:lang w:val="bg-BG"/>
        </w:rPr>
        <w:t>Следователно трябва да се подхожда предпазливо, ако високи дози Glivec се прилагат съвместно с парацетамол.</w:t>
      </w:r>
    </w:p>
    <w:p w14:paraId="3E550212" w14:textId="77777777" w:rsidR="001B628D" w:rsidRPr="00FE6AC6" w:rsidRDefault="001B628D" w:rsidP="0063575E">
      <w:pPr>
        <w:widowControl w:val="0"/>
        <w:spacing w:line="240" w:lineRule="auto"/>
        <w:rPr>
          <w:color w:val="000000"/>
          <w:szCs w:val="22"/>
          <w:lang w:val="bg-BG"/>
        </w:rPr>
      </w:pPr>
    </w:p>
    <w:p w14:paraId="3E550213" w14:textId="77777777" w:rsidR="001B628D" w:rsidRPr="00FE6AC6" w:rsidRDefault="001B628D" w:rsidP="0063575E">
      <w:pPr>
        <w:widowControl w:val="0"/>
        <w:spacing w:line="240" w:lineRule="auto"/>
        <w:rPr>
          <w:color w:val="000000"/>
          <w:szCs w:val="22"/>
          <w:lang w:val="bg-BG"/>
        </w:rPr>
      </w:pPr>
      <w:r w:rsidRPr="00FE6AC6">
        <w:rPr>
          <w:color w:val="000000"/>
          <w:szCs w:val="22"/>
          <w:lang w:val="bg-BG"/>
        </w:rPr>
        <w:t xml:space="preserve">При тироидектомирани пациенти, получаващи левотироксин, плазмената експозиция на левотироксин може да бъде понижена при едновременно приложение с </w:t>
      </w:r>
      <w:r w:rsidRPr="00FE6AC6">
        <w:rPr>
          <w:color w:val="000000"/>
          <w:szCs w:val="22"/>
        </w:rPr>
        <w:t>Glivec</w:t>
      </w:r>
      <w:r w:rsidRPr="00FE6AC6">
        <w:rPr>
          <w:color w:val="000000"/>
          <w:szCs w:val="22"/>
          <w:lang w:val="bg-BG"/>
        </w:rPr>
        <w:t xml:space="preserve"> (вж. точка 4.4). Поради тази причина се препоръчва повишено внимание. Все пак, понастоящем не е известен механизмът на наблюдаваното взаимодействие.</w:t>
      </w:r>
    </w:p>
    <w:p w14:paraId="3E550214" w14:textId="77777777" w:rsidR="001B628D" w:rsidRPr="00FE6AC6" w:rsidRDefault="001B628D" w:rsidP="0063575E">
      <w:pPr>
        <w:widowControl w:val="0"/>
        <w:spacing w:line="240" w:lineRule="auto"/>
        <w:rPr>
          <w:color w:val="000000"/>
          <w:lang w:val="bg-BG"/>
        </w:rPr>
      </w:pPr>
    </w:p>
    <w:p w14:paraId="3E550215" w14:textId="77777777" w:rsidR="001B628D" w:rsidRPr="00FE6AC6" w:rsidRDefault="001B628D" w:rsidP="0063575E">
      <w:pPr>
        <w:widowControl w:val="0"/>
        <w:spacing w:line="240" w:lineRule="auto"/>
        <w:rPr>
          <w:color w:val="000000"/>
          <w:lang w:val="bg-BG"/>
        </w:rPr>
      </w:pPr>
      <w:r w:rsidRPr="00FE6AC6">
        <w:rPr>
          <w:color w:val="000000"/>
          <w:lang w:val="bg-BG"/>
        </w:rPr>
        <w:t xml:space="preserve">При пациентите с </w:t>
      </w:r>
      <w:r w:rsidRPr="00FE6AC6">
        <w:rPr>
          <w:color w:val="000000"/>
          <w:lang w:val="en-US"/>
        </w:rPr>
        <w:t>Ph</w:t>
      </w:r>
      <w:r w:rsidRPr="00FE6AC6">
        <w:rPr>
          <w:color w:val="000000"/>
          <w:lang w:val="ru-RU"/>
        </w:rPr>
        <w:t xml:space="preserve">+ОЛЛ има клиничен опит с едновременното приложение на </w:t>
      </w:r>
      <w:r w:rsidRPr="00FE6AC6">
        <w:rPr>
          <w:color w:val="000000"/>
          <w:lang w:val="en-US"/>
        </w:rPr>
        <w:t>Glivec</w:t>
      </w:r>
      <w:r w:rsidRPr="00FE6AC6">
        <w:rPr>
          <w:color w:val="000000"/>
          <w:lang w:val="bg-BG"/>
        </w:rPr>
        <w:t xml:space="preserve"> и химиотерапия (вж. точка 5.1), но лекарствените взаимодействия между иматиниб и химиотерапевтичните схеми не са добре характеризирани. Нежеланите лекарствени реакции на иматиниб напр. хепатотоксичност, миелосупресия или други, могат да се увеличат и има съобщения, че едновременната употреба с </w:t>
      </w:r>
      <w:r w:rsidRPr="00FE6AC6">
        <w:rPr>
          <w:color w:val="000000"/>
          <w:lang w:val="en-US"/>
        </w:rPr>
        <w:t>L</w:t>
      </w:r>
      <w:r w:rsidRPr="00FE6AC6">
        <w:rPr>
          <w:color w:val="000000"/>
          <w:lang w:val="ru-RU"/>
        </w:rPr>
        <w:t xml:space="preserve">-аспарагиназа може да се свърже с повишена хепатотоксичност (вж. точка 4.8). Следователно употребата на </w:t>
      </w:r>
      <w:r w:rsidRPr="00FE6AC6">
        <w:rPr>
          <w:color w:val="000000"/>
          <w:lang w:val="en-US"/>
        </w:rPr>
        <w:t>Glivec</w:t>
      </w:r>
      <w:r w:rsidRPr="00FE6AC6">
        <w:rPr>
          <w:color w:val="000000"/>
          <w:lang w:val="ru-RU"/>
        </w:rPr>
        <w:t xml:space="preserve"> </w:t>
      </w:r>
      <w:r w:rsidRPr="00FE6AC6">
        <w:rPr>
          <w:color w:val="000000"/>
          <w:lang w:val="bg-BG"/>
        </w:rPr>
        <w:t>в комбинация изисква специални предпазни мерки.</w:t>
      </w:r>
    </w:p>
    <w:p w14:paraId="3E550216" w14:textId="77777777" w:rsidR="001B628D" w:rsidRPr="00FE6AC6" w:rsidRDefault="001B628D" w:rsidP="0063575E">
      <w:pPr>
        <w:widowControl w:val="0"/>
        <w:spacing w:line="240" w:lineRule="auto"/>
        <w:rPr>
          <w:color w:val="000000"/>
          <w:lang w:val="bg-BG"/>
        </w:rPr>
      </w:pPr>
    </w:p>
    <w:p w14:paraId="3E550217" w14:textId="77777777" w:rsidR="001B628D" w:rsidRPr="00FE6AC6" w:rsidRDefault="001B628D" w:rsidP="0063575E">
      <w:pPr>
        <w:keepNext/>
        <w:widowControl w:val="0"/>
        <w:tabs>
          <w:tab w:val="clear" w:pos="567"/>
        </w:tabs>
        <w:spacing w:line="240" w:lineRule="auto"/>
        <w:rPr>
          <w:b/>
          <w:color w:val="000000"/>
          <w:lang w:val="bg-BG"/>
        </w:rPr>
      </w:pPr>
      <w:r w:rsidRPr="00FE6AC6">
        <w:rPr>
          <w:b/>
          <w:color w:val="000000"/>
          <w:lang w:val="bg-BG"/>
        </w:rPr>
        <w:t>4.6</w:t>
      </w:r>
      <w:r w:rsidRPr="00FE6AC6">
        <w:rPr>
          <w:b/>
          <w:color w:val="000000"/>
          <w:lang w:val="bg-BG"/>
        </w:rPr>
        <w:tab/>
        <w:t>Фертилитет, бременност и кърмене</w:t>
      </w:r>
    </w:p>
    <w:p w14:paraId="3E550218" w14:textId="77777777" w:rsidR="001B628D" w:rsidRPr="00FE6AC6" w:rsidRDefault="001B628D" w:rsidP="0063575E">
      <w:pPr>
        <w:keepNext/>
        <w:widowControl w:val="0"/>
        <w:spacing w:line="240" w:lineRule="auto"/>
        <w:rPr>
          <w:color w:val="000000"/>
          <w:lang w:val="bg-BG"/>
        </w:rPr>
      </w:pPr>
    </w:p>
    <w:p w14:paraId="3E550219"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Жени с детероден потенциал</w:t>
      </w:r>
    </w:p>
    <w:p w14:paraId="3E55021A" w14:textId="77777777" w:rsidR="001B628D" w:rsidRPr="00FE6AC6" w:rsidRDefault="001B628D" w:rsidP="0063575E">
      <w:pPr>
        <w:widowControl w:val="0"/>
        <w:spacing w:line="240" w:lineRule="auto"/>
        <w:rPr>
          <w:color w:val="000000"/>
          <w:lang w:val="bg-BG"/>
        </w:rPr>
      </w:pPr>
      <w:r w:rsidRPr="00FE6AC6">
        <w:rPr>
          <w:color w:val="000000"/>
          <w:lang w:val="bg-BG"/>
        </w:rPr>
        <w:t>Жени с детероден потенциал трябва да бъдат посъветвани да използват ефективна контрацепция по време на лечението</w:t>
      </w:r>
      <w:r w:rsidR="00FF1E94">
        <w:rPr>
          <w:color w:val="000000"/>
          <w:lang w:val="bg-BG"/>
        </w:rPr>
        <w:t xml:space="preserve"> </w:t>
      </w:r>
      <w:r w:rsidR="00FF1E94" w:rsidRPr="003C333E">
        <w:rPr>
          <w:color w:val="000000"/>
          <w:lang w:val="bg-BG"/>
        </w:rPr>
        <w:t>и най-малко 15</w:t>
      </w:r>
      <w:r w:rsidR="00FF1E94">
        <w:rPr>
          <w:color w:val="000000"/>
          <w:lang w:val="bg-BG"/>
        </w:rPr>
        <w:t> </w:t>
      </w:r>
      <w:r w:rsidR="00FF1E94" w:rsidRPr="003C333E">
        <w:rPr>
          <w:color w:val="000000"/>
          <w:lang w:val="bg-BG"/>
        </w:rPr>
        <w:t>дни след спиране на лечението с Glivec</w:t>
      </w:r>
      <w:r w:rsidRPr="00FE6AC6">
        <w:rPr>
          <w:color w:val="000000"/>
          <w:lang w:val="bg-BG"/>
        </w:rPr>
        <w:t>.</w:t>
      </w:r>
    </w:p>
    <w:p w14:paraId="3E55021B" w14:textId="77777777" w:rsidR="001B628D" w:rsidRPr="00FE6AC6" w:rsidRDefault="001B628D" w:rsidP="0063575E">
      <w:pPr>
        <w:widowControl w:val="0"/>
        <w:spacing w:line="240" w:lineRule="auto"/>
        <w:rPr>
          <w:color w:val="000000"/>
          <w:u w:val="single"/>
          <w:lang w:val="bg-BG"/>
        </w:rPr>
      </w:pPr>
    </w:p>
    <w:p w14:paraId="3E55021C"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Бременност</w:t>
      </w:r>
    </w:p>
    <w:p w14:paraId="3E55021D" w14:textId="77777777" w:rsidR="001B628D" w:rsidRPr="00FE6AC6" w:rsidRDefault="001B628D" w:rsidP="0063575E">
      <w:pPr>
        <w:widowControl w:val="0"/>
        <w:spacing w:line="240" w:lineRule="auto"/>
        <w:rPr>
          <w:color w:val="000000"/>
          <w:lang w:val="bg-BG"/>
        </w:rPr>
      </w:pPr>
      <w:r w:rsidRPr="00FE6AC6">
        <w:rPr>
          <w:color w:val="000000"/>
          <w:lang w:val="bg-BG"/>
        </w:rPr>
        <w:t xml:space="preserve">Има ограничени данни за употребата на иматиниб при бременни жени. </w:t>
      </w:r>
      <w:r w:rsidR="00F63750" w:rsidRPr="00FE6AC6">
        <w:rPr>
          <w:color w:val="000000"/>
          <w:lang w:val="bg-BG"/>
        </w:rPr>
        <w:t xml:space="preserve">Има постмаркетингови съобщения за спонтанни аборти и вродени аномалии при новородени от жени, които са приемали </w:t>
      </w:r>
      <w:r w:rsidR="00F63750" w:rsidRPr="00FE6AC6">
        <w:rPr>
          <w:color w:val="000000"/>
          <w:lang w:val="en-US"/>
        </w:rPr>
        <w:t>Glivec</w:t>
      </w:r>
      <w:r w:rsidR="00F63750" w:rsidRPr="00FE6AC6">
        <w:rPr>
          <w:color w:val="000000"/>
          <w:lang w:val="bg-BG"/>
        </w:rPr>
        <w:t xml:space="preserve"> по време на бременността. </w:t>
      </w:r>
      <w:r w:rsidRPr="00FE6AC6">
        <w:rPr>
          <w:color w:val="000000"/>
          <w:lang w:val="bg-BG"/>
        </w:rPr>
        <w:t>Въпреки че проучванията при животни показват репродуктивна токсичност (вж. точка</w:t>
      </w:r>
      <w:r w:rsidRPr="00FE6AC6">
        <w:rPr>
          <w:color w:val="000000"/>
          <w:lang w:val="en-US"/>
        </w:rPr>
        <w:t> </w:t>
      </w:r>
      <w:r w:rsidRPr="00FE6AC6">
        <w:rPr>
          <w:color w:val="000000"/>
          <w:lang w:val="bg-BG"/>
        </w:rPr>
        <w:t>5.3), потенциалният риск за плода не е известен. Glivec не трябва да се прилага по време на бременност, освен в случай на категорична необходимост. Ако той се използва по време на бременност, пациентката трябва да бъде информирана за възможния риск за плода.</w:t>
      </w:r>
    </w:p>
    <w:p w14:paraId="3E55021E" w14:textId="77777777" w:rsidR="001B628D" w:rsidRPr="00FE6AC6" w:rsidRDefault="001B628D" w:rsidP="0063575E">
      <w:pPr>
        <w:widowControl w:val="0"/>
        <w:spacing w:line="240" w:lineRule="auto"/>
        <w:rPr>
          <w:color w:val="000000"/>
          <w:lang w:val="bg-BG"/>
        </w:rPr>
      </w:pPr>
    </w:p>
    <w:p w14:paraId="3E55021F"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Кърмене</w:t>
      </w:r>
    </w:p>
    <w:p w14:paraId="3E550220" w14:textId="61A4DDA1" w:rsidR="001B628D" w:rsidRPr="00FE6AC6" w:rsidRDefault="001B628D" w:rsidP="0063575E">
      <w:pPr>
        <w:widowControl w:val="0"/>
        <w:spacing w:line="240" w:lineRule="auto"/>
        <w:rPr>
          <w:color w:val="000000"/>
          <w:lang w:val="bg-BG"/>
        </w:rPr>
      </w:pPr>
      <w:r w:rsidRPr="00FE6AC6">
        <w:rPr>
          <w:color w:val="000000"/>
          <w:lang w:val="bg-BG"/>
        </w:rPr>
        <w:t>Налице е ограничена информация, относно разпределението на иматиниб в кърмата. Проучвания при две кърмачки показват, че както иматиниб, така и неговите активни метаболити могат да преминават в човешкото мляко. Установено е, че съотношението кърма:плазма, проучено при една пациентка, е 0,5 за иматиниб и 0,9 за метаболитите му, което предполага по-високо разпределение на метаболитите в кърмата. Като се има предвид общата концентрация на иматиниб и метаболитите му и максималния дневен прием на кърма от кърмачета, би могло да се очаква, че общата експозиция ще е ниска (</w:t>
      </w:r>
      <w:r w:rsidRPr="00FE6AC6">
        <w:rPr>
          <w:color w:val="000000"/>
          <w:lang w:val="ru-RU"/>
        </w:rPr>
        <w:t>~10% от терапевтичната доза).</w:t>
      </w:r>
      <w:r w:rsidRPr="00FE6AC6">
        <w:rPr>
          <w:color w:val="000000"/>
          <w:lang w:val="bg-BG"/>
        </w:rPr>
        <w:t xml:space="preserve"> Независимо от това, тъй като ефектите от експозицията на кърмачето на ниски дози иматиниб не са известни, жени</w:t>
      </w:r>
      <w:r w:rsidR="00FF1E94">
        <w:rPr>
          <w:color w:val="000000"/>
          <w:lang w:val="bg-BG"/>
        </w:rPr>
        <w:t xml:space="preserve">те </w:t>
      </w:r>
      <w:r w:rsidRPr="00FE6AC6">
        <w:rPr>
          <w:color w:val="000000"/>
          <w:lang w:val="bg-BG"/>
        </w:rPr>
        <w:t>не трябва да кърмят</w:t>
      </w:r>
      <w:r w:rsidR="00FF1E94">
        <w:rPr>
          <w:color w:val="000000"/>
          <w:lang w:val="bg-BG"/>
        </w:rPr>
        <w:t xml:space="preserve"> </w:t>
      </w:r>
      <w:r w:rsidR="00FF1E94" w:rsidRPr="00FF1E94">
        <w:rPr>
          <w:color w:val="000000"/>
          <w:lang w:val="bg-BG"/>
        </w:rPr>
        <w:t>по време на лечението и най-малко 15</w:t>
      </w:r>
      <w:r w:rsidR="00FF1E94">
        <w:rPr>
          <w:color w:val="000000"/>
          <w:lang w:val="bg-BG"/>
        </w:rPr>
        <w:t> </w:t>
      </w:r>
      <w:r w:rsidR="00FF1E94" w:rsidRPr="00FF1E94">
        <w:rPr>
          <w:color w:val="000000"/>
          <w:lang w:val="bg-BG"/>
        </w:rPr>
        <w:t>дни след спиране на лечението с Glivec</w:t>
      </w:r>
      <w:r w:rsidRPr="00FE6AC6">
        <w:rPr>
          <w:color w:val="000000"/>
          <w:lang w:val="bg-BG"/>
        </w:rPr>
        <w:t>.</w:t>
      </w:r>
    </w:p>
    <w:p w14:paraId="3E550221" w14:textId="77777777" w:rsidR="001B628D" w:rsidRPr="00FE6AC6" w:rsidRDefault="001B628D" w:rsidP="0063575E">
      <w:pPr>
        <w:widowControl w:val="0"/>
        <w:spacing w:line="240" w:lineRule="auto"/>
        <w:rPr>
          <w:color w:val="000000"/>
          <w:lang w:val="bg-BG"/>
        </w:rPr>
      </w:pPr>
    </w:p>
    <w:p w14:paraId="3E550222" w14:textId="77777777" w:rsidR="001B628D" w:rsidRPr="00FE6AC6" w:rsidRDefault="001B628D" w:rsidP="0063575E">
      <w:pPr>
        <w:keepNext/>
        <w:widowControl w:val="0"/>
        <w:spacing w:line="240" w:lineRule="auto"/>
        <w:rPr>
          <w:color w:val="000000"/>
          <w:u w:val="single"/>
          <w:lang w:val="ru-RU"/>
        </w:rPr>
      </w:pPr>
      <w:r w:rsidRPr="00FE6AC6">
        <w:rPr>
          <w:color w:val="000000"/>
          <w:u w:val="single"/>
          <w:lang w:val="bg-BG"/>
        </w:rPr>
        <w:t>Фертилитет</w:t>
      </w:r>
    </w:p>
    <w:p w14:paraId="3E550223" w14:textId="77777777" w:rsidR="001B628D" w:rsidRPr="00FE6AC6" w:rsidRDefault="001B628D" w:rsidP="0063575E">
      <w:pPr>
        <w:widowControl w:val="0"/>
        <w:spacing w:line="240" w:lineRule="auto"/>
        <w:rPr>
          <w:color w:val="000000"/>
          <w:lang w:val="bg-BG"/>
        </w:rPr>
      </w:pPr>
      <w:r w:rsidRPr="00FE6AC6">
        <w:rPr>
          <w:color w:val="000000"/>
          <w:lang w:val="bg-BG"/>
        </w:rPr>
        <w:t>При не-клинични проучвания, фертилитетът при мъжки и женски плъхове не е засегнат</w:t>
      </w:r>
      <w:r w:rsidR="00FF1E94">
        <w:rPr>
          <w:color w:val="000000"/>
          <w:lang w:val="bg-BG"/>
        </w:rPr>
        <w:t xml:space="preserve">, </w:t>
      </w:r>
      <w:r w:rsidR="00FF1E94" w:rsidRPr="00FF1E94">
        <w:rPr>
          <w:color w:val="000000"/>
          <w:lang w:val="bg-BG"/>
        </w:rPr>
        <w:t>въпреки че са наблюдавани ефекти върху репродуктивните параметри</w:t>
      </w:r>
      <w:r w:rsidRPr="00FE6AC6">
        <w:rPr>
          <w:color w:val="000000"/>
          <w:lang w:val="bg-BG"/>
        </w:rPr>
        <w:t xml:space="preserve"> (вж. точка 5.3). Не са провеждани проучвания при пациенти, приемащи </w:t>
      </w:r>
      <w:r w:rsidRPr="00FE6AC6">
        <w:rPr>
          <w:color w:val="000000"/>
          <w:lang w:val="en-US"/>
        </w:rPr>
        <w:t>Glivec</w:t>
      </w:r>
      <w:r w:rsidRPr="00FE6AC6">
        <w:rPr>
          <w:color w:val="000000"/>
          <w:lang w:val="bg-BG"/>
        </w:rPr>
        <w:t xml:space="preserve"> във връзка с повлияването на фертилитета и гаметогенезата. Пациентите, които се притесняват, относно влиянието на </w:t>
      </w:r>
      <w:r w:rsidRPr="00FE6AC6">
        <w:rPr>
          <w:color w:val="000000"/>
          <w:lang w:val="en-US"/>
        </w:rPr>
        <w:t>Glivec</w:t>
      </w:r>
      <w:r w:rsidRPr="00FE6AC6">
        <w:rPr>
          <w:color w:val="000000"/>
          <w:lang w:val="bg-BG"/>
        </w:rPr>
        <w:t xml:space="preserve"> върху фертилитета им, трябва да се консултират с техния лекуващ лекар.</w:t>
      </w:r>
    </w:p>
    <w:p w14:paraId="3E550224" w14:textId="77777777" w:rsidR="001B628D" w:rsidRPr="00FE6AC6" w:rsidRDefault="001B628D" w:rsidP="0063575E">
      <w:pPr>
        <w:widowControl w:val="0"/>
        <w:spacing w:line="240" w:lineRule="auto"/>
        <w:rPr>
          <w:color w:val="000000"/>
          <w:lang w:val="bg-BG"/>
        </w:rPr>
      </w:pPr>
    </w:p>
    <w:p w14:paraId="3E550225" w14:textId="77777777" w:rsidR="001B628D" w:rsidRPr="00FE6AC6" w:rsidRDefault="001B628D" w:rsidP="0063575E">
      <w:pPr>
        <w:keepNext/>
        <w:widowControl w:val="0"/>
        <w:spacing w:line="240" w:lineRule="auto"/>
        <w:ind w:left="567" w:hanging="567"/>
        <w:rPr>
          <w:color w:val="000000"/>
          <w:lang w:val="bg-BG"/>
        </w:rPr>
      </w:pPr>
      <w:r w:rsidRPr="00FE6AC6">
        <w:rPr>
          <w:b/>
          <w:color w:val="000000"/>
          <w:lang w:val="bg-BG"/>
        </w:rPr>
        <w:t>4.7</w:t>
      </w:r>
      <w:r w:rsidRPr="00FE6AC6">
        <w:rPr>
          <w:b/>
          <w:color w:val="000000"/>
          <w:lang w:val="bg-BG"/>
        </w:rPr>
        <w:tab/>
        <w:t>Ефекти върху способността за шофиране и работа с машини</w:t>
      </w:r>
    </w:p>
    <w:p w14:paraId="3E550226" w14:textId="77777777" w:rsidR="001B628D" w:rsidRPr="00FE6AC6" w:rsidRDefault="001B628D" w:rsidP="0063575E">
      <w:pPr>
        <w:keepNext/>
        <w:widowControl w:val="0"/>
        <w:tabs>
          <w:tab w:val="clear" w:pos="567"/>
        </w:tabs>
        <w:spacing w:line="240" w:lineRule="auto"/>
        <w:rPr>
          <w:color w:val="000000"/>
          <w:lang w:val="bg-BG"/>
        </w:rPr>
      </w:pPr>
    </w:p>
    <w:p w14:paraId="3E550227" w14:textId="77777777" w:rsidR="001B628D" w:rsidRPr="00FE6AC6" w:rsidRDefault="001B628D" w:rsidP="0063575E">
      <w:pPr>
        <w:widowControl w:val="0"/>
        <w:spacing w:line="240" w:lineRule="auto"/>
        <w:rPr>
          <w:color w:val="000000"/>
          <w:lang w:val="bg-BG"/>
        </w:rPr>
      </w:pPr>
      <w:r w:rsidRPr="00FE6AC6">
        <w:rPr>
          <w:color w:val="000000"/>
          <w:lang w:val="bg-BG"/>
        </w:rPr>
        <w:t>На пациентите трябва да се обясни, че биха могли да почувстват нежелани реакции като замаяност, замъглено виждане или сънливост по време на лечението с иматиниб. Затова трябва да се препоръча предпазливост при шофиране или работа с машини.</w:t>
      </w:r>
    </w:p>
    <w:p w14:paraId="3E550228" w14:textId="77777777" w:rsidR="001B628D" w:rsidRPr="00FE6AC6" w:rsidRDefault="001B628D" w:rsidP="0063575E">
      <w:pPr>
        <w:widowControl w:val="0"/>
        <w:tabs>
          <w:tab w:val="clear" w:pos="567"/>
        </w:tabs>
        <w:spacing w:line="240" w:lineRule="auto"/>
        <w:rPr>
          <w:color w:val="000000"/>
          <w:lang w:val="bg-BG"/>
        </w:rPr>
      </w:pPr>
    </w:p>
    <w:p w14:paraId="3E550229" w14:textId="77777777" w:rsidR="001B628D" w:rsidRPr="00FE6AC6" w:rsidRDefault="001B628D" w:rsidP="0063575E">
      <w:pPr>
        <w:keepNext/>
        <w:widowControl w:val="0"/>
        <w:tabs>
          <w:tab w:val="clear" w:pos="567"/>
        </w:tabs>
        <w:spacing w:line="240" w:lineRule="auto"/>
        <w:rPr>
          <w:b/>
          <w:color w:val="000000"/>
          <w:lang w:val="bg-BG"/>
        </w:rPr>
      </w:pPr>
      <w:r w:rsidRPr="00FE6AC6">
        <w:rPr>
          <w:b/>
          <w:color w:val="000000"/>
          <w:lang w:val="bg-BG"/>
        </w:rPr>
        <w:t>4.8</w:t>
      </w:r>
      <w:r w:rsidRPr="00FE6AC6">
        <w:rPr>
          <w:b/>
          <w:color w:val="000000"/>
          <w:lang w:val="bg-BG"/>
        </w:rPr>
        <w:tab/>
        <w:t>Нежелани лекарствени реакции</w:t>
      </w:r>
    </w:p>
    <w:p w14:paraId="3E55022A" w14:textId="77777777" w:rsidR="001B628D" w:rsidRPr="00FE6AC6" w:rsidRDefault="001B628D" w:rsidP="0063575E">
      <w:pPr>
        <w:keepNext/>
        <w:widowControl w:val="0"/>
        <w:spacing w:line="240" w:lineRule="auto"/>
        <w:rPr>
          <w:color w:val="000000"/>
          <w:lang w:val="bg-BG"/>
        </w:rPr>
      </w:pPr>
    </w:p>
    <w:p w14:paraId="3E55022B" w14:textId="77777777" w:rsidR="001B628D" w:rsidRPr="00FE6AC6" w:rsidRDefault="001B628D" w:rsidP="0063575E">
      <w:pPr>
        <w:widowControl w:val="0"/>
        <w:spacing w:line="240" w:lineRule="auto"/>
        <w:rPr>
          <w:color w:val="000000"/>
          <w:lang w:val="bg-BG"/>
        </w:rPr>
      </w:pPr>
      <w:r w:rsidRPr="00FE6AC6">
        <w:rPr>
          <w:color w:val="000000"/>
          <w:lang w:val="bg-BG"/>
        </w:rPr>
        <w:t>Пациенти в напреднали стадии на злокачествени заболявания могат да имат многобройни припокриващи се медицински състояния, което затруднява оценката на причинно-следствената връзка за нежеланите реакции, поради разнообразието на симптоми, свързани с основното заболяване, неговата прогресия и съвместното приложение на множество лекарствени продукти.</w:t>
      </w:r>
    </w:p>
    <w:p w14:paraId="3E55022C" w14:textId="77777777" w:rsidR="001B628D" w:rsidRPr="00FE6AC6" w:rsidRDefault="001B628D" w:rsidP="0063575E">
      <w:pPr>
        <w:widowControl w:val="0"/>
        <w:spacing w:line="240" w:lineRule="auto"/>
        <w:rPr>
          <w:color w:val="000000"/>
          <w:lang w:val="bg-BG"/>
        </w:rPr>
      </w:pPr>
    </w:p>
    <w:p w14:paraId="3E55022D"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В хода на клинични проучвания при ХМЛ преустановяването на приема на лекарството, поради свързани с лекарството нежелани лекарствени реакции се наблюдава при</w:t>
      </w:r>
      <w:r w:rsidRPr="00FE6AC6">
        <w:rPr>
          <w:color w:val="000000"/>
          <w:lang w:val="de-CH"/>
        </w:rPr>
        <w:t> </w:t>
      </w:r>
      <w:r w:rsidRPr="00FE6AC6">
        <w:rPr>
          <w:color w:val="000000"/>
          <w:lang w:val="bg-BG"/>
        </w:rPr>
        <w:t>2,4% от новодиагностицираните пациенти, при</w:t>
      </w:r>
      <w:r w:rsidRPr="00FE6AC6">
        <w:rPr>
          <w:color w:val="000000"/>
          <w:lang w:val="de-CH"/>
        </w:rPr>
        <w:t> </w:t>
      </w:r>
      <w:r w:rsidRPr="00FE6AC6">
        <w:rPr>
          <w:color w:val="000000"/>
          <w:lang w:val="bg-BG"/>
        </w:rPr>
        <w:t>4% от пациенти в късен хроничен стадий след неуспех от лечението с интерферон, при</w:t>
      </w:r>
      <w:r w:rsidRPr="00FE6AC6">
        <w:rPr>
          <w:color w:val="000000"/>
          <w:lang w:val="de-CH"/>
        </w:rPr>
        <w:t> </w:t>
      </w:r>
      <w:r w:rsidRPr="00FE6AC6">
        <w:rPr>
          <w:color w:val="000000"/>
          <w:lang w:val="bg-BG"/>
        </w:rPr>
        <w:t>4% от пациентите във фаза на акцелерация след неуспех от лечението с интерферон и при</w:t>
      </w:r>
      <w:r w:rsidRPr="00FE6AC6">
        <w:rPr>
          <w:color w:val="000000"/>
          <w:lang w:val="de-CH"/>
        </w:rPr>
        <w:t> </w:t>
      </w:r>
      <w:r w:rsidRPr="00FE6AC6">
        <w:rPr>
          <w:color w:val="000000"/>
          <w:lang w:val="bg-BG"/>
        </w:rPr>
        <w:t>5% от пациентите с бластна криза след неуспех от лечението с интерферон. При ГИСТ, приложението на изследваното лекарство е спряно, поради свързани с лекарството нежелани лекарствени реакции при</w:t>
      </w:r>
      <w:r w:rsidRPr="00FE6AC6">
        <w:rPr>
          <w:color w:val="000000"/>
          <w:lang w:val="en-US"/>
        </w:rPr>
        <w:t> </w:t>
      </w:r>
      <w:r w:rsidRPr="00FE6AC6">
        <w:rPr>
          <w:color w:val="000000"/>
          <w:lang w:val="bg-BG"/>
        </w:rPr>
        <w:t>4% от пациентите.</w:t>
      </w:r>
    </w:p>
    <w:p w14:paraId="3E55022E" w14:textId="77777777" w:rsidR="001B628D" w:rsidRPr="00FE6AC6" w:rsidRDefault="001B628D" w:rsidP="0063575E">
      <w:pPr>
        <w:widowControl w:val="0"/>
        <w:tabs>
          <w:tab w:val="clear" w:pos="567"/>
        </w:tabs>
        <w:spacing w:line="240" w:lineRule="auto"/>
        <w:rPr>
          <w:color w:val="000000"/>
          <w:lang w:val="bg-BG"/>
        </w:rPr>
      </w:pPr>
    </w:p>
    <w:p w14:paraId="3E55022F"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Нежеланите реакции при всички показания са сходни, с две изключения. По-често е наблюдавана миелосупресия при пациенти с ХМЛ отколкото при тези с ГИСТ, което вероятно се дължи на основното заболяване. В проучване при пациенти с неподлежащи на резекция и/или метастатични ГИСТ,</w:t>
      </w:r>
      <w:r w:rsidRPr="00FE6AC6">
        <w:rPr>
          <w:color w:val="000000"/>
          <w:lang w:val="en-US"/>
        </w:rPr>
        <w:t> </w:t>
      </w:r>
      <w:r w:rsidRPr="00FE6AC6">
        <w:rPr>
          <w:color w:val="000000"/>
          <w:lang w:val="bg-BG"/>
        </w:rPr>
        <w:t>7</w:t>
      </w:r>
      <w:r w:rsidRPr="00FE6AC6">
        <w:rPr>
          <w:color w:val="000000"/>
          <w:lang w:val="en-US"/>
        </w:rPr>
        <w:t> </w:t>
      </w:r>
      <w:r w:rsidRPr="00FE6AC6">
        <w:rPr>
          <w:color w:val="000000"/>
          <w:lang w:val="bg-BG"/>
        </w:rPr>
        <w:t>(5%) пациенти получават CTC степен</w:t>
      </w:r>
      <w:r w:rsidRPr="00FE6AC6">
        <w:rPr>
          <w:color w:val="000000"/>
          <w:lang w:val="en-US"/>
        </w:rPr>
        <w:t> </w:t>
      </w:r>
      <w:r w:rsidRPr="00FE6AC6">
        <w:rPr>
          <w:color w:val="000000"/>
          <w:lang w:val="bg-BG"/>
        </w:rPr>
        <w:t>3/4</w:t>
      </w:r>
      <w:r w:rsidRPr="00FE6AC6">
        <w:rPr>
          <w:color w:val="000000"/>
          <w:lang w:val="en-US"/>
        </w:rPr>
        <w:t> </w:t>
      </w:r>
      <w:r w:rsidRPr="00FE6AC6">
        <w:rPr>
          <w:color w:val="000000"/>
          <w:lang w:val="bg-BG"/>
        </w:rPr>
        <w:t>гастроинтестинално кървене (3</w:t>
      </w:r>
      <w:r w:rsidRPr="00FE6AC6">
        <w:rPr>
          <w:color w:val="000000"/>
          <w:lang w:val="en-US"/>
        </w:rPr>
        <w:t> </w:t>
      </w:r>
      <w:r w:rsidRPr="00FE6AC6">
        <w:rPr>
          <w:color w:val="000000"/>
          <w:lang w:val="bg-BG"/>
        </w:rPr>
        <w:t>пациенти), вътретуморно кървене (3</w:t>
      </w:r>
      <w:r w:rsidRPr="00FE6AC6">
        <w:rPr>
          <w:color w:val="000000"/>
          <w:lang w:val="en-US"/>
        </w:rPr>
        <w:t> </w:t>
      </w:r>
      <w:r w:rsidRPr="00FE6AC6">
        <w:rPr>
          <w:color w:val="000000"/>
          <w:lang w:val="bg-BG"/>
        </w:rPr>
        <w:t>пациенти) или и двете (1</w:t>
      </w:r>
      <w:r w:rsidRPr="00FE6AC6">
        <w:rPr>
          <w:color w:val="000000"/>
          <w:lang w:val="en-US"/>
        </w:rPr>
        <w:t> </w:t>
      </w:r>
      <w:r w:rsidRPr="00FE6AC6">
        <w:rPr>
          <w:color w:val="000000"/>
          <w:lang w:val="bg-BG"/>
        </w:rPr>
        <w:t>пациент). Местата на гастро-интестиналния тумор може би са източника на гастроинтестиналното кървене (виж точка</w:t>
      </w:r>
      <w:r w:rsidRPr="00FE6AC6">
        <w:rPr>
          <w:color w:val="000000"/>
          <w:lang w:val="en-US"/>
        </w:rPr>
        <w:t> </w:t>
      </w:r>
      <w:r w:rsidRPr="00FE6AC6">
        <w:rPr>
          <w:color w:val="000000"/>
          <w:lang w:val="bg-BG"/>
        </w:rPr>
        <w:t>4.4). Гастроинтестиналното и туморното кървене могат да бъдат сериозни и понякога фатални. Най-често съобщаваните (≥10%) свързани с лекарството нежелани лекарствени реакции и при двете показания са леко гадене, повръщане, диария, коремна болка, умора, миалгия, мускулни крампи и обрив. Повърхностните отоци са обичайна находка във всички проучвания и са предимно периорбитални или на долните крайници. Тези отоци обаче рядко са тежки и могат да бъдат повлиявани с диуретици, други поддържащи мерки или чрез намаляване на дозата на Glivec.</w:t>
      </w:r>
    </w:p>
    <w:p w14:paraId="3E550230" w14:textId="77777777" w:rsidR="001B628D" w:rsidRPr="00FE6AC6" w:rsidRDefault="001B628D" w:rsidP="0063575E">
      <w:pPr>
        <w:widowControl w:val="0"/>
        <w:tabs>
          <w:tab w:val="clear" w:pos="567"/>
        </w:tabs>
        <w:spacing w:line="240" w:lineRule="auto"/>
        <w:rPr>
          <w:color w:val="000000"/>
          <w:lang w:val="bg-BG"/>
        </w:rPr>
      </w:pPr>
    </w:p>
    <w:p w14:paraId="3E550231" w14:textId="77777777" w:rsidR="001B628D" w:rsidRPr="00FE6AC6" w:rsidRDefault="001B628D" w:rsidP="0063575E">
      <w:pPr>
        <w:widowControl w:val="0"/>
        <w:tabs>
          <w:tab w:val="clear" w:pos="567"/>
        </w:tabs>
        <w:spacing w:line="240" w:lineRule="auto"/>
        <w:rPr>
          <w:color w:val="000000"/>
          <w:lang w:val="ru-RU"/>
        </w:rPr>
      </w:pPr>
      <w:r w:rsidRPr="00FE6AC6">
        <w:rPr>
          <w:color w:val="000000"/>
          <w:lang w:val="bg-BG"/>
        </w:rPr>
        <w:t xml:space="preserve">Когато иматиниб се комбинира с високи дози химиотерапия при пациенти с </w:t>
      </w:r>
      <w:r w:rsidRPr="00FE6AC6">
        <w:rPr>
          <w:color w:val="000000"/>
          <w:lang w:val="en-US"/>
        </w:rPr>
        <w:t>Ph</w:t>
      </w:r>
      <w:r w:rsidRPr="00FE6AC6">
        <w:rPr>
          <w:color w:val="000000"/>
          <w:lang w:val="ru-RU"/>
        </w:rPr>
        <w:t>+ОЛЛ, са наблюдавани преходна чернодробна токсичност под формата на повишаване на трансаминазите и хипербилирубинемия.</w:t>
      </w:r>
      <w:r w:rsidRPr="00FE6AC6">
        <w:rPr>
          <w:color w:val="000000"/>
          <w:szCs w:val="22"/>
          <w:lang w:val="bg-BG"/>
        </w:rPr>
        <w:t xml:space="preserve"> Вземайки предвид ограничената база данни за безопасност, до момента нежеланите събития, съобщавани при деца са в съответствие с познатия профил на безопасност при възрастни пациенти с </w:t>
      </w:r>
      <w:r w:rsidRPr="00FE6AC6">
        <w:rPr>
          <w:color w:val="000000"/>
          <w:szCs w:val="22"/>
        </w:rPr>
        <w:t>Ph</w:t>
      </w:r>
      <w:r w:rsidRPr="00FE6AC6">
        <w:rPr>
          <w:color w:val="000000"/>
          <w:szCs w:val="22"/>
          <w:lang w:val="bg-BG"/>
        </w:rPr>
        <w:t xml:space="preserve">+ ОЛЛ. Базата данни за безопасност при деца с </w:t>
      </w:r>
      <w:r w:rsidRPr="00FE6AC6">
        <w:rPr>
          <w:color w:val="000000"/>
          <w:szCs w:val="22"/>
        </w:rPr>
        <w:t>Ph</w:t>
      </w:r>
      <w:r w:rsidRPr="00FE6AC6">
        <w:rPr>
          <w:color w:val="000000"/>
          <w:szCs w:val="22"/>
          <w:lang w:val="bg-BG"/>
        </w:rPr>
        <w:t>+ ОЛЛ е силно ограничена, обаче нови събития, засягащи безопасността не са установени.</w:t>
      </w:r>
    </w:p>
    <w:p w14:paraId="3E550232" w14:textId="77777777" w:rsidR="001B628D" w:rsidRPr="00FE6AC6" w:rsidRDefault="001B628D" w:rsidP="0063575E">
      <w:pPr>
        <w:widowControl w:val="0"/>
        <w:tabs>
          <w:tab w:val="clear" w:pos="567"/>
        </w:tabs>
        <w:spacing w:line="240" w:lineRule="auto"/>
        <w:rPr>
          <w:color w:val="000000"/>
          <w:lang w:val="ru-RU"/>
        </w:rPr>
      </w:pPr>
    </w:p>
    <w:p w14:paraId="3E550233"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Разнообразни нежелани реакции като плеврален излив, асцит, белодробен оток и бързо повишаване на теглото с или без повърхностни отоци могат общо да се опишат като “задръжка на течности”. Тези реакции се лекуват обикновено чрез временно спиране на Glivec и с диуретици, както и с други подходящи поддържащи лечебни мерки. Въпреки това, някои от тези реакции могат да са опасни или животозастрашаващи и няколко пациенти с бластна криза са починали с утежнена клинична картина на плеврални изливи, застойна сърдечна недостатъчност и бъбречна недостатъчност. Липсват специални находки по отношение на безопасността при клиничните проучвания при деца.</w:t>
      </w:r>
    </w:p>
    <w:p w14:paraId="3E550234" w14:textId="77777777" w:rsidR="001B628D" w:rsidRPr="00FE6AC6" w:rsidRDefault="001B628D" w:rsidP="0063575E">
      <w:pPr>
        <w:widowControl w:val="0"/>
        <w:tabs>
          <w:tab w:val="clear" w:pos="567"/>
        </w:tabs>
        <w:spacing w:line="240" w:lineRule="auto"/>
        <w:rPr>
          <w:color w:val="000000"/>
          <w:lang w:val="bg-BG"/>
        </w:rPr>
      </w:pPr>
    </w:p>
    <w:p w14:paraId="3E550235" w14:textId="77777777" w:rsidR="001B628D" w:rsidRPr="00FE6AC6" w:rsidRDefault="001B628D" w:rsidP="0063575E">
      <w:pPr>
        <w:keepNext/>
        <w:widowControl w:val="0"/>
        <w:tabs>
          <w:tab w:val="clear" w:pos="567"/>
        </w:tabs>
        <w:spacing w:line="240" w:lineRule="auto"/>
        <w:rPr>
          <w:color w:val="000000"/>
          <w:lang w:val="bg-BG"/>
        </w:rPr>
      </w:pPr>
      <w:r w:rsidRPr="00FE6AC6">
        <w:rPr>
          <w:b/>
          <w:color w:val="000000"/>
          <w:lang w:val="bg-BG"/>
        </w:rPr>
        <w:t>Нежелани реакции</w:t>
      </w:r>
    </w:p>
    <w:p w14:paraId="3E550236" w14:textId="77777777" w:rsidR="001B628D" w:rsidRPr="00FE6AC6" w:rsidRDefault="001B628D" w:rsidP="0063575E">
      <w:pPr>
        <w:widowControl w:val="0"/>
        <w:spacing w:line="240" w:lineRule="auto"/>
        <w:rPr>
          <w:color w:val="000000"/>
          <w:lang w:val="bg-BG"/>
        </w:rPr>
      </w:pPr>
      <w:r w:rsidRPr="00FE6AC6">
        <w:rPr>
          <w:color w:val="000000"/>
          <w:lang w:val="bg-BG"/>
        </w:rPr>
        <w:t xml:space="preserve">Нежеланите реакции, описани при повече от един изолиран случай, са посочени по-долу </w:t>
      </w:r>
      <w:r w:rsidRPr="00FE6AC6">
        <w:rPr>
          <w:szCs w:val="22"/>
          <w:lang w:val="ru-RU"/>
        </w:rPr>
        <w:t xml:space="preserve">по </w:t>
      </w:r>
      <w:r w:rsidRPr="00FE6AC6">
        <w:rPr>
          <w:szCs w:val="22"/>
          <w:lang w:val="bg-BG"/>
        </w:rPr>
        <w:t>системо-органни класове</w:t>
      </w:r>
      <w:r w:rsidRPr="00FE6AC6">
        <w:rPr>
          <w:color w:val="000000"/>
          <w:lang w:val="bg-BG"/>
        </w:rPr>
        <w:t xml:space="preserve"> и по честота.</w:t>
      </w:r>
      <w:r w:rsidRPr="00FE6AC6">
        <w:rPr>
          <w:szCs w:val="22"/>
          <w:lang w:val="ru-RU"/>
        </w:rPr>
        <w:t xml:space="preserve"> Категориите честоти се определят съгласно следната конвенция:</w:t>
      </w:r>
      <w:r w:rsidRPr="00FE6AC6">
        <w:rPr>
          <w:color w:val="000000"/>
          <w:lang w:val="bg-BG"/>
        </w:rPr>
        <w:t xml:space="preserve"> много чести (≥1/10), чести (≥1/100</w:t>
      </w:r>
      <w:r w:rsidRPr="00FE6AC6">
        <w:rPr>
          <w:color w:val="000000"/>
          <w:lang w:val="ru-RU"/>
        </w:rPr>
        <w:t xml:space="preserve"> </w:t>
      </w:r>
      <w:r w:rsidRPr="00FE6AC6">
        <w:rPr>
          <w:color w:val="000000"/>
          <w:lang w:val="bg-BG"/>
        </w:rPr>
        <w:t xml:space="preserve">до </w:t>
      </w:r>
      <w:r w:rsidRPr="00FE6AC6">
        <w:rPr>
          <w:color w:val="000000"/>
          <w:lang w:val="ru-RU"/>
        </w:rPr>
        <w:t>&lt;</w:t>
      </w:r>
      <w:r w:rsidRPr="00FE6AC6">
        <w:rPr>
          <w:color w:val="000000"/>
          <w:lang w:val="bg-BG"/>
        </w:rPr>
        <w:t>1/10), нечести (≥1/1 000</w:t>
      </w:r>
      <w:r w:rsidRPr="00FE6AC6">
        <w:rPr>
          <w:color w:val="000000"/>
          <w:lang w:val="ru-RU"/>
        </w:rPr>
        <w:t xml:space="preserve"> </w:t>
      </w:r>
      <w:r w:rsidRPr="00FE6AC6">
        <w:rPr>
          <w:color w:val="000000"/>
          <w:lang w:val="bg-BG"/>
        </w:rPr>
        <w:t xml:space="preserve">до </w:t>
      </w:r>
      <w:r w:rsidRPr="00FE6AC6">
        <w:rPr>
          <w:color w:val="000000"/>
          <w:lang w:val="ru-RU"/>
        </w:rPr>
        <w:t>&lt;</w:t>
      </w:r>
      <w:r w:rsidRPr="00FE6AC6">
        <w:rPr>
          <w:color w:val="000000"/>
          <w:lang w:val="bg-BG"/>
        </w:rPr>
        <w:t>1/100), редки (</w:t>
      </w:r>
      <w:r w:rsidRPr="00FE6AC6">
        <w:rPr>
          <w:szCs w:val="22"/>
          <w:lang w:val="ru-RU"/>
        </w:rPr>
        <w:t>≥1/10</w:t>
      </w:r>
      <w:r w:rsidRPr="00FE6AC6">
        <w:rPr>
          <w:szCs w:val="22"/>
          <w:lang w:val="en-US"/>
        </w:rPr>
        <w:t> </w:t>
      </w:r>
      <w:r w:rsidRPr="00FE6AC6">
        <w:rPr>
          <w:szCs w:val="22"/>
          <w:lang w:val="ru-RU"/>
        </w:rPr>
        <w:t xml:space="preserve">000 </w:t>
      </w:r>
      <w:r w:rsidRPr="00FE6AC6">
        <w:rPr>
          <w:szCs w:val="22"/>
          <w:lang w:val="bg-BG"/>
        </w:rPr>
        <w:t xml:space="preserve">до </w:t>
      </w:r>
      <w:r w:rsidRPr="00FE6AC6">
        <w:rPr>
          <w:szCs w:val="22"/>
          <w:lang w:val="ru-RU"/>
        </w:rPr>
        <w:t>&lt;</w:t>
      </w:r>
      <w:r w:rsidRPr="00FE6AC6">
        <w:rPr>
          <w:color w:val="000000"/>
          <w:lang w:val="bg-BG"/>
        </w:rPr>
        <w:t>1/1</w:t>
      </w:r>
      <w:r w:rsidRPr="00FE6AC6">
        <w:rPr>
          <w:color w:val="000000"/>
          <w:lang w:val="en-US"/>
        </w:rPr>
        <w:t> </w:t>
      </w:r>
      <w:r w:rsidRPr="00FE6AC6">
        <w:rPr>
          <w:color w:val="000000"/>
          <w:lang w:val="bg-BG"/>
        </w:rPr>
        <w:t>000)</w:t>
      </w:r>
      <w:r w:rsidRPr="00FE6AC6">
        <w:rPr>
          <w:color w:val="000000"/>
          <w:szCs w:val="22"/>
          <w:lang w:val="bg-BG"/>
        </w:rPr>
        <w:t>, много редки (</w:t>
      </w:r>
      <w:r w:rsidRPr="00FE6AC6">
        <w:rPr>
          <w:color w:val="000000"/>
          <w:szCs w:val="22"/>
          <w:lang w:val="ru-RU"/>
        </w:rPr>
        <w:t>&lt;1/10</w:t>
      </w:r>
      <w:r w:rsidRPr="00FE6AC6">
        <w:rPr>
          <w:color w:val="000000"/>
          <w:szCs w:val="22"/>
          <w:lang w:val="en-US"/>
        </w:rPr>
        <w:t> </w:t>
      </w:r>
      <w:r w:rsidRPr="00FE6AC6">
        <w:rPr>
          <w:color w:val="000000"/>
          <w:szCs w:val="22"/>
          <w:lang w:val="ru-RU"/>
        </w:rPr>
        <w:t>000</w:t>
      </w:r>
      <w:r w:rsidRPr="00FE6AC6">
        <w:rPr>
          <w:color w:val="000000"/>
          <w:szCs w:val="22"/>
          <w:lang w:val="bg-BG"/>
        </w:rPr>
        <w:t>), с неизвестна честота (от наличните данни не може да бъде направена оценка).</w:t>
      </w:r>
    </w:p>
    <w:p w14:paraId="3E550237" w14:textId="77777777" w:rsidR="001B628D" w:rsidRPr="00FE6AC6" w:rsidRDefault="001B628D" w:rsidP="0063575E">
      <w:pPr>
        <w:widowControl w:val="0"/>
        <w:spacing w:line="240" w:lineRule="auto"/>
        <w:rPr>
          <w:color w:val="000000"/>
          <w:lang w:val="bg-BG"/>
        </w:rPr>
      </w:pPr>
    </w:p>
    <w:p w14:paraId="3E550238" w14:textId="77777777" w:rsidR="001B628D" w:rsidRPr="00FE6AC6" w:rsidRDefault="001B628D" w:rsidP="0063575E">
      <w:pPr>
        <w:widowControl w:val="0"/>
        <w:spacing w:line="240" w:lineRule="auto"/>
        <w:rPr>
          <w:color w:val="000000"/>
          <w:lang w:val="bg-BG"/>
        </w:rPr>
      </w:pPr>
      <w:r w:rsidRPr="00FE6AC6">
        <w:rPr>
          <w:color w:val="000000"/>
          <w:lang w:val="bg-BG"/>
        </w:rPr>
        <w:t xml:space="preserve">При всяко групиране в зависимост от честотата, нежеланите лекарствени реакции се изброяват </w:t>
      </w:r>
      <w:r w:rsidRPr="00FE6AC6">
        <w:rPr>
          <w:lang w:val="bg-BG"/>
        </w:rPr>
        <w:t>по ред на честотата, като се започва с най-честите</w:t>
      </w:r>
      <w:r w:rsidRPr="00FE6AC6">
        <w:rPr>
          <w:color w:val="000000"/>
          <w:lang w:val="bg-BG"/>
        </w:rPr>
        <w:t>.</w:t>
      </w:r>
    </w:p>
    <w:p w14:paraId="3E550239" w14:textId="77777777" w:rsidR="001B628D" w:rsidRPr="00FE6AC6" w:rsidRDefault="001B628D" w:rsidP="0063575E">
      <w:pPr>
        <w:widowControl w:val="0"/>
        <w:spacing w:line="240" w:lineRule="auto"/>
        <w:rPr>
          <w:color w:val="000000"/>
          <w:lang w:val="bg-BG"/>
        </w:rPr>
      </w:pPr>
    </w:p>
    <w:p w14:paraId="3E55023A" w14:textId="77777777" w:rsidR="001B628D" w:rsidRPr="00FE6AC6" w:rsidRDefault="001B628D" w:rsidP="0063575E">
      <w:pPr>
        <w:widowControl w:val="0"/>
        <w:spacing w:line="240" w:lineRule="auto"/>
        <w:rPr>
          <w:color w:val="000000"/>
          <w:szCs w:val="22"/>
          <w:lang w:val="bg-BG"/>
        </w:rPr>
      </w:pPr>
      <w:r w:rsidRPr="00FE6AC6">
        <w:rPr>
          <w:color w:val="000000"/>
          <w:szCs w:val="22"/>
          <w:lang w:val="bg-BG"/>
        </w:rPr>
        <w:t>Нежеланите реакции и честотата им</w:t>
      </w:r>
      <w:r w:rsidR="00880E18" w:rsidRPr="00FE6AC6">
        <w:rPr>
          <w:color w:val="000000"/>
          <w:szCs w:val="22"/>
          <w:lang w:val="bg-BG"/>
        </w:rPr>
        <w:t xml:space="preserve"> са</w:t>
      </w:r>
      <w:r w:rsidRPr="00FE6AC6">
        <w:rPr>
          <w:color w:val="000000"/>
          <w:szCs w:val="22"/>
          <w:lang w:val="bg-BG"/>
        </w:rPr>
        <w:t xml:space="preserve"> съобщени в Таблица</w:t>
      </w:r>
      <w:r w:rsidRPr="00FE6AC6">
        <w:rPr>
          <w:color w:val="000000"/>
          <w:szCs w:val="22"/>
          <w:lang w:val="de-CH"/>
        </w:rPr>
        <w:t> </w:t>
      </w:r>
      <w:r w:rsidRPr="00FE6AC6">
        <w:rPr>
          <w:color w:val="000000"/>
          <w:szCs w:val="22"/>
          <w:lang w:val="bg-BG"/>
        </w:rPr>
        <w:t>1.</w:t>
      </w:r>
    </w:p>
    <w:p w14:paraId="3E55023B" w14:textId="77777777" w:rsidR="001B628D" w:rsidRPr="00FE6AC6" w:rsidRDefault="001B628D" w:rsidP="0063575E">
      <w:pPr>
        <w:widowControl w:val="0"/>
        <w:spacing w:line="240" w:lineRule="auto"/>
        <w:rPr>
          <w:color w:val="000000"/>
          <w:szCs w:val="22"/>
          <w:lang w:val="bg-BG"/>
        </w:rPr>
      </w:pPr>
    </w:p>
    <w:p w14:paraId="3E55023C" w14:textId="77777777" w:rsidR="001B628D" w:rsidRPr="00FE6AC6" w:rsidRDefault="001B628D" w:rsidP="0063575E">
      <w:pPr>
        <w:keepNext/>
        <w:widowControl w:val="0"/>
        <w:tabs>
          <w:tab w:val="clear" w:pos="567"/>
          <w:tab w:val="left" w:pos="1134"/>
        </w:tabs>
        <w:spacing w:line="240" w:lineRule="auto"/>
        <w:rPr>
          <w:b/>
          <w:color w:val="000000"/>
          <w:lang w:val="ru-RU"/>
        </w:rPr>
      </w:pPr>
      <w:r w:rsidRPr="00FE6AC6">
        <w:rPr>
          <w:b/>
          <w:color w:val="000000"/>
          <w:lang w:val="bg-BG"/>
        </w:rPr>
        <w:t>Таблица</w:t>
      </w:r>
      <w:r w:rsidRPr="00FE6AC6">
        <w:rPr>
          <w:b/>
          <w:color w:val="000000"/>
        </w:rPr>
        <w:t> </w:t>
      </w:r>
      <w:r w:rsidRPr="00FE6AC6">
        <w:rPr>
          <w:b/>
          <w:color w:val="000000"/>
          <w:lang w:val="ru-RU"/>
        </w:rPr>
        <w:t>1</w:t>
      </w:r>
      <w:r w:rsidRPr="00FE6AC6">
        <w:rPr>
          <w:b/>
          <w:color w:val="000000"/>
          <w:lang w:val="ru-RU"/>
        </w:rPr>
        <w:tab/>
      </w:r>
      <w:r w:rsidR="00880E18" w:rsidRPr="00FE6AC6">
        <w:rPr>
          <w:b/>
          <w:color w:val="000000"/>
          <w:lang w:val="ru-RU"/>
        </w:rPr>
        <w:t>Таблично обобщение на н</w:t>
      </w:r>
      <w:r w:rsidRPr="00FE6AC6">
        <w:rPr>
          <w:b/>
          <w:color w:val="000000"/>
          <w:lang w:val="bg-BG"/>
        </w:rPr>
        <w:t>ежелани</w:t>
      </w:r>
      <w:r w:rsidR="00880E18" w:rsidRPr="00FE6AC6">
        <w:rPr>
          <w:b/>
          <w:color w:val="000000"/>
          <w:lang w:val="bg-BG"/>
        </w:rPr>
        <w:t>те</w:t>
      </w:r>
      <w:r w:rsidRPr="00FE6AC6">
        <w:rPr>
          <w:b/>
          <w:color w:val="000000"/>
          <w:lang w:val="bg-BG"/>
        </w:rPr>
        <w:t xml:space="preserve"> реакции</w:t>
      </w:r>
    </w:p>
    <w:p w14:paraId="3E55023D" w14:textId="77777777" w:rsidR="001B628D" w:rsidRPr="00FE6AC6" w:rsidRDefault="001B628D" w:rsidP="0063575E">
      <w:pPr>
        <w:keepNext/>
        <w:widowControl w:val="0"/>
        <w:spacing w:line="240" w:lineRule="auto"/>
        <w:rPr>
          <w:color w:val="000000"/>
          <w:lang w:val="ru-RU"/>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1B628D" w:rsidRPr="00FE6AC6" w14:paraId="3E55023F" w14:textId="77777777" w:rsidTr="008143B1">
        <w:trPr>
          <w:cantSplit/>
        </w:trPr>
        <w:tc>
          <w:tcPr>
            <w:tcW w:w="9322" w:type="dxa"/>
            <w:gridSpan w:val="2"/>
          </w:tcPr>
          <w:p w14:paraId="3E55023E" w14:textId="77777777" w:rsidR="001B628D" w:rsidRPr="00FE6AC6" w:rsidRDefault="001B628D" w:rsidP="0063575E">
            <w:pPr>
              <w:keepNext/>
              <w:widowControl w:val="0"/>
              <w:spacing w:line="240" w:lineRule="auto"/>
              <w:rPr>
                <w:color w:val="000000"/>
                <w:szCs w:val="22"/>
                <w:lang w:val="pt-PT"/>
              </w:rPr>
            </w:pPr>
            <w:r w:rsidRPr="00FE6AC6">
              <w:rPr>
                <w:b/>
                <w:noProof/>
              </w:rPr>
              <w:t>Инфекции</w:t>
            </w:r>
            <w:r w:rsidRPr="00FE6AC6">
              <w:rPr>
                <w:b/>
                <w:noProof/>
                <w:lang w:val="da-DK"/>
              </w:rPr>
              <w:t xml:space="preserve"> </w:t>
            </w:r>
            <w:r w:rsidRPr="00FE6AC6">
              <w:rPr>
                <w:b/>
                <w:noProof/>
              </w:rPr>
              <w:t>и</w:t>
            </w:r>
            <w:r w:rsidRPr="00FE6AC6">
              <w:rPr>
                <w:b/>
                <w:noProof/>
                <w:lang w:val="da-DK"/>
              </w:rPr>
              <w:t xml:space="preserve"> </w:t>
            </w:r>
            <w:r w:rsidRPr="00FE6AC6">
              <w:rPr>
                <w:b/>
                <w:noProof/>
                <w:lang w:val="bg-BG"/>
              </w:rPr>
              <w:t>инфестации</w:t>
            </w:r>
          </w:p>
        </w:tc>
      </w:tr>
      <w:tr w:rsidR="001B628D" w:rsidRPr="00FE6AC6" w14:paraId="3E550242" w14:textId="77777777" w:rsidTr="008143B1">
        <w:trPr>
          <w:cantSplit/>
        </w:trPr>
        <w:tc>
          <w:tcPr>
            <w:tcW w:w="2235" w:type="dxa"/>
          </w:tcPr>
          <w:p w14:paraId="3E550240"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50241" w14:textId="77777777" w:rsidR="001B628D" w:rsidRPr="00FE6AC6" w:rsidRDefault="001B628D" w:rsidP="0063575E">
            <w:pPr>
              <w:keepNext/>
              <w:widowControl w:val="0"/>
              <w:spacing w:line="240" w:lineRule="auto"/>
              <w:rPr>
                <w:color w:val="000000"/>
                <w:szCs w:val="22"/>
              </w:rPr>
            </w:pPr>
            <w:r w:rsidRPr="00FE6AC6">
              <w:rPr>
                <w:rStyle w:val="Emphasis"/>
                <w:b w:val="0"/>
              </w:rPr>
              <w:t xml:space="preserve">Херпес </w:t>
            </w:r>
            <w:r w:rsidRPr="00FE6AC6">
              <w:rPr>
                <w:rStyle w:val="Emphasis"/>
                <w:b w:val="0"/>
                <w:lang w:val="bg-BG"/>
              </w:rPr>
              <w:t>з</w:t>
            </w:r>
            <w:r w:rsidRPr="00FE6AC6">
              <w:rPr>
                <w:rStyle w:val="Emphasis"/>
                <w:b w:val="0"/>
              </w:rPr>
              <w:t>остер</w:t>
            </w:r>
            <w:r w:rsidRPr="00FE6AC6">
              <w:rPr>
                <w:color w:val="000000"/>
                <w:szCs w:val="22"/>
              </w:rPr>
              <w:t xml:space="preserve">, </w:t>
            </w:r>
            <w:r w:rsidRPr="00FE6AC6">
              <w:rPr>
                <w:color w:val="000000"/>
                <w:szCs w:val="22"/>
                <w:lang w:val="bg-BG"/>
              </w:rPr>
              <w:t>херпес</w:t>
            </w:r>
            <w:r w:rsidRPr="00FE6AC6">
              <w:rPr>
                <w:color w:val="000000"/>
                <w:szCs w:val="22"/>
              </w:rPr>
              <w:t xml:space="preserve"> </w:t>
            </w:r>
            <w:r w:rsidRPr="00FE6AC6">
              <w:rPr>
                <w:color w:val="000000"/>
                <w:szCs w:val="22"/>
                <w:lang w:val="bg-BG"/>
              </w:rPr>
              <w:t>симплекс</w:t>
            </w:r>
            <w:r w:rsidRPr="00FE6AC6">
              <w:rPr>
                <w:color w:val="000000"/>
                <w:szCs w:val="22"/>
              </w:rPr>
              <w:t xml:space="preserve">, </w:t>
            </w:r>
            <w:r w:rsidRPr="00FE6AC6">
              <w:rPr>
                <w:color w:val="000000"/>
                <w:szCs w:val="22"/>
                <w:lang w:val="bg-BG"/>
              </w:rPr>
              <w:t>назофарингит</w:t>
            </w:r>
            <w:r w:rsidRPr="00FE6AC6">
              <w:rPr>
                <w:color w:val="000000"/>
                <w:szCs w:val="22"/>
              </w:rPr>
              <w:t xml:space="preserve">, </w:t>
            </w:r>
            <w:r w:rsidRPr="00FE6AC6">
              <w:rPr>
                <w:color w:val="000000"/>
                <w:szCs w:val="22"/>
                <w:lang w:val="bg-BG"/>
              </w:rPr>
              <w:t>пневмония</w:t>
            </w:r>
            <w:r w:rsidRPr="00FE6AC6">
              <w:rPr>
                <w:color w:val="000000"/>
                <w:szCs w:val="22"/>
                <w:vertAlign w:val="superscript"/>
              </w:rPr>
              <w:t>1</w:t>
            </w:r>
            <w:r w:rsidRPr="00FE6AC6">
              <w:rPr>
                <w:color w:val="000000"/>
                <w:szCs w:val="22"/>
              </w:rPr>
              <w:t xml:space="preserve">, </w:t>
            </w:r>
            <w:r w:rsidRPr="00FE6AC6">
              <w:rPr>
                <w:color w:val="000000"/>
                <w:szCs w:val="22"/>
                <w:lang w:val="bg-BG"/>
              </w:rPr>
              <w:t>синузит</w:t>
            </w:r>
            <w:r w:rsidRPr="00FE6AC6">
              <w:rPr>
                <w:color w:val="000000"/>
                <w:szCs w:val="22"/>
              </w:rPr>
              <w:t xml:space="preserve">, </w:t>
            </w:r>
            <w:r w:rsidRPr="00FE6AC6">
              <w:rPr>
                <w:color w:val="000000"/>
                <w:szCs w:val="22"/>
                <w:lang w:val="bg-BG"/>
              </w:rPr>
              <w:t>целулит</w:t>
            </w:r>
            <w:r w:rsidRPr="00FE6AC6">
              <w:rPr>
                <w:color w:val="000000"/>
                <w:szCs w:val="22"/>
              </w:rPr>
              <w:t xml:space="preserve">, </w:t>
            </w:r>
            <w:r w:rsidRPr="00FE6AC6">
              <w:rPr>
                <w:color w:val="000000"/>
                <w:szCs w:val="22"/>
                <w:lang w:val="bg-BG"/>
              </w:rPr>
              <w:t>инфекции на горните дихателни пътища</w:t>
            </w:r>
            <w:r w:rsidRPr="00FE6AC6">
              <w:rPr>
                <w:color w:val="000000"/>
                <w:szCs w:val="22"/>
              </w:rPr>
              <w:t xml:space="preserve">, </w:t>
            </w:r>
            <w:r w:rsidRPr="00FE6AC6">
              <w:rPr>
                <w:color w:val="000000"/>
                <w:szCs w:val="22"/>
                <w:lang w:val="bg-BG"/>
              </w:rPr>
              <w:t>грип</w:t>
            </w:r>
            <w:r w:rsidRPr="00FE6AC6">
              <w:rPr>
                <w:color w:val="000000"/>
                <w:szCs w:val="22"/>
              </w:rPr>
              <w:t xml:space="preserve">, </w:t>
            </w:r>
            <w:r w:rsidRPr="00FE6AC6">
              <w:rPr>
                <w:color w:val="000000"/>
                <w:szCs w:val="22"/>
                <w:lang w:val="bg-BG"/>
              </w:rPr>
              <w:t>инфекции на пикочните пътища</w:t>
            </w:r>
            <w:r w:rsidRPr="00FE6AC6">
              <w:rPr>
                <w:color w:val="000000"/>
                <w:szCs w:val="22"/>
              </w:rPr>
              <w:t xml:space="preserve">, </w:t>
            </w:r>
            <w:r w:rsidRPr="00FE6AC6">
              <w:rPr>
                <w:color w:val="000000"/>
                <w:szCs w:val="22"/>
                <w:lang w:val="bg-BG"/>
              </w:rPr>
              <w:t>гастроентерит</w:t>
            </w:r>
            <w:r w:rsidRPr="00FE6AC6">
              <w:rPr>
                <w:color w:val="000000"/>
                <w:szCs w:val="22"/>
              </w:rPr>
              <w:t xml:space="preserve">, </w:t>
            </w:r>
            <w:r w:rsidRPr="00FE6AC6">
              <w:rPr>
                <w:color w:val="000000"/>
                <w:szCs w:val="22"/>
                <w:lang w:val="bg-BG"/>
              </w:rPr>
              <w:t>сепсис</w:t>
            </w:r>
          </w:p>
        </w:tc>
      </w:tr>
      <w:tr w:rsidR="001B628D" w:rsidRPr="00FE6AC6" w14:paraId="3E550245" w14:textId="77777777" w:rsidTr="008143B1">
        <w:trPr>
          <w:cantSplit/>
        </w:trPr>
        <w:tc>
          <w:tcPr>
            <w:tcW w:w="2235" w:type="dxa"/>
          </w:tcPr>
          <w:p w14:paraId="3E550243"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50244" w14:textId="77777777" w:rsidR="001B628D" w:rsidRPr="00FE6AC6" w:rsidRDefault="001B628D" w:rsidP="0063575E">
            <w:pPr>
              <w:keepNext/>
              <w:widowControl w:val="0"/>
              <w:spacing w:line="240" w:lineRule="auto"/>
              <w:rPr>
                <w:color w:val="000000"/>
                <w:szCs w:val="22"/>
              </w:rPr>
            </w:pPr>
            <w:r w:rsidRPr="00FE6AC6">
              <w:rPr>
                <w:color w:val="000000"/>
                <w:szCs w:val="22"/>
                <w:lang w:val="bg-BG"/>
              </w:rPr>
              <w:t>Гъбични инфекции</w:t>
            </w:r>
          </w:p>
        </w:tc>
      </w:tr>
      <w:tr w:rsidR="0070096E" w:rsidRPr="00FE6AC6" w14:paraId="3E550248" w14:textId="77777777" w:rsidTr="008143B1">
        <w:trPr>
          <w:cantSplit/>
        </w:trPr>
        <w:tc>
          <w:tcPr>
            <w:tcW w:w="2235" w:type="dxa"/>
          </w:tcPr>
          <w:p w14:paraId="3E550246" w14:textId="77777777" w:rsidR="0070096E" w:rsidRPr="00FE6AC6" w:rsidRDefault="0070096E"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47" w14:textId="77777777" w:rsidR="0070096E" w:rsidRPr="00FE6AC6" w:rsidRDefault="0070096E" w:rsidP="0063575E">
            <w:pPr>
              <w:widowControl w:val="0"/>
              <w:spacing w:line="240" w:lineRule="auto"/>
              <w:rPr>
                <w:color w:val="000000"/>
                <w:szCs w:val="22"/>
                <w:lang w:val="bg-BG"/>
              </w:rPr>
            </w:pPr>
            <w:r w:rsidRPr="00FE6AC6">
              <w:rPr>
                <w:color w:val="000000"/>
                <w:szCs w:val="22"/>
                <w:lang w:val="bg-BG"/>
              </w:rPr>
              <w:t>Реактивация на хепатит В</w:t>
            </w:r>
            <w:r w:rsidRPr="00FE6AC6">
              <w:rPr>
                <w:color w:val="000000"/>
                <w:szCs w:val="22"/>
              </w:rPr>
              <w:t>*</w:t>
            </w:r>
          </w:p>
        </w:tc>
      </w:tr>
      <w:tr w:rsidR="001B628D" w:rsidRPr="00FE6AC6" w14:paraId="3E55024A" w14:textId="77777777" w:rsidTr="008143B1">
        <w:trPr>
          <w:cantSplit/>
        </w:trPr>
        <w:tc>
          <w:tcPr>
            <w:tcW w:w="9322" w:type="dxa"/>
            <w:gridSpan w:val="2"/>
          </w:tcPr>
          <w:p w14:paraId="3E550249" w14:textId="77777777" w:rsidR="001B628D" w:rsidRPr="00FE6AC6" w:rsidRDefault="001B628D" w:rsidP="0063575E">
            <w:pPr>
              <w:keepNext/>
              <w:widowControl w:val="0"/>
              <w:spacing w:line="240" w:lineRule="auto"/>
              <w:rPr>
                <w:b/>
                <w:color w:val="000000"/>
                <w:szCs w:val="22"/>
                <w:lang w:val="bg-BG"/>
              </w:rPr>
            </w:pPr>
            <w:r w:rsidRPr="00FE6AC6">
              <w:rPr>
                <w:b/>
                <w:noProof/>
                <w:szCs w:val="22"/>
                <w:lang w:val="ru-RU"/>
              </w:rPr>
              <w:t>Неоплазми – доброкачествени, злокачествени и неопределени (вкл. кисти и полипи)</w:t>
            </w:r>
          </w:p>
        </w:tc>
      </w:tr>
      <w:tr w:rsidR="001B628D" w:rsidRPr="00FE6AC6" w14:paraId="3E55024D" w14:textId="77777777" w:rsidTr="008143B1">
        <w:trPr>
          <w:cantSplit/>
        </w:trPr>
        <w:tc>
          <w:tcPr>
            <w:tcW w:w="2235" w:type="dxa"/>
          </w:tcPr>
          <w:p w14:paraId="3E55024B" w14:textId="77777777" w:rsidR="001B628D" w:rsidRPr="00FE6AC6" w:rsidRDefault="001B628D" w:rsidP="0063575E">
            <w:pPr>
              <w:keepNext/>
              <w:widowControl w:val="0"/>
              <w:spacing w:line="240" w:lineRule="auto"/>
              <w:rPr>
                <w:i/>
                <w:color w:val="000000"/>
                <w:szCs w:val="22"/>
                <w:lang w:val="bg-BG"/>
              </w:rPr>
            </w:pPr>
            <w:r w:rsidRPr="00FE6AC6">
              <w:rPr>
                <w:i/>
                <w:color w:val="000000"/>
                <w:szCs w:val="22"/>
                <w:lang w:val="bg-BG"/>
              </w:rPr>
              <w:t>Редки</w:t>
            </w:r>
            <w:r w:rsidRPr="00FE6AC6">
              <w:rPr>
                <w:i/>
                <w:color w:val="000000"/>
                <w:szCs w:val="22"/>
              </w:rPr>
              <w:t>:</w:t>
            </w:r>
          </w:p>
        </w:tc>
        <w:tc>
          <w:tcPr>
            <w:tcW w:w="7087" w:type="dxa"/>
          </w:tcPr>
          <w:p w14:paraId="3E55024C" w14:textId="77777777" w:rsidR="001B628D" w:rsidRPr="00FE6AC6" w:rsidRDefault="001B628D" w:rsidP="0063575E">
            <w:pPr>
              <w:keepNext/>
              <w:widowControl w:val="0"/>
              <w:spacing w:line="240" w:lineRule="auto"/>
              <w:rPr>
                <w:color w:val="000000"/>
                <w:szCs w:val="22"/>
                <w:lang w:val="bg-BG"/>
              </w:rPr>
            </w:pPr>
            <w:r w:rsidRPr="00FE6AC6">
              <w:rPr>
                <w:color w:val="000000"/>
                <w:szCs w:val="22"/>
                <w:lang w:val="bg-BG"/>
              </w:rPr>
              <w:t>Тумор-лизис синдром</w:t>
            </w:r>
          </w:p>
        </w:tc>
      </w:tr>
      <w:tr w:rsidR="00FA33D8" w:rsidRPr="00FE6AC6" w14:paraId="3E550250" w14:textId="77777777" w:rsidTr="008143B1">
        <w:trPr>
          <w:cantSplit/>
        </w:trPr>
        <w:tc>
          <w:tcPr>
            <w:tcW w:w="2235" w:type="dxa"/>
          </w:tcPr>
          <w:p w14:paraId="3E55024E" w14:textId="77777777" w:rsidR="00FA33D8" w:rsidRPr="00FE6AC6" w:rsidRDefault="00FA33D8"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4F" w14:textId="77777777" w:rsidR="00FA33D8" w:rsidRPr="00FE6AC6" w:rsidRDefault="00FA33D8" w:rsidP="0063575E">
            <w:pPr>
              <w:widowControl w:val="0"/>
              <w:spacing w:line="240" w:lineRule="auto"/>
              <w:rPr>
                <w:color w:val="000000"/>
                <w:szCs w:val="22"/>
                <w:lang w:val="bg-BG"/>
              </w:rPr>
            </w:pPr>
            <w:r w:rsidRPr="00FE6AC6">
              <w:rPr>
                <w:color w:val="000000"/>
                <w:szCs w:val="22"/>
                <w:lang w:val="bg-BG"/>
              </w:rPr>
              <w:t>Туморна хеморагия/ туморна некроза</w:t>
            </w:r>
            <w:r w:rsidRPr="00FE6AC6">
              <w:rPr>
                <w:color w:val="000000"/>
                <w:szCs w:val="22"/>
              </w:rPr>
              <w:t>*</w:t>
            </w:r>
          </w:p>
        </w:tc>
      </w:tr>
      <w:tr w:rsidR="00FA33D8" w:rsidRPr="00FE6AC6" w14:paraId="3E550252" w14:textId="77777777" w:rsidTr="008143B1">
        <w:trPr>
          <w:cantSplit/>
        </w:trPr>
        <w:tc>
          <w:tcPr>
            <w:tcW w:w="9322" w:type="dxa"/>
            <w:gridSpan w:val="2"/>
          </w:tcPr>
          <w:p w14:paraId="3E550251" w14:textId="77777777" w:rsidR="00FA33D8" w:rsidRPr="00FE6AC6" w:rsidRDefault="00FA33D8" w:rsidP="0063575E">
            <w:pPr>
              <w:keepNext/>
              <w:widowControl w:val="0"/>
              <w:spacing w:line="240" w:lineRule="auto"/>
              <w:rPr>
                <w:b/>
                <w:color w:val="000000"/>
                <w:szCs w:val="22"/>
                <w:lang w:val="bg-BG"/>
              </w:rPr>
            </w:pPr>
            <w:r w:rsidRPr="00FE6AC6">
              <w:rPr>
                <w:b/>
                <w:color w:val="000000"/>
                <w:szCs w:val="22"/>
                <w:lang w:val="bg-BG"/>
              </w:rPr>
              <w:t>Нарушения на имунната система</w:t>
            </w:r>
          </w:p>
        </w:tc>
      </w:tr>
      <w:tr w:rsidR="00FA33D8" w:rsidRPr="00FE6AC6" w14:paraId="3E550255" w14:textId="77777777" w:rsidTr="008143B1">
        <w:trPr>
          <w:cantSplit/>
        </w:trPr>
        <w:tc>
          <w:tcPr>
            <w:tcW w:w="2235" w:type="dxa"/>
          </w:tcPr>
          <w:p w14:paraId="3E550253" w14:textId="77777777" w:rsidR="00FA33D8" w:rsidRPr="00FE6AC6" w:rsidRDefault="00FA33D8"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54" w14:textId="77777777" w:rsidR="00FA33D8" w:rsidRPr="00FE6AC6" w:rsidRDefault="00FA33D8" w:rsidP="0063575E">
            <w:pPr>
              <w:widowControl w:val="0"/>
              <w:spacing w:line="240" w:lineRule="auto"/>
              <w:rPr>
                <w:color w:val="000000"/>
                <w:szCs w:val="22"/>
                <w:lang w:val="bg-BG"/>
              </w:rPr>
            </w:pPr>
            <w:r w:rsidRPr="00FE6AC6">
              <w:rPr>
                <w:color w:val="000000"/>
                <w:szCs w:val="22"/>
                <w:lang w:val="bg-BG"/>
              </w:rPr>
              <w:t>Анафилактичен шок</w:t>
            </w:r>
            <w:r w:rsidRPr="00FE6AC6">
              <w:rPr>
                <w:color w:val="000000"/>
                <w:szCs w:val="22"/>
              </w:rPr>
              <w:t>*</w:t>
            </w:r>
          </w:p>
        </w:tc>
      </w:tr>
      <w:tr w:rsidR="001B628D" w:rsidRPr="00FE6AC6" w14:paraId="3E550257" w14:textId="77777777" w:rsidTr="008143B1">
        <w:trPr>
          <w:cantSplit/>
        </w:trPr>
        <w:tc>
          <w:tcPr>
            <w:tcW w:w="9322" w:type="dxa"/>
            <w:gridSpan w:val="2"/>
          </w:tcPr>
          <w:p w14:paraId="3E550256" w14:textId="77777777" w:rsidR="001B628D" w:rsidRPr="00FE6AC6" w:rsidRDefault="001B628D" w:rsidP="0063575E">
            <w:pPr>
              <w:keepNext/>
              <w:widowControl w:val="0"/>
              <w:spacing w:line="240" w:lineRule="auto"/>
              <w:rPr>
                <w:color w:val="000000"/>
                <w:lang w:val="ru-RU"/>
              </w:rPr>
            </w:pPr>
            <w:r w:rsidRPr="00FE6AC6">
              <w:rPr>
                <w:b/>
                <w:color w:val="000000"/>
                <w:szCs w:val="22"/>
                <w:lang w:val="ru-RU"/>
              </w:rPr>
              <w:t>Нарушения на кръвта и лимфната система</w:t>
            </w:r>
          </w:p>
        </w:tc>
      </w:tr>
      <w:tr w:rsidR="001B628D" w:rsidRPr="00FE6AC6" w14:paraId="3E55025A" w14:textId="77777777" w:rsidTr="008143B1">
        <w:trPr>
          <w:cantSplit/>
        </w:trPr>
        <w:tc>
          <w:tcPr>
            <w:tcW w:w="2235" w:type="dxa"/>
          </w:tcPr>
          <w:p w14:paraId="3E550258" w14:textId="77777777" w:rsidR="001B628D" w:rsidRPr="00FE6AC6" w:rsidRDefault="001B628D"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50259" w14:textId="77777777" w:rsidR="001B628D" w:rsidRPr="00FE6AC6" w:rsidRDefault="001B628D" w:rsidP="0063575E">
            <w:pPr>
              <w:keepNext/>
              <w:widowControl w:val="0"/>
              <w:spacing w:line="240" w:lineRule="auto"/>
              <w:rPr>
                <w:color w:val="000000"/>
              </w:rPr>
            </w:pPr>
            <w:r w:rsidRPr="00FE6AC6">
              <w:rPr>
                <w:color w:val="000000"/>
                <w:szCs w:val="22"/>
                <w:lang w:val="bg-BG"/>
              </w:rPr>
              <w:t>Неутропения</w:t>
            </w:r>
            <w:r w:rsidRPr="00FE6AC6">
              <w:rPr>
                <w:color w:val="000000"/>
                <w:szCs w:val="22"/>
              </w:rPr>
              <w:t xml:space="preserve">, </w:t>
            </w:r>
            <w:r w:rsidRPr="00FE6AC6">
              <w:rPr>
                <w:color w:val="000000"/>
                <w:szCs w:val="22"/>
                <w:lang w:val="bg-BG"/>
              </w:rPr>
              <w:t>тромбоцитопения</w:t>
            </w:r>
            <w:r w:rsidRPr="00FE6AC6">
              <w:rPr>
                <w:color w:val="000000"/>
                <w:szCs w:val="22"/>
              </w:rPr>
              <w:t xml:space="preserve">, </w:t>
            </w:r>
            <w:r w:rsidRPr="00FE6AC6">
              <w:rPr>
                <w:color w:val="000000"/>
                <w:szCs w:val="22"/>
                <w:lang w:val="bg-BG"/>
              </w:rPr>
              <w:t>анемия</w:t>
            </w:r>
          </w:p>
        </w:tc>
      </w:tr>
      <w:tr w:rsidR="001B628D" w:rsidRPr="00FE6AC6" w14:paraId="3E55025D" w14:textId="77777777" w:rsidTr="008143B1">
        <w:trPr>
          <w:cantSplit/>
        </w:trPr>
        <w:tc>
          <w:tcPr>
            <w:tcW w:w="2235" w:type="dxa"/>
          </w:tcPr>
          <w:p w14:paraId="3E55025B" w14:textId="77777777" w:rsidR="001B628D" w:rsidRPr="00FE6AC6" w:rsidRDefault="001B628D"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5025C" w14:textId="77777777" w:rsidR="001B628D" w:rsidRPr="00FE6AC6" w:rsidRDefault="001B628D" w:rsidP="0063575E">
            <w:pPr>
              <w:keepNext/>
              <w:widowControl w:val="0"/>
              <w:spacing w:line="240" w:lineRule="auto"/>
              <w:rPr>
                <w:color w:val="000000"/>
              </w:rPr>
            </w:pPr>
            <w:r w:rsidRPr="00FE6AC6">
              <w:rPr>
                <w:color w:val="000000"/>
                <w:szCs w:val="22"/>
                <w:lang w:val="bg-BG"/>
              </w:rPr>
              <w:t>Панцитопения</w:t>
            </w:r>
            <w:r w:rsidRPr="00FE6AC6">
              <w:rPr>
                <w:color w:val="000000"/>
                <w:szCs w:val="22"/>
              </w:rPr>
              <w:t xml:space="preserve">, </w:t>
            </w:r>
            <w:r w:rsidRPr="00FE6AC6">
              <w:rPr>
                <w:color w:val="000000"/>
                <w:szCs w:val="22"/>
                <w:lang w:val="bg-BG"/>
              </w:rPr>
              <w:t>фебрилна неутропения</w:t>
            </w:r>
          </w:p>
        </w:tc>
      </w:tr>
      <w:tr w:rsidR="001B628D" w:rsidRPr="00FE6AC6" w14:paraId="3E550260" w14:textId="77777777" w:rsidTr="008143B1">
        <w:trPr>
          <w:cantSplit/>
        </w:trPr>
        <w:tc>
          <w:tcPr>
            <w:tcW w:w="2235" w:type="dxa"/>
          </w:tcPr>
          <w:p w14:paraId="3E55025E"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25F"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Тромбоцитемия</w:t>
            </w:r>
            <w:r w:rsidRPr="00FE6AC6">
              <w:rPr>
                <w:color w:val="000000"/>
                <w:szCs w:val="22"/>
                <w:lang w:val="ru-RU"/>
              </w:rPr>
              <w:t xml:space="preserve">, </w:t>
            </w:r>
            <w:r w:rsidRPr="00FE6AC6">
              <w:rPr>
                <w:color w:val="000000"/>
                <w:szCs w:val="22"/>
                <w:lang w:val="bg-BG"/>
              </w:rPr>
              <w:t>лимфопения</w:t>
            </w:r>
            <w:r w:rsidRPr="00FE6AC6">
              <w:rPr>
                <w:color w:val="000000"/>
                <w:szCs w:val="22"/>
                <w:lang w:val="ru-RU"/>
              </w:rPr>
              <w:t xml:space="preserve">, </w:t>
            </w:r>
            <w:r w:rsidRPr="00FE6AC6">
              <w:rPr>
                <w:color w:val="000000"/>
                <w:szCs w:val="22"/>
                <w:lang w:val="bg-BG"/>
              </w:rPr>
              <w:t>потискане на костния мозък</w:t>
            </w:r>
            <w:r w:rsidRPr="00FE6AC6">
              <w:rPr>
                <w:color w:val="000000"/>
                <w:szCs w:val="22"/>
                <w:lang w:val="ru-RU"/>
              </w:rPr>
              <w:t xml:space="preserve">, </w:t>
            </w:r>
            <w:r w:rsidRPr="00FE6AC6">
              <w:rPr>
                <w:color w:val="000000"/>
                <w:szCs w:val="22"/>
                <w:lang w:val="bg-BG"/>
              </w:rPr>
              <w:t>еозинофилия</w:t>
            </w:r>
            <w:r w:rsidRPr="00FE6AC6">
              <w:rPr>
                <w:color w:val="000000"/>
                <w:szCs w:val="22"/>
                <w:lang w:val="ru-RU"/>
              </w:rPr>
              <w:t xml:space="preserve">, </w:t>
            </w:r>
            <w:r w:rsidRPr="00FE6AC6">
              <w:rPr>
                <w:color w:val="000000"/>
                <w:szCs w:val="22"/>
                <w:lang w:val="bg-BG"/>
              </w:rPr>
              <w:t>лимфаденопатия</w:t>
            </w:r>
          </w:p>
        </w:tc>
      </w:tr>
      <w:tr w:rsidR="001B628D" w:rsidRPr="00FE6AC6" w14:paraId="3E550263" w14:textId="77777777" w:rsidTr="008143B1">
        <w:trPr>
          <w:cantSplit/>
        </w:trPr>
        <w:tc>
          <w:tcPr>
            <w:tcW w:w="2235" w:type="dxa"/>
          </w:tcPr>
          <w:p w14:paraId="3E550261" w14:textId="77777777" w:rsidR="001B628D" w:rsidRPr="00FE6AC6" w:rsidRDefault="001B628D" w:rsidP="0063575E">
            <w:pPr>
              <w:widowControl w:val="0"/>
              <w:spacing w:line="240" w:lineRule="auto"/>
              <w:rPr>
                <w:i/>
                <w:color w:val="000000"/>
              </w:rPr>
            </w:pPr>
            <w:r w:rsidRPr="00FE6AC6">
              <w:rPr>
                <w:i/>
                <w:color w:val="000000"/>
                <w:lang w:val="bg-BG"/>
              </w:rPr>
              <w:t>Редки</w:t>
            </w:r>
            <w:r w:rsidRPr="00FE6AC6">
              <w:rPr>
                <w:i/>
                <w:color w:val="000000"/>
              </w:rPr>
              <w:t>:</w:t>
            </w:r>
          </w:p>
        </w:tc>
        <w:tc>
          <w:tcPr>
            <w:tcW w:w="7087" w:type="dxa"/>
          </w:tcPr>
          <w:p w14:paraId="3E550262" w14:textId="77777777" w:rsidR="001B628D" w:rsidRPr="00FE6AC6" w:rsidRDefault="001B628D" w:rsidP="0063575E">
            <w:pPr>
              <w:widowControl w:val="0"/>
              <w:spacing w:line="240" w:lineRule="auto"/>
              <w:rPr>
                <w:color w:val="000000"/>
              </w:rPr>
            </w:pPr>
            <w:r w:rsidRPr="00FE6AC6">
              <w:rPr>
                <w:color w:val="000000"/>
                <w:lang w:val="bg-BG"/>
              </w:rPr>
              <w:t>Хемолитична анемия</w:t>
            </w:r>
            <w:r w:rsidR="00026816" w:rsidRPr="00FE6AC6">
              <w:rPr>
                <w:color w:val="000000"/>
                <w:lang w:val="bg-BG"/>
              </w:rPr>
              <w:t>, тромботична микроангиопатия</w:t>
            </w:r>
          </w:p>
        </w:tc>
      </w:tr>
      <w:tr w:rsidR="001B628D" w:rsidRPr="00FE6AC6" w14:paraId="3E550265" w14:textId="77777777" w:rsidTr="008143B1">
        <w:trPr>
          <w:cantSplit/>
        </w:trPr>
        <w:tc>
          <w:tcPr>
            <w:tcW w:w="9322" w:type="dxa"/>
            <w:gridSpan w:val="2"/>
          </w:tcPr>
          <w:p w14:paraId="3E550264" w14:textId="77777777" w:rsidR="001B628D" w:rsidRPr="00FE6AC6" w:rsidRDefault="001B628D" w:rsidP="0063575E">
            <w:pPr>
              <w:keepNext/>
              <w:widowControl w:val="0"/>
              <w:spacing w:line="240" w:lineRule="auto"/>
              <w:rPr>
                <w:color w:val="000000"/>
                <w:szCs w:val="22"/>
                <w:lang w:val="ru-RU"/>
              </w:rPr>
            </w:pPr>
            <w:r w:rsidRPr="00FE6AC6">
              <w:rPr>
                <w:b/>
                <w:color w:val="000000"/>
                <w:szCs w:val="22"/>
                <w:lang w:val="ru-RU"/>
              </w:rPr>
              <w:t>Нарушения на метаболизма и храненето</w:t>
            </w:r>
          </w:p>
        </w:tc>
      </w:tr>
      <w:tr w:rsidR="001B628D" w:rsidRPr="00FE6AC6" w14:paraId="3E550268" w14:textId="77777777" w:rsidTr="008143B1">
        <w:trPr>
          <w:cantSplit/>
        </w:trPr>
        <w:tc>
          <w:tcPr>
            <w:tcW w:w="2235" w:type="dxa"/>
          </w:tcPr>
          <w:p w14:paraId="3E550266"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50267" w14:textId="77777777" w:rsidR="001B628D" w:rsidRPr="00FE6AC6" w:rsidRDefault="001B628D" w:rsidP="0063575E">
            <w:pPr>
              <w:keepNext/>
              <w:widowControl w:val="0"/>
              <w:spacing w:line="240" w:lineRule="auto"/>
              <w:rPr>
                <w:color w:val="000000"/>
                <w:szCs w:val="22"/>
              </w:rPr>
            </w:pPr>
            <w:r w:rsidRPr="00FE6AC6">
              <w:rPr>
                <w:color w:val="000000"/>
                <w:szCs w:val="22"/>
                <w:lang w:val="bg-BG"/>
              </w:rPr>
              <w:t>Анорексия</w:t>
            </w:r>
          </w:p>
        </w:tc>
      </w:tr>
      <w:tr w:rsidR="001B628D" w:rsidRPr="00FE6AC6" w14:paraId="3E55026B" w14:textId="77777777" w:rsidTr="008143B1">
        <w:trPr>
          <w:cantSplit/>
        </w:trPr>
        <w:tc>
          <w:tcPr>
            <w:tcW w:w="2235" w:type="dxa"/>
          </w:tcPr>
          <w:p w14:paraId="3E550269"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5026A" w14:textId="77777777" w:rsidR="001B628D" w:rsidRPr="00FE6AC6" w:rsidRDefault="001B628D" w:rsidP="0063575E">
            <w:pPr>
              <w:keepNext/>
              <w:widowControl w:val="0"/>
              <w:spacing w:line="240" w:lineRule="auto"/>
              <w:rPr>
                <w:color w:val="000000"/>
                <w:szCs w:val="22"/>
              </w:rPr>
            </w:pPr>
            <w:r w:rsidRPr="00FE6AC6">
              <w:rPr>
                <w:color w:val="000000"/>
                <w:szCs w:val="22"/>
                <w:lang w:val="bg-BG"/>
              </w:rPr>
              <w:t>Хипокалиемия</w:t>
            </w:r>
            <w:r w:rsidRPr="00FE6AC6">
              <w:rPr>
                <w:color w:val="000000"/>
                <w:szCs w:val="22"/>
              </w:rPr>
              <w:t xml:space="preserve">, </w:t>
            </w:r>
            <w:r w:rsidRPr="00FE6AC6">
              <w:rPr>
                <w:color w:val="000000"/>
                <w:szCs w:val="22"/>
                <w:lang w:val="bg-BG"/>
              </w:rPr>
              <w:t>повишен апетит</w:t>
            </w:r>
            <w:r w:rsidRPr="00FE6AC6">
              <w:rPr>
                <w:color w:val="000000"/>
                <w:szCs w:val="22"/>
              </w:rPr>
              <w:t xml:space="preserve">, </w:t>
            </w:r>
            <w:r w:rsidRPr="00FE6AC6">
              <w:rPr>
                <w:color w:val="000000"/>
                <w:szCs w:val="22"/>
                <w:lang w:val="bg-BG"/>
              </w:rPr>
              <w:t>хипофосфатемия</w:t>
            </w:r>
            <w:r w:rsidRPr="00FE6AC6">
              <w:rPr>
                <w:color w:val="000000"/>
                <w:szCs w:val="22"/>
              </w:rPr>
              <w:t xml:space="preserve">, </w:t>
            </w:r>
            <w:r w:rsidRPr="00FE6AC6">
              <w:rPr>
                <w:color w:val="000000"/>
                <w:szCs w:val="22"/>
                <w:lang w:val="bg-BG"/>
              </w:rPr>
              <w:t>понижен апетит</w:t>
            </w:r>
            <w:r w:rsidRPr="00FE6AC6">
              <w:rPr>
                <w:color w:val="000000"/>
                <w:szCs w:val="22"/>
              </w:rPr>
              <w:t xml:space="preserve">, </w:t>
            </w:r>
            <w:r w:rsidRPr="00FE6AC6">
              <w:rPr>
                <w:color w:val="000000"/>
                <w:szCs w:val="22"/>
                <w:lang w:val="bg-BG"/>
              </w:rPr>
              <w:t>дехидратация</w:t>
            </w:r>
            <w:r w:rsidRPr="00FE6AC6">
              <w:rPr>
                <w:color w:val="000000"/>
                <w:szCs w:val="22"/>
              </w:rPr>
              <w:t xml:space="preserve">, </w:t>
            </w:r>
            <w:r w:rsidRPr="00FE6AC6">
              <w:rPr>
                <w:color w:val="000000"/>
                <w:szCs w:val="22"/>
                <w:lang w:val="bg-BG"/>
              </w:rPr>
              <w:t>подагра</w:t>
            </w:r>
            <w:r w:rsidRPr="00FE6AC6">
              <w:rPr>
                <w:color w:val="000000"/>
                <w:szCs w:val="22"/>
              </w:rPr>
              <w:t xml:space="preserve">, </w:t>
            </w:r>
            <w:r w:rsidRPr="00FE6AC6">
              <w:rPr>
                <w:color w:val="000000"/>
                <w:szCs w:val="22"/>
                <w:lang w:val="bg-BG"/>
              </w:rPr>
              <w:t>хиперурикемия</w:t>
            </w:r>
            <w:r w:rsidRPr="00FE6AC6">
              <w:rPr>
                <w:color w:val="000000"/>
                <w:szCs w:val="22"/>
              </w:rPr>
              <w:t xml:space="preserve">, </w:t>
            </w:r>
            <w:r w:rsidRPr="00FE6AC6">
              <w:rPr>
                <w:color w:val="000000"/>
                <w:szCs w:val="22"/>
                <w:lang w:val="bg-BG"/>
              </w:rPr>
              <w:t>хиперкалциемия</w:t>
            </w:r>
            <w:r w:rsidRPr="00FE6AC6">
              <w:rPr>
                <w:color w:val="000000"/>
                <w:szCs w:val="22"/>
              </w:rPr>
              <w:t xml:space="preserve">, </w:t>
            </w:r>
            <w:r w:rsidRPr="00FE6AC6">
              <w:rPr>
                <w:color w:val="000000"/>
                <w:szCs w:val="22"/>
                <w:lang w:val="bg-BG"/>
              </w:rPr>
              <w:t>хипергликемия</w:t>
            </w:r>
            <w:r w:rsidRPr="00FE6AC6">
              <w:rPr>
                <w:color w:val="000000"/>
                <w:szCs w:val="22"/>
              </w:rPr>
              <w:t xml:space="preserve">, </w:t>
            </w:r>
            <w:r w:rsidRPr="00FE6AC6">
              <w:rPr>
                <w:color w:val="000000"/>
                <w:szCs w:val="22"/>
                <w:lang w:val="bg-BG"/>
              </w:rPr>
              <w:t>хипонатриемия</w:t>
            </w:r>
          </w:p>
        </w:tc>
      </w:tr>
      <w:tr w:rsidR="001B628D" w:rsidRPr="00FE6AC6" w14:paraId="3E55026E" w14:textId="77777777" w:rsidTr="008143B1">
        <w:trPr>
          <w:cantSplit/>
        </w:trPr>
        <w:tc>
          <w:tcPr>
            <w:tcW w:w="2235" w:type="dxa"/>
          </w:tcPr>
          <w:p w14:paraId="3E55026C" w14:textId="77777777" w:rsidR="001B628D" w:rsidRPr="00FE6AC6" w:rsidRDefault="001B628D" w:rsidP="0063575E">
            <w:pPr>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5026D" w14:textId="77777777" w:rsidR="001B628D" w:rsidRPr="00FE6AC6" w:rsidRDefault="001B628D" w:rsidP="0063575E">
            <w:pPr>
              <w:widowControl w:val="0"/>
              <w:spacing w:line="240" w:lineRule="auto"/>
              <w:rPr>
                <w:color w:val="000000"/>
                <w:szCs w:val="22"/>
                <w:lang w:val="pt-PT"/>
              </w:rPr>
            </w:pPr>
            <w:r w:rsidRPr="00FE6AC6">
              <w:rPr>
                <w:color w:val="000000"/>
                <w:szCs w:val="22"/>
                <w:lang w:val="bg-BG"/>
              </w:rPr>
              <w:t>Хиперкалиемия</w:t>
            </w:r>
            <w:r w:rsidRPr="00FE6AC6">
              <w:rPr>
                <w:color w:val="000000"/>
                <w:szCs w:val="22"/>
              </w:rPr>
              <w:t xml:space="preserve">, </w:t>
            </w:r>
            <w:r w:rsidRPr="00FE6AC6">
              <w:rPr>
                <w:color w:val="000000"/>
                <w:szCs w:val="22"/>
                <w:lang w:val="bg-BG"/>
              </w:rPr>
              <w:t>хипомагнезиемия</w:t>
            </w:r>
          </w:p>
        </w:tc>
      </w:tr>
      <w:tr w:rsidR="001B628D" w:rsidRPr="00FE6AC6" w14:paraId="3E550270" w14:textId="77777777" w:rsidTr="008143B1">
        <w:trPr>
          <w:cantSplit/>
        </w:trPr>
        <w:tc>
          <w:tcPr>
            <w:tcW w:w="9322" w:type="dxa"/>
            <w:gridSpan w:val="2"/>
          </w:tcPr>
          <w:p w14:paraId="3E55026F" w14:textId="77777777" w:rsidR="001B628D" w:rsidRPr="00FE6AC6" w:rsidRDefault="001B628D" w:rsidP="0063575E">
            <w:pPr>
              <w:keepNext/>
              <w:widowControl w:val="0"/>
              <w:spacing w:line="240" w:lineRule="auto"/>
              <w:rPr>
                <w:color w:val="000000"/>
                <w:szCs w:val="22"/>
              </w:rPr>
            </w:pPr>
            <w:r w:rsidRPr="00FE6AC6">
              <w:rPr>
                <w:b/>
                <w:color w:val="000000"/>
                <w:szCs w:val="22"/>
              </w:rPr>
              <w:t>Психични нарушения</w:t>
            </w:r>
          </w:p>
        </w:tc>
      </w:tr>
      <w:tr w:rsidR="001B628D" w:rsidRPr="00FE6AC6" w14:paraId="3E550273" w14:textId="77777777" w:rsidTr="008143B1">
        <w:trPr>
          <w:cantSplit/>
        </w:trPr>
        <w:tc>
          <w:tcPr>
            <w:tcW w:w="2235" w:type="dxa"/>
          </w:tcPr>
          <w:p w14:paraId="3E550271"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50272" w14:textId="77777777" w:rsidR="001B628D" w:rsidRPr="00FE6AC6" w:rsidRDefault="001B628D" w:rsidP="0063575E">
            <w:pPr>
              <w:keepNext/>
              <w:widowControl w:val="0"/>
              <w:spacing w:line="240" w:lineRule="auto"/>
              <w:rPr>
                <w:color w:val="000000"/>
                <w:szCs w:val="22"/>
              </w:rPr>
            </w:pPr>
            <w:r w:rsidRPr="00FE6AC6">
              <w:rPr>
                <w:color w:val="000000"/>
                <w:szCs w:val="22"/>
                <w:lang w:val="bg-BG"/>
              </w:rPr>
              <w:t>Безсъние</w:t>
            </w:r>
          </w:p>
        </w:tc>
      </w:tr>
      <w:tr w:rsidR="001B628D" w:rsidRPr="00FE6AC6" w14:paraId="3E550276" w14:textId="77777777" w:rsidTr="008143B1">
        <w:trPr>
          <w:cantSplit/>
        </w:trPr>
        <w:tc>
          <w:tcPr>
            <w:tcW w:w="2235" w:type="dxa"/>
          </w:tcPr>
          <w:p w14:paraId="3E550274"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50275" w14:textId="77777777" w:rsidR="001B628D" w:rsidRPr="00FE6AC6" w:rsidRDefault="001B628D" w:rsidP="0063575E">
            <w:pPr>
              <w:keepNext/>
              <w:widowControl w:val="0"/>
              <w:spacing w:line="240" w:lineRule="auto"/>
              <w:rPr>
                <w:color w:val="000000"/>
                <w:szCs w:val="22"/>
              </w:rPr>
            </w:pPr>
            <w:r w:rsidRPr="00FE6AC6">
              <w:rPr>
                <w:color w:val="000000"/>
                <w:szCs w:val="22"/>
                <w:lang w:val="bg-BG"/>
              </w:rPr>
              <w:t>Депресия</w:t>
            </w:r>
            <w:r w:rsidRPr="00FE6AC6">
              <w:rPr>
                <w:color w:val="000000"/>
                <w:szCs w:val="22"/>
              </w:rPr>
              <w:t xml:space="preserve">, </w:t>
            </w:r>
            <w:r w:rsidRPr="00FE6AC6">
              <w:rPr>
                <w:color w:val="000000"/>
                <w:szCs w:val="22"/>
                <w:lang w:val="bg-BG"/>
              </w:rPr>
              <w:t>понижено либидо</w:t>
            </w:r>
            <w:r w:rsidRPr="00FE6AC6">
              <w:rPr>
                <w:color w:val="000000"/>
                <w:szCs w:val="22"/>
              </w:rPr>
              <w:t xml:space="preserve">, </w:t>
            </w:r>
            <w:r w:rsidRPr="00FE6AC6">
              <w:rPr>
                <w:color w:val="000000"/>
                <w:szCs w:val="22"/>
                <w:lang w:val="bg-BG"/>
              </w:rPr>
              <w:t>тревожност</w:t>
            </w:r>
          </w:p>
        </w:tc>
      </w:tr>
      <w:tr w:rsidR="001B628D" w:rsidRPr="00FE6AC6" w14:paraId="3E550279" w14:textId="77777777" w:rsidTr="008143B1">
        <w:trPr>
          <w:cantSplit/>
        </w:trPr>
        <w:tc>
          <w:tcPr>
            <w:tcW w:w="2235" w:type="dxa"/>
          </w:tcPr>
          <w:p w14:paraId="3E550277" w14:textId="77777777" w:rsidR="001B628D" w:rsidRPr="00FE6AC6" w:rsidRDefault="001B628D" w:rsidP="0063575E">
            <w:pPr>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50278" w14:textId="77777777" w:rsidR="001B628D" w:rsidRPr="00FE6AC6" w:rsidRDefault="001B628D" w:rsidP="0063575E">
            <w:pPr>
              <w:widowControl w:val="0"/>
              <w:spacing w:line="240" w:lineRule="auto"/>
              <w:rPr>
                <w:color w:val="000000"/>
                <w:szCs w:val="22"/>
              </w:rPr>
            </w:pPr>
            <w:r w:rsidRPr="00FE6AC6">
              <w:rPr>
                <w:color w:val="000000"/>
                <w:szCs w:val="22"/>
                <w:lang w:val="bg-BG"/>
              </w:rPr>
              <w:t>Обърканост</w:t>
            </w:r>
          </w:p>
        </w:tc>
      </w:tr>
      <w:tr w:rsidR="001B628D" w:rsidRPr="00FE6AC6" w14:paraId="3E55027B" w14:textId="77777777" w:rsidTr="008143B1">
        <w:trPr>
          <w:cantSplit/>
        </w:trPr>
        <w:tc>
          <w:tcPr>
            <w:tcW w:w="9322" w:type="dxa"/>
            <w:gridSpan w:val="2"/>
          </w:tcPr>
          <w:p w14:paraId="3E55027A" w14:textId="77777777" w:rsidR="001B628D" w:rsidRPr="00FE6AC6" w:rsidRDefault="001B628D" w:rsidP="0063575E">
            <w:pPr>
              <w:keepNext/>
              <w:widowControl w:val="0"/>
              <w:spacing w:line="240" w:lineRule="auto"/>
              <w:rPr>
                <w:color w:val="000000"/>
              </w:rPr>
            </w:pPr>
            <w:r w:rsidRPr="00FE6AC6">
              <w:rPr>
                <w:b/>
                <w:color w:val="000000"/>
                <w:szCs w:val="22"/>
              </w:rPr>
              <w:t>Нарушения</w:t>
            </w:r>
            <w:r w:rsidRPr="00FE6AC6">
              <w:rPr>
                <w:b/>
                <w:color w:val="000000"/>
                <w:szCs w:val="22"/>
                <w:lang w:val="da-DK"/>
              </w:rPr>
              <w:t xml:space="preserve"> </w:t>
            </w:r>
            <w:r w:rsidRPr="00FE6AC6">
              <w:rPr>
                <w:b/>
                <w:color w:val="000000"/>
                <w:szCs w:val="22"/>
              </w:rPr>
              <w:t>на</w:t>
            </w:r>
            <w:r w:rsidRPr="00FE6AC6">
              <w:rPr>
                <w:b/>
                <w:color w:val="000000"/>
                <w:szCs w:val="22"/>
                <w:lang w:val="da-DK"/>
              </w:rPr>
              <w:t xml:space="preserve"> </w:t>
            </w:r>
            <w:r w:rsidRPr="00FE6AC6">
              <w:rPr>
                <w:b/>
                <w:color w:val="000000"/>
                <w:szCs w:val="22"/>
              </w:rPr>
              <w:t>нервната</w:t>
            </w:r>
            <w:r w:rsidRPr="00FE6AC6">
              <w:rPr>
                <w:b/>
                <w:color w:val="000000"/>
                <w:szCs w:val="22"/>
                <w:lang w:val="da-DK"/>
              </w:rPr>
              <w:t xml:space="preserve"> </w:t>
            </w:r>
            <w:r w:rsidRPr="00FE6AC6">
              <w:rPr>
                <w:b/>
                <w:color w:val="000000"/>
                <w:szCs w:val="22"/>
              </w:rPr>
              <w:t>система</w:t>
            </w:r>
          </w:p>
        </w:tc>
      </w:tr>
      <w:tr w:rsidR="001B628D" w:rsidRPr="00FE6AC6" w14:paraId="3E55027E" w14:textId="77777777" w:rsidTr="008143B1">
        <w:trPr>
          <w:cantSplit/>
        </w:trPr>
        <w:tc>
          <w:tcPr>
            <w:tcW w:w="2235" w:type="dxa"/>
          </w:tcPr>
          <w:p w14:paraId="3E55027C" w14:textId="77777777" w:rsidR="001B628D" w:rsidRPr="00FE6AC6" w:rsidRDefault="001B628D"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5027D" w14:textId="77777777" w:rsidR="001B628D" w:rsidRPr="00FE6AC6" w:rsidRDefault="001B628D" w:rsidP="0063575E">
            <w:pPr>
              <w:keepNext/>
              <w:widowControl w:val="0"/>
              <w:spacing w:line="240" w:lineRule="auto"/>
              <w:rPr>
                <w:color w:val="000000"/>
              </w:rPr>
            </w:pPr>
            <w:r w:rsidRPr="00FE6AC6">
              <w:rPr>
                <w:color w:val="000000"/>
                <w:szCs w:val="22"/>
                <w:lang w:val="bg-BG"/>
              </w:rPr>
              <w:t>Главоболие</w:t>
            </w:r>
            <w:r w:rsidRPr="00FE6AC6">
              <w:rPr>
                <w:color w:val="000000"/>
                <w:szCs w:val="22"/>
                <w:vertAlign w:val="superscript"/>
              </w:rPr>
              <w:t>2</w:t>
            </w:r>
          </w:p>
        </w:tc>
      </w:tr>
      <w:tr w:rsidR="001B628D" w:rsidRPr="00FE6AC6" w14:paraId="3E550281" w14:textId="77777777" w:rsidTr="008143B1">
        <w:trPr>
          <w:cantSplit/>
        </w:trPr>
        <w:tc>
          <w:tcPr>
            <w:tcW w:w="2235" w:type="dxa"/>
          </w:tcPr>
          <w:p w14:paraId="3E55027F" w14:textId="77777777" w:rsidR="001B628D" w:rsidRPr="00FE6AC6" w:rsidRDefault="001B628D"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50280" w14:textId="77777777" w:rsidR="001B628D" w:rsidRPr="00FE6AC6" w:rsidRDefault="001B628D" w:rsidP="0063575E">
            <w:pPr>
              <w:keepNext/>
              <w:widowControl w:val="0"/>
              <w:spacing w:line="240" w:lineRule="auto"/>
              <w:rPr>
                <w:color w:val="000000"/>
                <w:szCs w:val="22"/>
                <w:lang w:val="ru-RU"/>
              </w:rPr>
            </w:pPr>
            <w:r w:rsidRPr="00FE6AC6">
              <w:rPr>
                <w:color w:val="000000"/>
                <w:szCs w:val="22"/>
                <w:lang w:val="bg-BG"/>
              </w:rPr>
              <w:t>Замаяност</w:t>
            </w:r>
            <w:r w:rsidRPr="00FE6AC6">
              <w:rPr>
                <w:color w:val="000000"/>
                <w:szCs w:val="22"/>
                <w:lang w:val="ru-RU"/>
              </w:rPr>
              <w:t xml:space="preserve">, </w:t>
            </w:r>
            <w:r w:rsidRPr="00FE6AC6">
              <w:rPr>
                <w:color w:val="000000"/>
                <w:szCs w:val="22"/>
                <w:lang w:val="bg-BG"/>
              </w:rPr>
              <w:t>парестезия</w:t>
            </w:r>
            <w:r w:rsidRPr="00FE6AC6">
              <w:rPr>
                <w:color w:val="000000"/>
                <w:szCs w:val="22"/>
                <w:lang w:val="ru-RU"/>
              </w:rPr>
              <w:t xml:space="preserve">, </w:t>
            </w:r>
            <w:r w:rsidRPr="00FE6AC6">
              <w:rPr>
                <w:color w:val="000000"/>
                <w:szCs w:val="22"/>
                <w:lang w:val="bg-BG"/>
              </w:rPr>
              <w:t>нарушения във вкуса</w:t>
            </w:r>
            <w:r w:rsidRPr="00FE6AC6">
              <w:rPr>
                <w:color w:val="000000"/>
                <w:szCs w:val="22"/>
                <w:lang w:val="ru-RU"/>
              </w:rPr>
              <w:t xml:space="preserve">, </w:t>
            </w:r>
            <w:r w:rsidRPr="00FE6AC6">
              <w:rPr>
                <w:color w:val="000000"/>
                <w:szCs w:val="22"/>
                <w:lang w:val="bg-BG"/>
              </w:rPr>
              <w:t>хипоестезия</w:t>
            </w:r>
          </w:p>
        </w:tc>
      </w:tr>
      <w:tr w:rsidR="001B628D" w:rsidRPr="00FE6AC6" w14:paraId="3E550284" w14:textId="77777777" w:rsidTr="008143B1">
        <w:trPr>
          <w:cantSplit/>
        </w:trPr>
        <w:tc>
          <w:tcPr>
            <w:tcW w:w="2235" w:type="dxa"/>
          </w:tcPr>
          <w:p w14:paraId="3E550282"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283"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Мигрена</w:t>
            </w:r>
            <w:r w:rsidRPr="00FE6AC6">
              <w:rPr>
                <w:color w:val="000000"/>
                <w:szCs w:val="22"/>
                <w:lang w:val="ru-RU"/>
              </w:rPr>
              <w:t xml:space="preserve">, </w:t>
            </w:r>
            <w:r w:rsidRPr="00FE6AC6">
              <w:rPr>
                <w:color w:val="000000"/>
                <w:szCs w:val="22"/>
                <w:lang w:val="bg-BG"/>
              </w:rPr>
              <w:t>сомнолентност</w:t>
            </w:r>
            <w:r w:rsidRPr="00FE6AC6">
              <w:rPr>
                <w:color w:val="000000"/>
                <w:szCs w:val="22"/>
                <w:lang w:val="ru-RU"/>
              </w:rPr>
              <w:t xml:space="preserve">, </w:t>
            </w:r>
            <w:r w:rsidRPr="00FE6AC6">
              <w:rPr>
                <w:color w:val="000000"/>
                <w:szCs w:val="22"/>
                <w:lang w:val="bg-BG"/>
              </w:rPr>
              <w:t>синкоп</w:t>
            </w:r>
            <w:r w:rsidRPr="00FE6AC6">
              <w:rPr>
                <w:color w:val="000000"/>
                <w:szCs w:val="22"/>
                <w:lang w:val="ru-RU"/>
              </w:rPr>
              <w:t xml:space="preserve">, </w:t>
            </w:r>
            <w:r w:rsidRPr="00FE6AC6">
              <w:rPr>
                <w:color w:val="000000"/>
                <w:szCs w:val="22"/>
                <w:lang w:val="bg-BG"/>
              </w:rPr>
              <w:t>периферна невропатия</w:t>
            </w:r>
            <w:r w:rsidRPr="00FE6AC6">
              <w:rPr>
                <w:color w:val="000000"/>
                <w:szCs w:val="22"/>
                <w:lang w:val="ru-RU"/>
              </w:rPr>
              <w:t xml:space="preserve">, </w:t>
            </w:r>
            <w:r w:rsidRPr="00FE6AC6">
              <w:rPr>
                <w:color w:val="000000"/>
                <w:szCs w:val="22"/>
                <w:lang w:val="bg-BG"/>
              </w:rPr>
              <w:t>нарушения на паметта</w:t>
            </w:r>
            <w:r w:rsidRPr="00FE6AC6">
              <w:rPr>
                <w:color w:val="000000"/>
                <w:szCs w:val="22"/>
                <w:lang w:val="ru-RU"/>
              </w:rPr>
              <w:t xml:space="preserve">, </w:t>
            </w:r>
            <w:r w:rsidRPr="00FE6AC6">
              <w:rPr>
                <w:color w:val="000000"/>
                <w:szCs w:val="22"/>
                <w:lang w:val="bg-BG"/>
              </w:rPr>
              <w:t>ишиас</w:t>
            </w:r>
            <w:r w:rsidRPr="00FE6AC6">
              <w:rPr>
                <w:color w:val="000000"/>
                <w:szCs w:val="22"/>
                <w:lang w:val="ru-RU"/>
              </w:rPr>
              <w:t xml:space="preserve">, </w:t>
            </w:r>
            <w:r w:rsidRPr="00FE6AC6">
              <w:rPr>
                <w:color w:val="000000"/>
                <w:szCs w:val="22"/>
                <w:lang w:val="bg-BG"/>
              </w:rPr>
              <w:t xml:space="preserve">синдром на неспокойните </w:t>
            </w:r>
            <w:r w:rsidRPr="00FE6AC6">
              <w:rPr>
                <w:szCs w:val="22"/>
                <w:lang w:val="bg-BG"/>
              </w:rPr>
              <w:t>крака</w:t>
            </w:r>
            <w:r w:rsidRPr="00FE6AC6">
              <w:rPr>
                <w:color w:val="000000"/>
                <w:szCs w:val="22"/>
                <w:lang w:val="ru-RU"/>
              </w:rPr>
              <w:t xml:space="preserve">, </w:t>
            </w:r>
            <w:r w:rsidRPr="00FE6AC6">
              <w:rPr>
                <w:color w:val="000000"/>
                <w:szCs w:val="22"/>
                <w:lang w:val="bg-BG"/>
              </w:rPr>
              <w:t>тремор</w:t>
            </w:r>
            <w:r w:rsidRPr="00FE6AC6">
              <w:rPr>
                <w:color w:val="000000"/>
                <w:szCs w:val="22"/>
                <w:lang w:val="ru-RU"/>
              </w:rPr>
              <w:t xml:space="preserve">, </w:t>
            </w:r>
            <w:r w:rsidRPr="00FE6AC6">
              <w:rPr>
                <w:color w:val="000000"/>
                <w:szCs w:val="22"/>
                <w:lang w:val="bg-BG"/>
              </w:rPr>
              <w:t>мозъчен кръвоизлив</w:t>
            </w:r>
          </w:p>
        </w:tc>
      </w:tr>
      <w:tr w:rsidR="001B628D" w:rsidRPr="00FE6AC6" w14:paraId="3E550287" w14:textId="77777777" w:rsidTr="008143B1">
        <w:trPr>
          <w:cantSplit/>
        </w:trPr>
        <w:tc>
          <w:tcPr>
            <w:tcW w:w="2235" w:type="dxa"/>
          </w:tcPr>
          <w:p w14:paraId="3E550285" w14:textId="77777777" w:rsidR="001B628D" w:rsidRPr="00FE6AC6" w:rsidRDefault="001B628D"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50286" w14:textId="77777777" w:rsidR="001B628D" w:rsidRPr="00FE6AC6" w:rsidRDefault="001B628D" w:rsidP="0063575E">
            <w:pPr>
              <w:keepNext/>
              <w:widowControl w:val="0"/>
              <w:spacing w:line="240" w:lineRule="auto"/>
              <w:rPr>
                <w:color w:val="000000"/>
                <w:szCs w:val="22"/>
                <w:lang w:val="ru-RU"/>
              </w:rPr>
            </w:pPr>
            <w:r w:rsidRPr="00FE6AC6">
              <w:rPr>
                <w:color w:val="000000"/>
                <w:szCs w:val="22"/>
                <w:lang w:val="bg-BG"/>
              </w:rPr>
              <w:t>Повишено вътречерепно налягане</w:t>
            </w:r>
            <w:r w:rsidRPr="00FE6AC6">
              <w:rPr>
                <w:color w:val="000000"/>
                <w:szCs w:val="22"/>
                <w:lang w:val="ru-RU"/>
              </w:rPr>
              <w:t xml:space="preserve">, </w:t>
            </w:r>
            <w:r w:rsidRPr="00FE6AC6">
              <w:rPr>
                <w:color w:val="000000"/>
                <w:szCs w:val="22"/>
                <w:lang w:val="bg-BG"/>
              </w:rPr>
              <w:t>гърчове</w:t>
            </w:r>
            <w:r w:rsidRPr="00FE6AC6">
              <w:rPr>
                <w:color w:val="000000"/>
                <w:szCs w:val="22"/>
                <w:lang w:val="ru-RU"/>
              </w:rPr>
              <w:t xml:space="preserve">, </w:t>
            </w:r>
            <w:r w:rsidRPr="00FE6AC6">
              <w:rPr>
                <w:color w:val="000000"/>
                <w:szCs w:val="22"/>
                <w:lang w:val="bg-BG"/>
              </w:rPr>
              <w:t xml:space="preserve">неврит на n. </w:t>
            </w:r>
            <w:r w:rsidRPr="00FE6AC6">
              <w:rPr>
                <w:color w:val="000000"/>
                <w:szCs w:val="22"/>
                <w:lang w:val="en-US"/>
              </w:rPr>
              <w:t>opticus</w:t>
            </w:r>
          </w:p>
        </w:tc>
      </w:tr>
      <w:tr w:rsidR="00FA33D8" w:rsidRPr="00FE6AC6" w14:paraId="3E55028A" w14:textId="77777777" w:rsidTr="008143B1">
        <w:trPr>
          <w:cantSplit/>
        </w:trPr>
        <w:tc>
          <w:tcPr>
            <w:tcW w:w="2235" w:type="dxa"/>
          </w:tcPr>
          <w:p w14:paraId="3E550288" w14:textId="77777777" w:rsidR="00FA33D8" w:rsidRPr="00FE6AC6" w:rsidRDefault="00FA33D8"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89" w14:textId="77777777" w:rsidR="00FA33D8" w:rsidRPr="00FE6AC6" w:rsidRDefault="00FA33D8" w:rsidP="0063575E">
            <w:pPr>
              <w:widowControl w:val="0"/>
              <w:spacing w:line="240" w:lineRule="auto"/>
              <w:rPr>
                <w:color w:val="000000"/>
                <w:szCs w:val="22"/>
                <w:lang w:val="bg-BG"/>
              </w:rPr>
            </w:pPr>
            <w:r w:rsidRPr="00FE6AC6">
              <w:rPr>
                <w:color w:val="000000"/>
                <w:szCs w:val="22"/>
                <w:lang w:val="bg-BG"/>
              </w:rPr>
              <w:t>Церебрален оток*</w:t>
            </w:r>
          </w:p>
        </w:tc>
      </w:tr>
      <w:tr w:rsidR="001B628D" w:rsidRPr="00FE6AC6" w14:paraId="3E55028C" w14:textId="77777777" w:rsidTr="008143B1">
        <w:trPr>
          <w:cantSplit/>
        </w:trPr>
        <w:tc>
          <w:tcPr>
            <w:tcW w:w="9322" w:type="dxa"/>
            <w:gridSpan w:val="2"/>
          </w:tcPr>
          <w:p w14:paraId="3E55028B" w14:textId="77777777" w:rsidR="001B628D" w:rsidRPr="00FE6AC6" w:rsidRDefault="001B628D" w:rsidP="0063575E">
            <w:pPr>
              <w:keepNext/>
              <w:widowControl w:val="0"/>
              <w:spacing w:line="240" w:lineRule="auto"/>
              <w:rPr>
                <w:color w:val="000000"/>
                <w:lang w:val="de-CH"/>
              </w:rPr>
            </w:pPr>
            <w:r w:rsidRPr="00FE6AC6">
              <w:rPr>
                <w:b/>
                <w:color w:val="000000"/>
                <w:szCs w:val="22"/>
              </w:rPr>
              <w:t>Нарушения</w:t>
            </w:r>
            <w:r w:rsidRPr="00FE6AC6">
              <w:rPr>
                <w:b/>
                <w:color w:val="000000"/>
                <w:szCs w:val="22"/>
                <w:lang w:val="da-DK"/>
              </w:rPr>
              <w:t xml:space="preserve"> </w:t>
            </w:r>
            <w:r w:rsidRPr="00FE6AC6">
              <w:rPr>
                <w:b/>
                <w:color w:val="000000"/>
                <w:szCs w:val="22"/>
              </w:rPr>
              <w:t>на</w:t>
            </w:r>
            <w:r w:rsidRPr="00FE6AC6">
              <w:rPr>
                <w:b/>
                <w:color w:val="000000"/>
                <w:szCs w:val="22"/>
                <w:lang w:val="da-DK"/>
              </w:rPr>
              <w:t xml:space="preserve"> </w:t>
            </w:r>
            <w:r w:rsidRPr="00FE6AC6">
              <w:rPr>
                <w:b/>
                <w:color w:val="000000"/>
                <w:szCs w:val="22"/>
              </w:rPr>
              <w:t>о</w:t>
            </w:r>
            <w:r w:rsidRPr="00FE6AC6">
              <w:rPr>
                <w:b/>
                <w:color w:val="000000"/>
                <w:szCs w:val="22"/>
                <w:lang w:val="bg-BG"/>
              </w:rPr>
              <w:t>чите</w:t>
            </w:r>
          </w:p>
        </w:tc>
      </w:tr>
      <w:tr w:rsidR="001B628D" w:rsidRPr="00FE6AC6" w14:paraId="3E55028F" w14:textId="77777777" w:rsidTr="008143B1">
        <w:trPr>
          <w:cantSplit/>
        </w:trPr>
        <w:tc>
          <w:tcPr>
            <w:tcW w:w="2235" w:type="dxa"/>
          </w:tcPr>
          <w:p w14:paraId="3E55028D" w14:textId="77777777" w:rsidR="001B628D" w:rsidRPr="00FE6AC6" w:rsidRDefault="001B628D" w:rsidP="0063575E">
            <w:pPr>
              <w:keepNext/>
              <w:widowControl w:val="0"/>
              <w:spacing w:line="240" w:lineRule="auto"/>
              <w:rPr>
                <w:color w:val="000000"/>
              </w:rPr>
            </w:pPr>
            <w:r w:rsidRPr="00FE6AC6">
              <w:rPr>
                <w:i/>
                <w:color w:val="000000"/>
                <w:szCs w:val="22"/>
              </w:rPr>
              <w:t>Чести:</w:t>
            </w:r>
          </w:p>
        </w:tc>
        <w:tc>
          <w:tcPr>
            <w:tcW w:w="7087" w:type="dxa"/>
          </w:tcPr>
          <w:p w14:paraId="3E55028E"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Оток на клепачите</w:t>
            </w:r>
            <w:r w:rsidRPr="00FE6AC6">
              <w:rPr>
                <w:color w:val="000000"/>
                <w:szCs w:val="22"/>
                <w:lang w:val="ru-RU"/>
              </w:rPr>
              <w:t xml:space="preserve">, повишено сълзене, </w:t>
            </w:r>
            <w:r w:rsidRPr="00FE6AC6">
              <w:rPr>
                <w:color w:val="000000"/>
                <w:szCs w:val="22"/>
                <w:lang w:val="bg-BG"/>
              </w:rPr>
              <w:t>конюнктивални кръвоизливи</w:t>
            </w:r>
            <w:r w:rsidRPr="00FE6AC6">
              <w:rPr>
                <w:color w:val="000000"/>
                <w:szCs w:val="22"/>
                <w:lang w:val="ru-RU"/>
              </w:rPr>
              <w:t xml:space="preserve">, </w:t>
            </w:r>
            <w:r w:rsidRPr="00FE6AC6">
              <w:rPr>
                <w:color w:val="000000"/>
                <w:szCs w:val="22"/>
                <w:lang w:val="bg-BG"/>
              </w:rPr>
              <w:t>конюнктивит</w:t>
            </w:r>
            <w:r w:rsidRPr="00FE6AC6">
              <w:rPr>
                <w:color w:val="000000"/>
                <w:szCs w:val="22"/>
                <w:lang w:val="ru-RU"/>
              </w:rPr>
              <w:t xml:space="preserve">, </w:t>
            </w:r>
            <w:r w:rsidRPr="00FE6AC6">
              <w:rPr>
                <w:color w:val="000000"/>
                <w:szCs w:val="22"/>
                <w:lang w:val="bg-BG"/>
              </w:rPr>
              <w:t>сухота на очите,</w:t>
            </w:r>
            <w:r w:rsidRPr="00FE6AC6">
              <w:rPr>
                <w:color w:val="000000"/>
                <w:szCs w:val="22"/>
                <w:lang w:val="ru-RU"/>
              </w:rPr>
              <w:t xml:space="preserve"> замъглено виждане</w:t>
            </w:r>
          </w:p>
        </w:tc>
      </w:tr>
      <w:tr w:rsidR="001B628D" w:rsidRPr="00FE6AC6" w14:paraId="3E550292" w14:textId="77777777" w:rsidTr="008143B1">
        <w:trPr>
          <w:cantSplit/>
        </w:trPr>
        <w:tc>
          <w:tcPr>
            <w:tcW w:w="2235" w:type="dxa"/>
          </w:tcPr>
          <w:p w14:paraId="3E550290"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291"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Очно дразнене</w:t>
            </w:r>
            <w:r w:rsidRPr="00FE6AC6">
              <w:rPr>
                <w:color w:val="000000"/>
                <w:szCs w:val="22"/>
                <w:lang w:val="ru-RU"/>
              </w:rPr>
              <w:t xml:space="preserve">, </w:t>
            </w:r>
            <w:r w:rsidRPr="00FE6AC6">
              <w:rPr>
                <w:color w:val="000000"/>
                <w:szCs w:val="22"/>
                <w:lang w:val="bg-BG"/>
              </w:rPr>
              <w:t>болка в очите</w:t>
            </w:r>
            <w:r w:rsidRPr="00FE6AC6">
              <w:rPr>
                <w:color w:val="000000"/>
                <w:szCs w:val="22"/>
                <w:lang w:val="ru-RU"/>
              </w:rPr>
              <w:t xml:space="preserve">, </w:t>
            </w:r>
            <w:r w:rsidRPr="00FE6AC6">
              <w:rPr>
                <w:color w:val="000000"/>
                <w:szCs w:val="22"/>
                <w:lang w:val="bg-BG"/>
              </w:rPr>
              <w:t>орбитален оток</w:t>
            </w:r>
            <w:r w:rsidRPr="00FE6AC6">
              <w:rPr>
                <w:color w:val="000000"/>
                <w:szCs w:val="22"/>
                <w:lang w:val="ru-RU"/>
              </w:rPr>
              <w:t xml:space="preserve">, </w:t>
            </w:r>
            <w:r w:rsidRPr="00FE6AC6">
              <w:rPr>
                <w:color w:val="000000"/>
                <w:szCs w:val="22"/>
                <w:lang w:val="bg-BG"/>
              </w:rPr>
              <w:t>кръвоизлив на склерата</w:t>
            </w:r>
            <w:r w:rsidRPr="00FE6AC6">
              <w:rPr>
                <w:color w:val="000000"/>
                <w:szCs w:val="22"/>
                <w:lang w:val="ru-RU"/>
              </w:rPr>
              <w:t xml:space="preserve">, </w:t>
            </w:r>
            <w:r w:rsidRPr="00FE6AC6">
              <w:rPr>
                <w:color w:val="000000"/>
                <w:szCs w:val="22"/>
                <w:lang w:val="bg-BG"/>
              </w:rPr>
              <w:t>кръвоизлив на ретината</w:t>
            </w:r>
            <w:r w:rsidRPr="00FE6AC6">
              <w:rPr>
                <w:color w:val="000000"/>
                <w:szCs w:val="22"/>
                <w:lang w:val="ru-RU"/>
              </w:rPr>
              <w:t xml:space="preserve">, </w:t>
            </w:r>
            <w:r w:rsidRPr="00FE6AC6">
              <w:rPr>
                <w:color w:val="000000"/>
                <w:szCs w:val="22"/>
                <w:lang w:val="bg-BG"/>
              </w:rPr>
              <w:t>блефарит</w:t>
            </w:r>
            <w:r w:rsidRPr="00FE6AC6">
              <w:rPr>
                <w:color w:val="000000"/>
                <w:szCs w:val="22"/>
                <w:lang w:val="ru-RU"/>
              </w:rPr>
              <w:t xml:space="preserve">, </w:t>
            </w:r>
            <w:r w:rsidRPr="00FE6AC6">
              <w:rPr>
                <w:color w:val="000000"/>
                <w:szCs w:val="22"/>
                <w:lang w:val="bg-BG"/>
              </w:rPr>
              <w:t>оток на макулата</w:t>
            </w:r>
          </w:p>
        </w:tc>
      </w:tr>
      <w:tr w:rsidR="001B628D" w:rsidRPr="00FE6AC6" w14:paraId="3E550295" w14:textId="77777777" w:rsidTr="008143B1">
        <w:trPr>
          <w:cantSplit/>
        </w:trPr>
        <w:tc>
          <w:tcPr>
            <w:tcW w:w="2235" w:type="dxa"/>
          </w:tcPr>
          <w:p w14:paraId="3E550293" w14:textId="77777777" w:rsidR="001B628D" w:rsidRPr="00FE6AC6" w:rsidRDefault="001B628D"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50294"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Катаракта</w:t>
            </w:r>
            <w:r w:rsidRPr="00FE6AC6">
              <w:rPr>
                <w:color w:val="000000"/>
                <w:szCs w:val="22"/>
                <w:lang w:val="ru-RU"/>
              </w:rPr>
              <w:t xml:space="preserve">, </w:t>
            </w:r>
            <w:r w:rsidRPr="00FE6AC6">
              <w:rPr>
                <w:color w:val="000000"/>
                <w:szCs w:val="22"/>
                <w:lang w:val="bg-BG"/>
              </w:rPr>
              <w:t>глаукома</w:t>
            </w:r>
            <w:r w:rsidRPr="00FE6AC6">
              <w:rPr>
                <w:color w:val="000000"/>
                <w:szCs w:val="22"/>
                <w:lang w:val="ru-RU"/>
              </w:rPr>
              <w:t xml:space="preserve">, </w:t>
            </w:r>
            <w:r w:rsidRPr="00FE6AC6">
              <w:rPr>
                <w:color w:val="000000"/>
                <w:szCs w:val="22"/>
                <w:lang w:val="bg-BG"/>
              </w:rPr>
              <w:t>оток на папилата</w:t>
            </w:r>
          </w:p>
        </w:tc>
      </w:tr>
      <w:tr w:rsidR="00FA33D8" w:rsidRPr="00FE6AC6" w14:paraId="3E550298" w14:textId="77777777" w:rsidTr="008143B1">
        <w:trPr>
          <w:cantSplit/>
        </w:trPr>
        <w:tc>
          <w:tcPr>
            <w:tcW w:w="2235" w:type="dxa"/>
          </w:tcPr>
          <w:p w14:paraId="3E550296" w14:textId="77777777" w:rsidR="00FA33D8" w:rsidRPr="00FE6AC6" w:rsidRDefault="00FA33D8"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97" w14:textId="77777777" w:rsidR="00FA33D8" w:rsidRPr="00FE6AC6" w:rsidRDefault="00FA33D8" w:rsidP="0063575E">
            <w:pPr>
              <w:widowControl w:val="0"/>
              <w:spacing w:line="240" w:lineRule="auto"/>
              <w:rPr>
                <w:color w:val="000000"/>
                <w:szCs w:val="22"/>
                <w:lang w:val="bg-BG"/>
              </w:rPr>
            </w:pPr>
            <w:r w:rsidRPr="00FE6AC6">
              <w:rPr>
                <w:color w:val="000000"/>
                <w:szCs w:val="22"/>
                <w:lang w:val="bg-BG"/>
              </w:rPr>
              <w:t>Витреална хеморагия</w:t>
            </w:r>
            <w:r w:rsidRPr="00FE6AC6">
              <w:rPr>
                <w:color w:val="000000"/>
                <w:szCs w:val="22"/>
              </w:rPr>
              <w:t>*</w:t>
            </w:r>
          </w:p>
        </w:tc>
      </w:tr>
      <w:tr w:rsidR="001B628D" w:rsidRPr="00FE6AC6" w14:paraId="3E55029A" w14:textId="77777777" w:rsidTr="008143B1">
        <w:trPr>
          <w:cantSplit/>
        </w:trPr>
        <w:tc>
          <w:tcPr>
            <w:tcW w:w="9322" w:type="dxa"/>
            <w:gridSpan w:val="2"/>
          </w:tcPr>
          <w:p w14:paraId="3E550299" w14:textId="77777777" w:rsidR="001B628D" w:rsidRPr="00FE6AC6" w:rsidRDefault="001B628D" w:rsidP="0063575E">
            <w:pPr>
              <w:keepNext/>
              <w:widowControl w:val="0"/>
              <w:spacing w:line="240" w:lineRule="auto"/>
              <w:rPr>
                <w:color w:val="000000"/>
                <w:lang w:val="ru-RU"/>
              </w:rPr>
            </w:pPr>
            <w:r w:rsidRPr="00FE6AC6">
              <w:rPr>
                <w:b/>
                <w:color w:val="000000"/>
                <w:szCs w:val="22"/>
                <w:lang w:val="ru-RU"/>
              </w:rPr>
              <w:t xml:space="preserve">Нарушения на ухото и </w:t>
            </w:r>
            <w:r w:rsidRPr="00FE6AC6">
              <w:rPr>
                <w:b/>
                <w:color w:val="000000"/>
                <w:szCs w:val="22"/>
                <w:lang w:val="bg-BG"/>
              </w:rPr>
              <w:t>лабиринта</w:t>
            </w:r>
          </w:p>
        </w:tc>
      </w:tr>
      <w:tr w:rsidR="001B628D" w:rsidRPr="00FE6AC6" w14:paraId="3E55029D" w14:textId="77777777" w:rsidTr="008143B1">
        <w:trPr>
          <w:cantSplit/>
        </w:trPr>
        <w:tc>
          <w:tcPr>
            <w:tcW w:w="2235" w:type="dxa"/>
          </w:tcPr>
          <w:p w14:paraId="3E55029B" w14:textId="77777777" w:rsidR="001B628D" w:rsidRPr="00FE6AC6" w:rsidRDefault="001B628D" w:rsidP="0063575E">
            <w:pPr>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29C" w14:textId="77777777" w:rsidR="001B628D" w:rsidRPr="00FE6AC6" w:rsidRDefault="001B628D" w:rsidP="0063575E">
            <w:pPr>
              <w:widowControl w:val="0"/>
              <w:spacing w:line="240" w:lineRule="auto"/>
              <w:rPr>
                <w:color w:val="000000"/>
                <w:lang w:val="ru-RU"/>
              </w:rPr>
            </w:pPr>
            <w:r w:rsidRPr="00FE6AC6">
              <w:rPr>
                <w:color w:val="000000"/>
                <w:szCs w:val="22"/>
                <w:lang w:val="bg-BG"/>
              </w:rPr>
              <w:t>Световъртеж</w:t>
            </w:r>
            <w:r w:rsidRPr="00FE6AC6">
              <w:rPr>
                <w:color w:val="000000"/>
                <w:szCs w:val="22"/>
                <w:lang w:val="ru-RU"/>
              </w:rPr>
              <w:t xml:space="preserve">, </w:t>
            </w:r>
            <w:r w:rsidRPr="00FE6AC6">
              <w:rPr>
                <w:color w:val="000000"/>
                <w:szCs w:val="22"/>
                <w:lang w:val="bg-BG"/>
              </w:rPr>
              <w:t>тинитус</w:t>
            </w:r>
            <w:r w:rsidRPr="00FE6AC6">
              <w:rPr>
                <w:color w:val="000000"/>
                <w:szCs w:val="22"/>
                <w:lang w:val="ru-RU"/>
              </w:rPr>
              <w:t xml:space="preserve">, </w:t>
            </w:r>
            <w:r w:rsidRPr="00FE6AC6">
              <w:rPr>
                <w:color w:val="000000"/>
                <w:szCs w:val="22"/>
                <w:lang w:val="bg-BG"/>
              </w:rPr>
              <w:t>загуба на слуха</w:t>
            </w:r>
          </w:p>
        </w:tc>
      </w:tr>
      <w:tr w:rsidR="001B628D" w:rsidRPr="00FE6AC6" w14:paraId="3E55029F" w14:textId="77777777" w:rsidTr="008143B1">
        <w:trPr>
          <w:cantSplit/>
        </w:trPr>
        <w:tc>
          <w:tcPr>
            <w:tcW w:w="9322" w:type="dxa"/>
            <w:gridSpan w:val="2"/>
          </w:tcPr>
          <w:p w14:paraId="3E55029E" w14:textId="77777777" w:rsidR="001B628D" w:rsidRPr="00FE6AC6" w:rsidRDefault="001B628D" w:rsidP="0063575E">
            <w:pPr>
              <w:keepNext/>
              <w:widowControl w:val="0"/>
              <w:spacing w:line="240" w:lineRule="auto"/>
              <w:rPr>
                <w:color w:val="000000"/>
              </w:rPr>
            </w:pPr>
            <w:r w:rsidRPr="00FE6AC6">
              <w:rPr>
                <w:b/>
                <w:color w:val="000000"/>
                <w:szCs w:val="22"/>
              </w:rPr>
              <w:t>Сърдечни нарушения</w:t>
            </w:r>
          </w:p>
        </w:tc>
      </w:tr>
      <w:tr w:rsidR="001B628D" w:rsidRPr="00FE6AC6" w14:paraId="3E5502A2" w14:textId="77777777" w:rsidTr="008143B1">
        <w:trPr>
          <w:cantSplit/>
        </w:trPr>
        <w:tc>
          <w:tcPr>
            <w:tcW w:w="2235" w:type="dxa"/>
          </w:tcPr>
          <w:p w14:paraId="3E5502A0"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2A1"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Сърцебиене</w:t>
            </w:r>
            <w:r w:rsidRPr="00FE6AC6">
              <w:rPr>
                <w:color w:val="000000"/>
                <w:szCs w:val="22"/>
                <w:lang w:val="ru-RU"/>
              </w:rPr>
              <w:t xml:space="preserve">, </w:t>
            </w:r>
            <w:r w:rsidRPr="00FE6AC6">
              <w:rPr>
                <w:color w:val="000000"/>
                <w:szCs w:val="22"/>
                <w:lang w:val="bg-BG"/>
              </w:rPr>
              <w:t>тахикардия</w:t>
            </w:r>
            <w:r w:rsidRPr="00FE6AC6">
              <w:rPr>
                <w:color w:val="000000"/>
                <w:szCs w:val="22"/>
                <w:lang w:val="ru-RU"/>
              </w:rPr>
              <w:t xml:space="preserve">, </w:t>
            </w:r>
            <w:r w:rsidRPr="00FE6AC6">
              <w:rPr>
                <w:color w:val="000000"/>
                <w:szCs w:val="22"/>
                <w:lang w:val="bg-BG"/>
              </w:rPr>
              <w:t>застойна сърдечна недостатъчност</w:t>
            </w:r>
            <w:r w:rsidRPr="00FE6AC6">
              <w:rPr>
                <w:color w:val="000000"/>
                <w:szCs w:val="22"/>
                <w:vertAlign w:val="superscript"/>
                <w:lang w:val="ru-RU"/>
              </w:rPr>
              <w:t>3</w:t>
            </w:r>
            <w:r w:rsidRPr="00FE6AC6">
              <w:rPr>
                <w:color w:val="000000"/>
                <w:szCs w:val="22"/>
                <w:lang w:val="ru-RU"/>
              </w:rPr>
              <w:t xml:space="preserve">, </w:t>
            </w:r>
            <w:r w:rsidRPr="00FE6AC6">
              <w:rPr>
                <w:color w:val="000000"/>
                <w:szCs w:val="22"/>
                <w:lang w:val="bg-BG"/>
              </w:rPr>
              <w:t>белодробен оток</w:t>
            </w:r>
          </w:p>
        </w:tc>
      </w:tr>
      <w:tr w:rsidR="001B628D" w:rsidRPr="00FE6AC6" w14:paraId="3E5502A5" w14:textId="77777777" w:rsidTr="008143B1">
        <w:trPr>
          <w:cantSplit/>
        </w:trPr>
        <w:tc>
          <w:tcPr>
            <w:tcW w:w="2235" w:type="dxa"/>
          </w:tcPr>
          <w:p w14:paraId="3E5502A3" w14:textId="77777777" w:rsidR="001B628D" w:rsidRPr="00FE6AC6" w:rsidRDefault="001B628D"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502A4"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Аритмия</w:t>
            </w:r>
            <w:r w:rsidRPr="00FE6AC6">
              <w:rPr>
                <w:color w:val="000000"/>
                <w:szCs w:val="22"/>
                <w:lang w:val="ru-RU"/>
              </w:rPr>
              <w:t xml:space="preserve">, </w:t>
            </w:r>
            <w:r w:rsidRPr="00FE6AC6">
              <w:rPr>
                <w:color w:val="000000"/>
                <w:szCs w:val="22"/>
                <w:lang w:val="bg-BG"/>
              </w:rPr>
              <w:t>предсърдно мъждене,</w:t>
            </w:r>
            <w:r w:rsidRPr="00FE6AC6">
              <w:rPr>
                <w:color w:val="000000"/>
                <w:szCs w:val="22"/>
                <w:lang w:val="ru-RU"/>
              </w:rPr>
              <w:t xml:space="preserve"> </w:t>
            </w:r>
            <w:r w:rsidRPr="00FE6AC6">
              <w:rPr>
                <w:color w:val="000000"/>
                <w:szCs w:val="22"/>
                <w:lang w:val="bg-BG"/>
              </w:rPr>
              <w:t>сърдечен арест</w:t>
            </w:r>
            <w:r w:rsidRPr="00FE6AC6">
              <w:rPr>
                <w:color w:val="000000"/>
                <w:szCs w:val="22"/>
                <w:lang w:val="ru-RU"/>
              </w:rPr>
              <w:t xml:space="preserve">, </w:t>
            </w:r>
            <w:r w:rsidRPr="00FE6AC6">
              <w:rPr>
                <w:color w:val="000000"/>
                <w:szCs w:val="22"/>
                <w:lang w:val="bg-BG"/>
              </w:rPr>
              <w:t>инфаркт на миокарда,</w:t>
            </w:r>
            <w:r w:rsidRPr="00FE6AC6">
              <w:rPr>
                <w:color w:val="000000"/>
                <w:szCs w:val="22"/>
                <w:lang w:val="ru-RU"/>
              </w:rPr>
              <w:t xml:space="preserve"> </w:t>
            </w:r>
            <w:r w:rsidRPr="00FE6AC6">
              <w:rPr>
                <w:color w:val="000000"/>
                <w:szCs w:val="22"/>
                <w:lang w:val="bg-BG"/>
              </w:rPr>
              <w:t>ангина пекторис</w:t>
            </w:r>
            <w:r w:rsidRPr="00FE6AC6">
              <w:rPr>
                <w:color w:val="000000"/>
                <w:szCs w:val="22"/>
                <w:lang w:val="ru-RU"/>
              </w:rPr>
              <w:t xml:space="preserve">, </w:t>
            </w:r>
            <w:r w:rsidRPr="00FE6AC6">
              <w:rPr>
                <w:color w:val="000000"/>
                <w:szCs w:val="22"/>
                <w:lang w:val="bg-BG"/>
              </w:rPr>
              <w:t>перикарден излив</w:t>
            </w:r>
          </w:p>
        </w:tc>
      </w:tr>
      <w:tr w:rsidR="00FA33D8" w:rsidRPr="00FE6AC6" w14:paraId="3E5502A8" w14:textId="77777777" w:rsidTr="008143B1">
        <w:trPr>
          <w:cantSplit/>
        </w:trPr>
        <w:tc>
          <w:tcPr>
            <w:tcW w:w="2235" w:type="dxa"/>
          </w:tcPr>
          <w:p w14:paraId="3E5502A6" w14:textId="77777777" w:rsidR="00FA33D8" w:rsidRPr="00FE6AC6" w:rsidRDefault="00FA33D8"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A7" w14:textId="77777777" w:rsidR="00FA33D8" w:rsidRPr="00FE6AC6" w:rsidRDefault="00FA33D8" w:rsidP="0063575E">
            <w:pPr>
              <w:widowControl w:val="0"/>
              <w:spacing w:line="240" w:lineRule="auto"/>
              <w:rPr>
                <w:color w:val="000000"/>
                <w:szCs w:val="22"/>
                <w:lang w:val="bg-BG"/>
              </w:rPr>
            </w:pPr>
            <w:r w:rsidRPr="00FE6AC6">
              <w:rPr>
                <w:color w:val="000000"/>
                <w:szCs w:val="22"/>
                <w:lang w:val="bg-BG"/>
              </w:rPr>
              <w:t>Перикардит</w:t>
            </w:r>
            <w:r w:rsidRPr="00FE6AC6">
              <w:rPr>
                <w:color w:val="000000"/>
                <w:szCs w:val="22"/>
              </w:rPr>
              <w:t>*,</w:t>
            </w:r>
            <w:r w:rsidRPr="00FE6AC6">
              <w:rPr>
                <w:color w:val="000000"/>
                <w:szCs w:val="22"/>
                <w:lang w:val="bg-BG"/>
              </w:rPr>
              <w:t xml:space="preserve"> сърдечна тампонада</w:t>
            </w:r>
            <w:r w:rsidRPr="00FE6AC6">
              <w:rPr>
                <w:color w:val="000000"/>
                <w:szCs w:val="22"/>
              </w:rPr>
              <w:t>*</w:t>
            </w:r>
          </w:p>
        </w:tc>
      </w:tr>
      <w:tr w:rsidR="001B628D" w:rsidRPr="00FE6AC6" w14:paraId="3E5502AA" w14:textId="77777777" w:rsidTr="008143B1">
        <w:trPr>
          <w:cantSplit/>
        </w:trPr>
        <w:tc>
          <w:tcPr>
            <w:tcW w:w="9322" w:type="dxa"/>
            <w:gridSpan w:val="2"/>
          </w:tcPr>
          <w:p w14:paraId="3E5502A9" w14:textId="77777777" w:rsidR="001B628D" w:rsidRPr="00FE6AC6" w:rsidRDefault="001B628D" w:rsidP="0063575E">
            <w:pPr>
              <w:keepNext/>
              <w:widowControl w:val="0"/>
              <w:spacing w:line="240" w:lineRule="auto"/>
              <w:rPr>
                <w:color w:val="000000"/>
                <w:szCs w:val="22"/>
              </w:rPr>
            </w:pPr>
            <w:r w:rsidRPr="00FE6AC6">
              <w:rPr>
                <w:b/>
                <w:color w:val="000000"/>
                <w:szCs w:val="22"/>
              </w:rPr>
              <w:t>Съдови нарушения</w:t>
            </w:r>
            <w:r w:rsidRPr="00FE6AC6">
              <w:rPr>
                <w:rFonts w:ascii="Times New Roman Bold" w:hAnsi="Times New Roman Bold"/>
                <w:b/>
                <w:color w:val="000000"/>
                <w:szCs w:val="22"/>
                <w:vertAlign w:val="superscript"/>
                <w:lang w:val="it-IT"/>
              </w:rPr>
              <w:t>4</w:t>
            </w:r>
          </w:p>
        </w:tc>
      </w:tr>
      <w:tr w:rsidR="001B628D" w:rsidRPr="00FE6AC6" w14:paraId="3E5502AD" w14:textId="77777777" w:rsidTr="008143B1">
        <w:trPr>
          <w:cantSplit/>
        </w:trPr>
        <w:tc>
          <w:tcPr>
            <w:tcW w:w="2235" w:type="dxa"/>
          </w:tcPr>
          <w:p w14:paraId="3E5502AB"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502AC" w14:textId="77777777" w:rsidR="001B628D" w:rsidRPr="00FE6AC6" w:rsidRDefault="001B628D" w:rsidP="0063575E">
            <w:pPr>
              <w:keepNext/>
              <w:widowControl w:val="0"/>
              <w:spacing w:line="240" w:lineRule="auto"/>
              <w:rPr>
                <w:color w:val="000000"/>
                <w:szCs w:val="22"/>
              </w:rPr>
            </w:pPr>
            <w:r w:rsidRPr="00FE6AC6">
              <w:rPr>
                <w:color w:val="000000"/>
                <w:szCs w:val="22"/>
                <w:lang w:val="bg-BG"/>
              </w:rPr>
              <w:t>Зачервяване</w:t>
            </w:r>
            <w:r w:rsidRPr="00FE6AC6">
              <w:rPr>
                <w:color w:val="000000"/>
                <w:szCs w:val="22"/>
              </w:rPr>
              <w:t xml:space="preserve">, </w:t>
            </w:r>
            <w:r w:rsidRPr="00FE6AC6">
              <w:rPr>
                <w:color w:val="000000"/>
                <w:szCs w:val="22"/>
                <w:lang w:val="bg-BG"/>
              </w:rPr>
              <w:t>хеморагия</w:t>
            </w:r>
          </w:p>
        </w:tc>
      </w:tr>
      <w:tr w:rsidR="001B628D" w:rsidRPr="00FE6AC6" w:rsidDel="00655175" w14:paraId="3E5502B0" w14:textId="77777777" w:rsidTr="008143B1">
        <w:trPr>
          <w:cantSplit/>
        </w:trPr>
        <w:tc>
          <w:tcPr>
            <w:tcW w:w="2235" w:type="dxa"/>
          </w:tcPr>
          <w:p w14:paraId="3E5502AE" w14:textId="77777777" w:rsidR="001B628D" w:rsidRPr="00FE6AC6" w:rsidDel="00655175" w:rsidRDefault="001B628D"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502AF" w14:textId="77777777" w:rsidR="001B628D" w:rsidRPr="00FE6AC6" w:rsidDel="00655175" w:rsidRDefault="001B628D" w:rsidP="0063575E">
            <w:pPr>
              <w:keepNext/>
              <w:widowControl w:val="0"/>
              <w:spacing w:line="240" w:lineRule="auto"/>
              <w:rPr>
                <w:color w:val="000000"/>
                <w:szCs w:val="22"/>
                <w:lang w:val="bg-BG"/>
              </w:rPr>
            </w:pPr>
            <w:r w:rsidRPr="00FE6AC6">
              <w:rPr>
                <w:color w:val="000000"/>
                <w:szCs w:val="22"/>
                <w:lang w:val="bg-BG"/>
              </w:rPr>
              <w:t>Хипертония</w:t>
            </w:r>
            <w:r w:rsidRPr="00FE6AC6">
              <w:rPr>
                <w:color w:val="000000"/>
                <w:szCs w:val="22"/>
                <w:lang w:val="ru-RU"/>
              </w:rPr>
              <w:t xml:space="preserve">, </w:t>
            </w:r>
            <w:r w:rsidRPr="00FE6AC6">
              <w:rPr>
                <w:color w:val="000000"/>
                <w:szCs w:val="22"/>
                <w:lang w:val="bg-BG"/>
              </w:rPr>
              <w:t>хематом</w:t>
            </w:r>
            <w:r w:rsidRPr="00FE6AC6">
              <w:rPr>
                <w:color w:val="000000"/>
                <w:szCs w:val="22"/>
                <w:lang w:val="ru-RU"/>
              </w:rPr>
              <w:t xml:space="preserve">, субдурален хематом, </w:t>
            </w:r>
            <w:r w:rsidRPr="00FE6AC6">
              <w:rPr>
                <w:color w:val="000000"/>
                <w:szCs w:val="22"/>
                <w:lang w:val="bg-BG"/>
              </w:rPr>
              <w:t>студени крайници</w:t>
            </w:r>
            <w:r w:rsidRPr="00FE6AC6">
              <w:rPr>
                <w:color w:val="000000"/>
                <w:szCs w:val="22"/>
                <w:lang w:val="ru-RU"/>
              </w:rPr>
              <w:t xml:space="preserve">, </w:t>
            </w:r>
            <w:r w:rsidRPr="00FE6AC6">
              <w:rPr>
                <w:color w:val="000000"/>
                <w:szCs w:val="22"/>
                <w:lang w:val="bg-BG"/>
              </w:rPr>
              <w:t>хипотония</w:t>
            </w:r>
            <w:r w:rsidRPr="00FE6AC6">
              <w:rPr>
                <w:color w:val="000000"/>
                <w:szCs w:val="22"/>
                <w:lang w:val="ru-RU"/>
              </w:rPr>
              <w:t xml:space="preserve">, </w:t>
            </w:r>
            <w:r w:rsidRPr="00FE6AC6">
              <w:rPr>
                <w:color w:val="000000"/>
                <w:szCs w:val="22"/>
                <w:lang w:val="bg-BG"/>
              </w:rPr>
              <w:t xml:space="preserve">синдром на </w:t>
            </w:r>
            <w:r w:rsidRPr="00FE6AC6">
              <w:rPr>
                <w:color w:val="000000"/>
                <w:szCs w:val="22"/>
              </w:rPr>
              <w:t>Raynaud</w:t>
            </w:r>
          </w:p>
        </w:tc>
      </w:tr>
      <w:tr w:rsidR="00A80084" w:rsidRPr="00FE6AC6" w14:paraId="3E5502B3" w14:textId="77777777" w:rsidTr="008143B1">
        <w:trPr>
          <w:cantSplit/>
        </w:trPr>
        <w:tc>
          <w:tcPr>
            <w:tcW w:w="2235" w:type="dxa"/>
          </w:tcPr>
          <w:p w14:paraId="3E5502B1" w14:textId="77777777" w:rsidR="00A80084" w:rsidRPr="00FE6AC6" w:rsidRDefault="00A80084"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B2" w14:textId="77777777" w:rsidR="00A80084" w:rsidRPr="00FE6AC6" w:rsidRDefault="00A80084" w:rsidP="0063575E">
            <w:pPr>
              <w:widowControl w:val="0"/>
              <w:spacing w:line="240" w:lineRule="auto"/>
              <w:rPr>
                <w:color w:val="000000"/>
                <w:szCs w:val="22"/>
                <w:lang w:val="bg-BG"/>
              </w:rPr>
            </w:pPr>
            <w:r w:rsidRPr="00FE6AC6">
              <w:rPr>
                <w:color w:val="000000"/>
                <w:szCs w:val="22"/>
                <w:lang w:val="bg-BG"/>
              </w:rPr>
              <w:t>Тромбоза/емболизъм</w:t>
            </w:r>
            <w:r w:rsidRPr="00FE6AC6">
              <w:rPr>
                <w:color w:val="000000"/>
                <w:szCs w:val="22"/>
              </w:rPr>
              <w:t>*</w:t>
            </w:r>
          </w:p>
        </w:tc>
      </w:tr>
      <w:tr w:rsidR="001B628D" w:rsidRPr="00FE6AC6" w14:paraId="3E5502B5" w14:textId="77777777" w:rsidTr="008143B1">
        <w:trPr>
          <w:cantSplit/>
        </w:trPr>
        <w:tc>
          <w:tcPr>
            <w:tcW w:w="9322" w:type="dxa"/>
            <w:gridSpan w:val="2"/>
          </w:tcPr>
          <w:p w14:paraId="3E5502B4" w14:textId="77777777" w:rsidR="001B628D" w:rsidRPr="00FE6AC6" w:rsidRDefault="001B628D" w:rsidP="0063575E">
            <w:pPr>
              <w:keepNext/>
              <w:widowControl w:val="0"/>
              <w:spacing w:line="240" w:lineRule="auto"/>
              <w:rPr>
                <w:color w:val="000000"/>
                <w:szCs w:val="22"/>
                <w:lang w:val="ru-RU"/>
              </w:rPr>
            </w:pPr>
            <w:r w:rsidRPr="00FE6AC6">
              <w:rPr>
                <w:b/>
                <w:color w:val="000000"/>
                <w:szCs w:val="22"/>
                <w:lang w:val="ru-RU"/>
              </w:rPr>
              <w:t>Респираторни, гръдни и медиастинални нарушения</w:t>
            </w:r>
          </w:p>
        </w:tc>
      </w:tr>
      <w:tr w:rsidR="001B628D" w:rsidRPr="00FE6AC6" w14:paraId="3E5502B8" w14:textId="77777777" w:rsidTr="008143B1">
        <w:trPr>
          <w:cantSplit/>
        </w:trPr>
        <w:tc>
          <w:tcPr>
            <w:tcW w:w="2235" w:type="dxa"/>
          </w:tcPr>
          <w:p w14:paraId="3E5502B6" w14:textId="77777777" w:rsidR="001B628D" w:rsidRPr="00FE6AC6" w:rsidRDefault="001B628D"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502B7" w14:textId="77777777" w:rsidR="001B628D" w:rsidRPr="00FE6AC6" w:rsidRDefault="001B628D" w:rsidP="0063575E">
            <w:pPr>
              <w:keepNext/>
              <w:widowControl w:val="0"/>
              <w:spacing w:line="240" w:lineRule="auto"/>
              <w:rPr>
                <w:color w:val="000000"/>
              </w:rPr>
            </w:pPr>
            <w:r w:rsidRPr="00FE6AC6">
              <w:rPr>
                <w:color w:val="000000"/>
                <w:szCs w:val="22"/>
                <w:lang w:val="bg-BG"/>
              </w:rPr>
              <w:t>Диспнея</w:t>
            </w:r>
            <w:r w:rsidRPr="00FE6AC6">
              <w:rPr>
                <w:color w:val="000000"/>
                <w:szCs w:val="22"/>
                <w:lang w:val="fr-FR"/>
              </w:rPr>
              <w:t xml:space="preserve">, </w:t>
            </w:r>
            <w:r w:rsidRPr="00FE6AC6">
              <w:rPr>
                <w:color w:val="000000"/>
                <w:szCs w:val="22"/>
                <w:lang w:val="bg-BG"/>
              </w:rPr>
              <w:t>епистаксис</w:t>
            </w:r>
            <w:r w:rsidRPr="00FE6AC6">
              <w:rPr>
                <w:color w:val="000000"/>
                <w:szCs w:val="22"/>
                <w:lang w:val="fr-FR"/>
              </w:rPr>
              <w:t xml:space="preserve">, </w:t>
            </w:r>
            <w:r w:rsidRPr="00FE6AC6">
              <w:rPr>
                <w:color w:val="000000"/>
                <w:szCs w:val="22"/>
                <w:lang w:val="bg-BG"/>
              </w:rPr>
              <w:t>кашлица</w:t>
            </w:r>
          </w:p>
        </w:tc>
      </w:tr>
      <w:tr w:rsidR="001B628D" w:rsidRPr="00FE6AC6" w14:paraId="3E5502BB" w14:textId="77777777" w:rsidTr="008143B1">
        <w:trPr>
          <w:cantSplit/>
        </w:trPr>
        <w:tc>
          <w:tcPr>
            <w:tcW w:w="2235" w:type="dxa"/>
          </w:tcPr>
          <w:p w14:paraId="3E5502B9"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2BA"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Плеврален излив</w:t>
            </w:r>
            <w:r w:rsidRPr="00FE6AC6">
              <w:rPr>
                <w:color w:val="000000"/>
                <w:szCs w:val="22"/>
                <w:vertAlign w:val="superscript"/>
                <w:lang w:val="ru-RU"/>
              </w:rPr>
              <w:t>5</w:t>
            </w:r>
            <w:r w:rsidRPr="00FE6AC6">
              <w:rPr>
                <w:color w:val="000000"/>
                <w:szCs w:val="22"/>
                <w:lang w:val="ru-RU"/>
              </w:rPr>
              <w:t xml:space="preserve">, </w:t>
            </w:r>
            <w:r w:rsidRPr="00FE6AC6">
              <w:rPr>
                <w:color w:val="000000"/>
                <w:szCs w:val="22"/>
                <w:lang w:val="bg-BG"/>
              </w:rPr>
              <w:t>фаринголарингеална болка</w:t>
            </w:r>
            <w:r w:rsidRPr="00FE6AC6">
              <w:rPr>
                <w:color w:val="000000"/>
                <w:szCs w:val="22"/>
                <w:lang w:val="ru-RU"/>
              </w:rPr>
              <w:t xml:space="preserve">, </w:t>
            </w:r>
            <w:r w:rsidRPr="00FE6AC6">
              <w:rPr>
                <w:color w:val="000000"/>
                <w:szCs w:val="22"/>
                <w:lang w:val="bg-BG"/>
              </w:rPr>
              <w:t>фарингит</w:t>
            </w:r>
          </w:p>
        </w:tc>
      </w:tr>
      <w:tr w:rsidR="001B628D" w:rsidRPr="00FE6AC6" w14:paraId="3E5502BE" w14:textId="77777777" w:rsidTr="008143B1">
        <w:trPr>
          <w:cantSplit/>
        </w:trPr>
        <w:tc>
          <w:tcPr>
            <w:tcW w:w="2235" w:type="dxa"/>
          </w:tcPr>
          <w:p w14:paraId="3E5502BC" w14:textId="77777777" w:rsidR="001B628D" w:rsidRPr="00FE6AC6" w:rsidRDefault="001B628D"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502BD"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Плеврална болка</w:t>
            </w:r>
            <w:r w:rsidRPr="00FE6AC6">
              <w:rPr>
                <w:color w:val="000000"/>
                <w:szCs w:val="22"/>
                <w:lang w:val="ru-RU"/>
              </w:rPr>
              <w:t xml:space="preserve">, </w:t>
            </w:r>
            <w:r w:rsidRPr="00FE6AC6">
              <w:rPr>
                <w:color w:val="000000"/>
                <w:szCs w:val="22"/>
                <w:lang w:val="bg-BG"/>
              </w:rPr>
              <w:t>белодробна фиброза</w:t>
            </w:r>
            <w:r w:rsidRPr="00FE6AC6">
              <w:rPr>
                <w:color w:val="000000"/>
                <w:szCs w:val="22"/>
                <w:lang w:val="ru-RU"/>
              </w:rPr>
              <w:t xml:space="preserve">, </w:t>
            </w:r>
            <w:r w:rsidRPr="00FE6AC6">
              <w:rPr>
                <w:color w:val="000000"/>
                <w:szCs w:val="22"/>
                <w:lang w:val="bg-BG"/>
              </w:rPr>
              <w:t>белодробна хипертония</w:t>
            </w:r>
            <w:r w:rsidRPr="00FE6AC6">
              <w:rPr>
                <w:color w:val="000000"/>
                <w:szCs w:val="22"/>
                <w:lang w:val="ru-RU"/>
              </w:rPr>
              <w:t xml:space="preserve">, </w:t>
            </w:r>
            <w:r w:rsidRPr="00FE6AC6">
              <w:rPr>
                <w:color w:val="000000"/>
                <w:szCs w:val="22"/>
                <w:lang w:val="bg-BG"/>
              </w:rPr>
              <w:t>белодробен кръвоизлив</w:t>
            </w:r>
          </w:p>
        </w:tc>
      </w:tr>
      <w:tr w:rsidR="00A80084" w:rsidRPr="004015AA" w14:paraId="3E5502C1" w14:textId="77777777" w:rsidTr="008143B1">
        <w:trPr>
          <w:cantSplit/>
        </w:trPr>
        <w:tc>
          <w:tcPr>
            <w:tcW w:w="2235" w:type="dxa"/>
          </w:tcPr>
          <w:p w14:paraId="3E5502BF" w14:textId="77777777" w:rsidR="00A80084" w:rsidRPr="00FE6AC6" w:rsidRDefault="00A80084"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C0" w14:textId="77777777" w:rsidR="00A80084" w:rsidRPr="00FE6AC6" w:rsidRDefault="00A80084" w:rsidP="0063575E">
            <w:pPr>
              <w:widowControl w:val="0"/>
              <w:spacing w:line="240" w:lineRule="auto"/>
              <w:rPr>
                <w:color w:val="000000"/>
                <w:szCs w:val="22"/>
                <w:lang w:val="bg-BG"/>
              </w:rPr>
            </w:pPr>
            <w:r w:rsidRPr="00FE6AC6">
              <w:rPr>
                <w:color w:val="000000"/>
                <w:szCs w:val="22"/>
                <w:lang w:val="bg-BG"/>
              </w:rPr>
              <w:t>Остра дихателна недостатъчност</w:t>
            </w:r>
            <w:r w:rsidR="0096457B" w:rsidRPr="00FE6AC6">
              <w:rPr>
                <w:color w:val="000000"/>
                <w:szCs w:val="22"/>
                <w:vertAlign w:val="superscript"/>
                <w:lang w:val="bg-BG"/>
              </w:rPr>
              <w:t>11</w:t>
            </w:r>
            <w:r w:rsidRPr="00FE6AC6">
              <w:rPr>
                <w:color w:val="000000"/>
                <w:szCs w:val="22"/>
                <w:lang w:val="bg-BG"/>
              </w:rPr>
              <w:t>*, интерстициална белодробна болест*</w:t>
            </w:r>
          </w:p>
        </w:tc>
      </w:tr>
      <w:tr w:rsidR="001B628D" w:rsidRPr="00FE6AC6" w14:paraId="3E5502C3" w14:textId="77777777" w:rsidTr="008143B1">
        <w:trPr>
          <w:cantSplit/>
        </w:trPr>
        <w:tc>
          <w:tcPr>
            <w:tcW w:w="9322" w:type="dxa"/>
            <w:gridSpan w:val="2"/>
          </w:tcPr>
          <w:p w14:paraId="3E5502C2" w14:textId="77777777" w:rsidR="001B628D" w:rsidRPr="00FE6AC6" w:rsidRDefault="001B628D" w:rsidP="0063575E">
            <w:pPr>
              <w:keepNext/>
              <w:widowControl w:val="0"/>
              <w:spacing w:line="240" w:lineRule="auto"/>
              <w:rPr>
                <w:color w:val="000000"/>
                <w:lang w:val="bg-BG"/>
              </w:rPr>
            </w:pPr>
            <w:r w:rsidRPr="00FE6AC6">
              <w:rPr>
                <w:b/>
                <w:color w:val="000000"/>
                <w:szCs w:val="22"/>
              </w:rPr>
              <w:t>Стомашно</w:t>
            </w:r>
            <w:r w:rsidRPr="00FE6AC6">
              <w:rPr>
                <w:b/>
                <w:color w:val="000000"/>
                <w:szCs w:val="22"/>
                <w:lang w:val="fr-FR"/>
              </w:rPr>
              <w:t>-</w:t>
            </w:r>
            <w:r w:rsidRPr="00FE6AC6">
              <w:rPr>
                <w:b/>
                <w:color w:val="000000"/>
                <w:szCs w:val="22"/>
              </w:rPr>
              <w:t>чревни</w:t>
            </w:r>
            <w:r w:rsidRPr="00FE6AC6">
              <w:rPr>
                <w:b/>
                <w:color w:val="000000"/>
                <w:szCs w:val="22"/>
                <w:lang w:val="fr-FR"/>
              </w:rPr>
              <w:t xml:space="preserve"> </w:t>
            </w:r>
            <w:r w:rsidRPr="00FE6AC6">
              <w:rPr>
                <w:b/>
                <w:color w:val="000000"/>
                <w:szCs w:val="22"/>
              </w:rPr>
              <w:t>нарушения</w:t>
            </w:r>
          </w:p>
        </w:tc>
      </w:tr>
      <w:tr w:rsidR="001B628D" w:rsidRPr="00FE6AC6" w14:paraId="3E5502C6" w14:textId="77777777" w:rsidTr="008143B1">
        <w:trPr>
          <w:cantSplit/>
        </w:trPr>
        <w:tc>
          <w:tcPr>
            <w:tcW w:w="2235" w:type="dxa"/>
          </w:tcPr>
          <w:p w14:paraId="3E5502C4" w14:textId="77777777" w:rsidR="001B628D" w:rsidRPr="00FE6AC6" w:rsidRDefault="001B628D"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502C5"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Гадене</w:t>
            </w:r>
            <w:r w:rsidRPr="00FE6AC6">
              <w:rPr>
                <w:color w:val="000000"/>
                <w:szCs w:val="22"/>
                <w:lang w:val="ru-RU"/>
              </w:rPr>
              <w:t xml:space="preserve">, </w:t>
            </w:r>
            <w:r w:rsidRPr="00FE6AC6">
              <w:rPr>
                <w:color w:val="000000"/>
                <w:szCs w:val="22"/>
                <w:lang w:val="bg-BG"/>
              </w:rPr>
              <w:t>диария</w:t>
            </w:r>
            <w:r w:rsidRPr="00FE6AC6">
              <w:rPr>
                <w:color w:val="000000"/>
                <w:szCs w:val="22"/>
                <w:lang w:val="ru-RU"/>
              </w:rPr>
              <w:t xml:space="preserve">, </w:t>
            </w:r>
            <w:r w:rsidRPr="00FE6AC6">
              <w:rPr>
                <w:color w:val="000000"/>
                <w:szCs w:val="22"/>
                <w:lang w:val="bg-BG"/>
              </w:rPr>
              <w:t>повръщане</w:t>
            </w:r>
            <w:r w:rsidRPr="00FE6AC6">
              <w:rPr>
                <w:color w:val="000000"/>
                <w:szCs w:val="22"/>
                <w:lang w:val="ru-RU"/>
              </w:rPr>
              <w:t xml:space="preserve">, </w:t>
            </w:r>
            <w:r w:rsidRPr="00FE6AC6">
              <w:rPr>
                <w:color w:val="000000"/>
                <w:szCs w:val="22"/>
                <w:lang w:val="bg-BG"/>
              </w:rPr>
              <w:t>диспепсия</w:t>
            </w:r>
            <w:r w:rsidRPr="00FE6AC6">
              <w:rPr>
                <w:color w:val="000000"/>
                <w:szCs w:val="22"/>
                <w:lang w:val="ru-RU"/>
              </w:rPr>
              <w:t xml:space="preserve">, </w:t>
            </w:r>
            <w:r w:rsidRPr="00FE6AC6">
              <w:rPr>
                <w:color w:val="000000"/>
                <w:szCs w:val="22"/>
                <w:lang w:val="bg-BG"/>
              </w:rPr>
              <w:t>коремна болка</w:t>
            </w:r>
            <w:r w:rsidRPr="00FE6AC6">
              <w:rPr>
                <w:color w:val="000000"/>
                <w:szCs w:val="22"/>
                <w:vertAlign w:val="superscript"/>
                <w:lang w:val="ru-RU"/>
              </w:rPr>
              <w:t>6</w:t>
            </w:r>
          </w:p>
        </w:tc>
      </w:tr>
      <w:tr w:rsidR="001B628D" w:rsidRPr="00FE6AC6" w14:paraId="3E5502C9" w14:textId="77777777" w:rsidTr="008143B1">
        <w:trPr>
          <w:cantSplit/>
        </w:trPr>
        <w:tc>
          <w:tcPr>
            <w:tcW w:w="2235" w:type="dxa"/>
          </w:tcPr>
          <w:p w14:paraId="3E5502C7" w14:textId="77777777" w:rsidR="001B628D" w:rsidRPr="00FE6AC6" w:rsidRDefault="001B628D"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502C8"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Флатуленция</w:t>
            </w:r>
            <w:r w:rsidRPr="00FE6AC6">
              <w:rPr>
                <w:color w:val="000000"/>
                <w:szCs w:val="22"/>
                <w:lang w:val="ru-RU"/>
              </w:rPr>
              <w:t xml:space="preserve">, </w:t>
            </w:r>
            <w:r w:rsidRPr="00FE6AC6">
              <w:rPr>
                <w:color w:val="000000"/>
                <w:szCs w:val="22"/>
                <w:lang w:val="bg-BG"/>
              </w:rPr>
              <w:t>подуване на корема</w:t>
            </w:r>
            <w:r w:rsidRPr="00FE6AC6">
              <w:rPr>
                <w:color w:val="000000"/>
                <w:szCs w:val="22"/>
                <w:lang w:val="ru-RU"/>
              </w:rPr>
              <w:t xml:space="preserve">, </w:t>
            </w:r>
            <w:r w:rsidRPr="00FE6AC6">
              <w:rPr>
                <w:color w:val="000000"/>
                <w:szCs w:val="22"/>
                <w:lang w:val="bg-BG"/>
              </w:rPr>
              <w:t>гастроезофагеален рефлукс</w:t>
            </w:r>
            <w:r w:rsidRPr="00FE6AC6">
              <w:rPr>
                <w:color w:val="000000"/>
                <w:szCs w:val="22"/>
                <w:lang w:val="ru-RU"/>
              </w:rPr>
              <w:t xml:space="preserve">, </w:t>
            </w:r>
            <w:r w:rsidRPr="00FE6AC6">
              <w:rPr>
                <w:color w:val="000000"/>
                <w:szCs w:val="22"/>
                <w:lang w:val="bg-BG"/>
              </w:rPr>
              <w:t>констипация</w:t>
            </w:r>
            <w:r w:rsidRPr="00FE6AC6">
              <w:rPr>
                <w:color w:val="000000"/>
                <w:szCs w:val="22"/>
                <w:lang w:val="ru-RU"/>
              </w:rPr>
              <w:t xml:space="preserve">, </w:t>
            </w:r>
            <w:r w:rsidRPr="00FE6AC6">
              <w:rPr>
                <w:color w:val="000000"/>
                <w:szCs w:val="22"/>
                <w:lang w:val="bg-BG"/>
              </w:rPr>
              <w:t>сухота в устата</w:t>
            </w:r>
            <w:r w:rsidRPr="00FE6AC6">
              <w:rPr>
                <w:color w:val="000000"/>
                <w:szCs w:val="22"/>
                <w:lang w:val="ru-RU"/>
              </w:rPr>
              <w:t xml:space="preserve">, </w:t>
            </w:r>
            <w:r w:rsidRPr="00FE6AC6">
              <w:rPr>
                <w:color w:val="000000"/>
                <w:szCs w:val="22"/>
                <w:lang w:val="bg-BG"/>
              </w:rPr>
              <w:t>гастрит</w:t>
            </w:r>
          </w:p>
        </w:tc>
      </w:tr>
      <w:tr w:rsidR="001B628D" w:rsidRPr="00FE6AC6" w14:paraId="3E5502CC" w14:textId="77777777" w:rsidTr="008143B1">
        <w:trPr>
          <w:cantSplit/>
        </w:trPr>
        <w:tc>
          <w:tcPr>
            <w:tcW w:w="2235" w:type="dxa"/>
          </w:tcPr>
          <w:p w14:paraId="3E5502CA"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2CB"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Стоматит</w:t>
            </w:r>
            <w:r w:rsidRPr="00FE6AC6">
              <w:rPr>
                <w:color w:val="000000"/>
                <w:szCs w:val="22"/>
                <w:lang w:val="ru-RU"/>
              </w:rPr>
              <w:t xml:space="preserve">, </w:t>
            </w:r>
            <w:r w:rsidRPr="00FE6AC6">
              <w:rPr>
                <w:color w:val="000000"/>
                <w:szCs w:val="22"/>
                <w:lang w:val="bg-BG"/>
              </w:rPr>
              <w:t>разязвявания в устната кухина,</w:t>
            </w:r>
            <w:r w:rsidRPr="00FE6AC6">
              <w:rPr>
                <w:color w:val="000000"/>
                <w:szCs w:val="22"/>
                <w:lang w:val="ru-RU"/>
              </w:rPr>
              <w:t xml:space="preserve"> </w:t>
            </w:r>
            <w:r w:rsidRPr="00FE6AC6">
              <w:rPr>
                <w:color w:val="000000"/>
                <w:szCs w:val="22"/>
                <w:lang w:val="bg-BG"/>
              </w:rPr>
              <w:t>стомашно-чревен кръвоизлив</w:t>
            </w:r>
            <w:r w:rsidRPr="00FE6AC6">
              <w:rPr>
                <w:color w:val="000000"/>
                <w:szCs w:val="22"/>
                <w:vertAlign w:val="superscript"/>
                <w:lang w:val="ru-RU"/>
              </w:rPr>
              <w:t>7</w:t>
            </w:r>
            <w:r w:rsidRPr="00FE6AC6">
              <w:rPr>
                <w:color w:val="000000"/>
                <w:szCs w:val="22"/>
                <w:lang w:val="ru-RU"/>
              </w:rPr>
              <w:t xml:space="preserve">, </w:t>
            </w:r>
            <w:r w:rsidRPr="00FE6AC6">
              <w:rPr>
                <w:color w:val="000000"/>
                <w:szCs w:val="22"/>
                <w:lang w:val="bg-BG"/>
              </w:rPr>
              <w:t>оригване</w:t>
            </w:r>
            <w:r w:rsidRPr="00FE6AC6">
              <w:rPr>
                <w:color w:val="000000"/>
                <w:szCs w:val="22"/>
                <w:lang w:val="ru-RU"/>
              </w:rPr>
              <w:t xml:space="preserve">, </w:t>
            </w:r>
            <w:r w:rsidRPr="00FE6AC6">
              <w:rPr>
                <w:color w:val="000000"/>
                <w:szCs w:val="22"/>
                <w:lang w:val="bg-BG"/>
              </w:rPr>
              <w:t>мелена</w:t>
            </w:r>
            <w:r w:rsidRPr="00FE6AC6">
              <w:rPr>
                <w:color w:val="000000"/>
                <w:szCs w:val="22"/>
                <w:lang w:val="ru-RU"/>
              </w:rPr>
              <w:t xml:space="preserve">, </w:t>
            </w:r>
            <w:r w:rsidRPr="00FE6AC6">
              <w:rPr>
                <w:color w:val="000000"/>
                <w:szCs w:val="22"/>
                <w:lang w:val="bg-BG"/>
              </w:rPr>
              <w:t>езофагит</w:t>
            </w:r>
            <w:r w:rsidRPr="00FE6AC6">
              <w:rPr>
                <w:color w:val="000000"/>
                <w:szCs w:val="22"/>
                <w:lang w:val="ru-RU"/>
              </w:rPr>
              <w:t xml:space="preserve">, </w:t>
            </w:r>
            <w:r w:rsidRPr="00FE6AC6">
              <w:rPr>
                <w:color w:val="000000"/>
                <w:szCs w:val="22"/>
                <w:lang w:val="bg-BG"/>
              </w:rPr>
              <w:t>асцит</w:t>
            </w:r>
            <w:r w:rsidRPr="00FE6AC6">
              <w:rPr>
                <w:color w:val="000000"/>
                <w:szCs w:val="22"/>
                <w:lang w:val="ru-RU"/>
              </w:rPr>
              <w:t xml:space="preserve">, стомашна язва, </w:t>
            </w:r>
            <w:r w:rsidRPr="00FE6AC6">
              <w:rPr>
                <w:color w:val="000000"/>
                <w:szCs w:val="22"/>
                <w:lang w:val="bg-BG"/>
              </w:rPr>
              <w:t>хематемеза</w:t>
            </w:r>
            <w:r w:rsidRPr="00FE6AC6">
              <w:rPr>
                <w:color w:val="000000"/>
                <w:szCs w:val="22"/>
                <w:lang w:val="ru-RU"/>
              </w:rPr>
              <w:t xml:space="preserve">, </w:t>
            </w:r>
            <w:r w:rsidRPr="00FE6AC6">
              <w:rPr>
                <w:color w:val="000000"/>
                <w:szCs w:val="22"/>
                <w:lang w:val="bg-BG"/>
              </w:rPr>
              <w:t>хейлит</w:t>
            </w:r>
            <w:r w:rsidRPr="00FE6AC6">
              <w:rPr>
                <w:color w:val="000000"/>
                <w:szCs w:val="22"/>
                <w:lang w:val="ru-RU"/>
              </w:rPr>
              <w:t xml:space="preserve">, </w:t>
            </w:r>
            <w:r w:rsidRPr="00FE6AC6">
              <w:rPr>
                <w:color w:val="000000"/>
                <w:szCs w:val="22"/>
                <w:lang w:val="bg-BG"/>
              </w:rPr>
              <w:t>дисфагия</w:t>
            </w:r>
            <w:r w:rsidRPr="00FE6AC6">
              <w:rPr>
                <w:color w:val="000000"/>
                <w:szCs w:val="22"/>
                <w:lang w:val="ru-RU"/>
              </w:rPr>
              <w:t xml:space="preserve">, </w:t>
            </w:r>
            <w:r w:rsidRPr="00FE6AC6">
              <w:rPr>
                <w:color w:val="000000"/>
                <w:szCs w:val="22"/>
                <w:lang w:val="bg-BG"/>
              </w:rPr>
              <w:t>панкреатит</w:t>
            </w:r>
          </w:p>
        </w:tc>
      </w:tr>
      <w:tr w:rsidR="001B628D" w:rsidRPr="00FE6AC6" w14:paraId="3E5502CF" w14:textId="77777777" w:rsidTr="008143B1">
        <w:trPr>
          <w:cantSplit/>
        </w:trPr>
        <w:tc>
          <w:tcPr>
            <w:tcW w:w="2235" w:type="dxa"/>
          </w:tcPr>
          <w:p w14:paraId="3E5502CD" w14:textId="77777777" w:rsidR="001B628D" w:rsidRPr="00FE6AC6" w:rsidRDefault="001B628D"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502CE" w14:textId="77777777" w:rsidR="001B628D" w:rsidRPr="00FE6AC6" w:rsidRDefault="001B628D" w:rsidP="0063575E">
            <w:pPr>
              <w:keepNext/>
              <w:widowControl w:val="0"/>
              <w:spacing w:line="240" w:lineRule="auto"/>
              <w:rPr>
                <w:snapToGrid w:val="0"/>
                <w:color w:val="000000"/>
                <w:szCs w:val="22"/>
                <w:lang w:val="ru-RU"/>
              </w:rPr>
            </w:pPr>
            <w:r w:rsidRPr="00FE6AC6">
              <w:rPr>
                <w:color w:val="000000"/>
                <w:szCs w:val="22"/>
                <w:lang w:val="bg-BG"/>
              </w:rPr>
              <w:t>Колит</w:t>
            </w:r>
            <w:r w:rsidRPr="00FE6AC6">
              <w:rPr>
                <w:color w:val="000000"/>
                <w:szCs w:val="22"/>
                <w:lang w:val="ru-RU"/>
              </w:rPr>
              <w:t xml:space="preserve">, </w:t>
            </w:r>
            <w:r w:rsidRPr="00FE6AC6">
              <w:rPr>
                <w:color w:val="000000"/>
                <w:szCs w:val="22"/>
                <w:lang w:val="bg-BG"/>
              </w:rPr>
              <w:t>илеит</w:t>
            </w:r>
            <w:r w:rsidRPr="00FE6AC6">
              <w:rPr>
                <w:snapToGrid w:val="0"/>
                <w:color w:val="000000"/>
                <w:szCs w:val="22"/>
                <w:lang w:val="ru-RU"/>
              </w:rPr>
              <w:t xml:space="preserve">, </w:t>
            </w:r>
            <w:r w:rsidRPr="00FE6AC6">
              <w:rPr>
                <w:snapToGrid w:val="0"/>
                <w:color w:val="000000"/>
                <w:szCs w:val="22"/>
                <w:lang w:val="bg-BG"/>
              </w:rPr>
              <w:t>възпалителни заболявания на червата</w:t>
            </w:r>
          </w:p>
        </w:tc>
      </w:tr>
      <w:tr w:rsidR="00690E0A" w:rsidRPr="004015AA" w14:paraId="3E5502D2" w14:textId="77777777" w:rsidTr="008143B1">
        <w:trPr>
          <w:cantSplit/>
        </w:trPr>
        <w:tc>
          <w:tcPr>
            <w:tcW w:w="2235" w:type="dxa"/>
          </w:tcPr>
          <w:p w14:paraId="3E5502D0" w14:textId="77777777" w:rsidR="00690E0A" w:rsidRPr="00FE6AC6" w:rsidRDefault="00690E0A"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D1" w14:textId="77777777" w:rsidR="00690E0A" w:rsidRPr="00FE6AC6" w:rsidRDefault="00690E0A" w:rsidP="0063575E">
            <w:pPr>
              <w:widowControl w:val="0"/>
              <w:spacing w:line="240" w:lineRule="auto"/>
              <w:rPr>
                <w:color w:val="000000"/>
                <w:szCs w:val="22"/>
                <w:lang w:val="bg-BG"/>
              </w:rPr>
            </w:pPr>
            <w:r w:rsidRPr="00FE6AC6">
              <w:rPr>
                <w:color w:val="000000"/>
                <w:szCs w:val="22"/>
                <w:lang w:val="bg-BG"/>
              </w:rPr>
              <w:t>Илеус/интестинална обструкция*, гастроинтестинална перфорация*</w:t>
            </w:r>
            <w:r w:rsidRPr="00FE6AC6">
              <w:rPr>
                <w:snapToGrid w:val="0"/>
                <w:color w:val="000000"/>
                <w:szCs w:val="22"/>
                <w:lang w:val="bg-BG"/>
              </w:rPr>
              <w:t>, дивертикулит*, стомашна антрална съдова ектазия (</w:t>
            </w:r>
            <w:r w:rsidRPr="00FE6AC6">
              <w:rPr>
                <w:snapToGrid w:val="0"/>
                <w:color w:val="000000"/>
                <w:szCs w:val="22"/>
              </w:rPr>
              <w:t>GAVE</w:t>
            </w:r>
            <w:r w:rsidRPr="00FE6AC6">
              <w:rPr>
                <w:snapToGrid w:val="0"/>
                <w:color w:val="000000"/>
                <w:szCs w:val="22"/>
                <w:lang w:val="bg-BG"/>
              </w:rPr>
              <w:t>)*</w:t>
            </w:r>
          </w:p>
        </w:tc>
      </w:tr>
      <w:tr w:rsidR="001B628D" w:rsidRPr="00FE6AC6" w14:paraId="3E5502D4" w14:textId="77777777" w:rsidTr="008143B1">
        <w:trPr>
          <w:cantSplit/>
        </w:trPr>
        <w:tc>
          <w:tcPr>
            <w:tcW w:w="9322" w:type="dxa"/>
            <w:gridSpan w:val="2"/>
          </w:tcPr>
          <w:p w14:paraId="3E5502D3" w14:textId="77777777" w:rsidR="001B628D" w:rsidRPr="00FE6AC6" w:rsidRDefault="001B628D" w:rsidP="0063575E">
            <w:pPr>
              <w:keepNext/>
              <w:widowControl w:val="0"/>
              <w:spacing w:line="240" w:lineRule="auto"/>
              <w:rPr>
                <w:snapToGrid w:val="0"/>
                <w:color w:val="000000"/>
                <w:szCs w:val="22"/>
                <w:lang w:val="ru-RU"/>
              </w:rPr>
            </w:pPr>
            <w:r w:rsidRPr="00FE6AC6">
              <w:rPr>
                <w:b/>
                <w:color w:val="000000"/>
                <w:szCs w:val="22"/>
                <w:lang w:val="ru-RU"/>
              </w:rPr>
              <w:t>Хепатобилиарни нарушения</w:t>
            </w:r>
          </w:p>
        </w:tc>
      </w:tr>
      <w:tr w:rsidR="001B628D" w:rsidRPr="00FE6AC6" w14:paraId="3E5502D7" w14:textId="77777777" w:rsidTr="008143B1">
        <w:trPr>
          <w:cantSplit/>
        </w:trPr>
        <w:tc>
          <w:tcPr>
            <w:tcW w:w="2235" w:type="dxa"/>
          </w:tcPr>
          <w:p w14:paraId="3E5502D5"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502D6" w14:textId="77777777" w:rsidR="001B628D" w:rsidRPr="00FE6AC6" w:rsidRDefault="001B628D" w:rsidP="0063575E">
            <w:pPr>
              <w:keepNext/>
              <w:widowControl w:val="0"/>
              <w:spacing w:line="240" w:lineRule="auto"/>
              <w:rPr>
                <w:color w:val="000000"/>
                <w:szCs w:val="22"/>
              </w:rPr>
            </w:pPr>
            <w:r w:rsidRPr="00FE6AC6">
              <w:rPr>
                <w:color w:val="000000"/>
                <w:szCs w:val="22"/>
                <w:lang w:val="bg-BG"/>
              </w:rPr>
              <w:t>Повишени чернодробни ензими</w:t>
            </w:r>
          </w:p>
        </w:tc>
      </w:tr>
      <w:tr w:rsidR="001B628D" w:rsidRPr="00FE6AC6" w14:paraId="3E5502DA" w14:textId="77777777" w:rsidTr="008143B1">
        <w:trPr>
          <w:cantSplit/>
        </w:trPr>
        <w:tc>
          <w:tcPr>
            <w:tcW w:w="2235" w:type="dxa"/>
          </w:tcPr>
          <w:p w14:paraId="3E5502D8"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502D9" w14:textId="77777777" w:rsidR="001B628D" w:rsidRPr="00FE6AC6" w:rsidRDefault="001B628D" w:rsidP="0063575E">
            <w:pPr>
              <w:keepNext/>
              <w:widowControl w:val="0"/>
              <w:spacing w:line="240" w:lineRule="auto"/>
              <w:rPr>
                <w:color w:val="000000"/>
                <w:szCs w:val="22"/>
              </w:rPr>
            </w:pPr>
            <w:r w:rsidRPr="00FE6AC6">
              <w:rPr>
                <w:color w:val="000000"/>
                <w:szCs w:val="22"/>
                <w:lang w:val="bg-BG"/>
              </w:rPr>
              <w:t>Хипербилирубинемия</w:t>
            </w:r>
            <w:r w:rsidRPr="00FE6AC6">
              <w:rPr>
                <w:color w:val="000000"/>
                <w:szCs w:val="22"/>
              </w:rPr>
              <w:t xml:space="preserve">, </w:t>
            </w:r>
            <w:r w:rsidRPr="00FE6AC6">
              <w:rPr>
                <w:color w:val="000000"/>
                <w:szCs w:val="22"/>
                <w:lang w:val="bg-BG"/>
              </w:rPr>
              <w:t>хепатит</w:t>
            </w:r>
            <w:r w:rsidRPr="00FE6AC6">
              <w:rPr>
                <w:color w:val="000000"/>
                <w:szCs w:val="22"/>
              </w:rPr>
              <w:t xml:space="preserve">, </w:t>
            </w:r>
            <w:r w:rsidRPr="00FE6AC6">
              <w:rPr>
                <w:color w:val="000000"/>
                <w:szCs w:val="22"/>
                <w:lang w:val="bg-BG"/>
              </w:rPr>
              <w:t>иктер</w:t>
            </w:r>
          </w:p>
        </w:tc>
      </w:tr>
      <w:tr w:rsidR="001B628D" w:rsidRPr="00FE6AC6" w14:paraId="3E5502DD" w14:textId="77777777" w:rsidTr="008143B1">
        <w:trPr>
          <w:cantSplit/>
        </w:trPr>
        <w:tc>
          <w:tcPr>
            <w:tcW w:w="2235" w:type="dxa"/>
          </w:tcPr>
          <w:p w14:paraId="3E5502DB" w14:textId="77777777" w:rsidR="001B628D" w:rsidRPr="00FE6AC6" w:rsidRDefault="001B628D" w:rsidP="0063575E">
            <w:pPr>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502DC" w14:textId="77777777" w:rsidR="001B628D" w:rsidRPr="00FE6AC6" w:rsidRDefault="001B628D" w:rsidP="0063575E">
            <w:pPr>
              <w:widowControl w:val="0"/>
              <w:spacing w:line="240" w:lineRule="auto"/>
              <w:rPr>
                <w:color w:val="000000"/>
                <w:szCs w:val="22"/>
              </w:rPr>
            </w:pPr>
            <w:r w:rsidRPr="00FE6AC6">
              <w:rPr>
                <w:color w:val="000000"/>
                <w:szCs w:val="22"/>
                <w:lang w:val="bg-BG"/>
              </w:rPr>
              <w:t>Чернодробна недостатъчност</w:t>
            </w:r>
            <w:r w:rsidRPr="00FE6AC6">
              <w:rPr>
                <w:color w:val="000000"/>
                <w:szCs w:val="22"/>
                <w:vertAlign w:val="superscript"/>
              </w:rPr>
              <w:t>8</w:t>
            </w:r>
            <w:r w:rsidRPr="00FE6AC6">
              <w:rPr>
                <w:color w:val="000000"/>
                <w:szCs w:val="22"/>
              </w:rPr>
              <w:t xml:space="preserve">, </w:t>
            </w:r>
            <w:r w:rsidRPr="00FE6AC6">
              <w:rPr>
                <w:color w:val="000000"/>
                <w:szCs w:val="22"/>
                <w:lang w:val="bg-BG"/>
              </w:rPr>
              <w:t>чернодробна некроза</w:t>
            </w:r>
          </w:p>
        </w:tc>
      </w:tr>
      <w:tr w:rsidR="001B628D" w:rsidRPr="00FE6AC6" w14:paraId="3E5502DF" w14:textId="77777777" w:rsidTr="008143B1">
        <w:trPr>
          <w:cantSplit/>
        </w:trPr>
        <w:tc>
          <w:tcPr>
            <w:tcW w:w="9322" w:type="dxa"/>
            <w:gridSpan w:val="2"/>
          </w:tcPr>
          <w:p w14:paraId="3E5502DE" w14:textId="77777777" w:rsidR="001B628D" w:rsidRPr="00FE6AC6" w:rsidRDefault="001B628D" w:rsidP="0063575E">
            <w:pPr>
              <w:keepNext/>
              <w:widowControl w:val="0"/>
              <w:spacing w:line="240" w:lineRule="auto"/>
              <w:rPr>
                <w:color w:val="000000"/>
                <w:lang w:val="ru-RU"/>
              </w:rPr>
            </w:pPr>
            <w:r w:rsidRPr="00FE6AC6">
              <w:rPr>
                <w:b/>
                <w:color w:val="000000"/>
                <w:szCs w:val="22"/>
                <w:lang w:val="ru-RU"/>
              </w:rPr>
              <w:t>Нарушения на кожата и подкожната тъкан</w:t>
            </w:r>
          </w:p>
        </w:tc>
      </w:tr>
      <w:tr w:rsidR="001B628D" w:rsidRPr="00FE6AC6" w14:paraId="3E5502E2" w14:textId="77777777" w:rsidTr="008143B1">
        <w:trPr>
          <w:cantSplit/>
        </w:trPr>
        <w:tc>
          <w:tcPr>
            <w:tcW w:w="2235" w:type="dxa"/>
          </w:tcPr>
          <w:p w14:paraId="3E5502E0" w14:textId="77777777" w:rsidR="001B628D" w:rsidRPr="00FE6AC6" w:rsidRDefault="001B628D"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502E1"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Периорбитален оток</w:t>
            </w:r>
            <w:r w:rsidRPr="00FE6AC6">
              <w:rPr>
                <w:color w:val="000000"/>
                <w:szCs w:val="22"/>
                <w:lang w:val="ru-RU"/>
              </w:rPr>
              <w:t xml:space="preserve">, </w:t>
            </w:r>
            <w:r w:rsidRPr="00FE6AC6">
              <w:rPr>
                <w:color w:val="000000"/>
                <w:szCs w:val="22"/>
                <w:lang w:val="bg-BG"/>
              </w:rPr>
              <w:t>дерматит</w:t>
            </w:r>
            <w:r w:rsidRPr="00FE6AC6">
              <w:rPr>
                <w:color w:val="000000"/>
                <w:szCs w:val="22"/>
                <w:lang w:val="ru-RU"/>
              </w:rPr>
              <w:t>/</w:t>
            </w:r>
            <w:r w:rsidRPr="00FE6AC6">
              <w:rPr>
                <w:color w:val="000000"/>
                <w:szCs w:val="22"/>
                <w:lang w:val="bg-BG"/>
              </w:rPr>
              <w:t>екзема</w:t>
            </w:r>
            <w:r w:rsidRPr="00FE6AC6">
              <w:rPr>
                <w:color w:val="000000"/>
                <w:szCs w:val="22"/>
                <w:lang w:val="ru-RU"/>
              </w:rPr>
              <w:t>/</w:t>
            </w:r>
            <w:r w:rsidRPr="00FE6AC6">
              <w:rPr>
                <w:color w:val="000000"/>
                <w:szCs w:val="22"/>
                <w:lang w:val="bg-BG"/>
              </w:rPr>
              <w:t>обрив</w:t>
            </w:r>
          </w:p>
        </w:tc>
      </w:tr>
      <w:tr w:rsidR="001B628D" w:rsidRPr="00FE6AC6" w14:paraId="3E5502E5" w14:textId="77777777" w:rsidTr="008143B1">
        <w:trPr>
          <w:cantSplit/>
        </w:trPr>
        <w:tc>
          <w:tcPr>
            <w:tcW w:w="2235" w:type="dxa"/>
          </w:tcPr>
          <w:p w14:paraId="3E5502E3" w14:textId="77777777" w:rsidR="001B628D" w:rsidRPr="00FE6AC6" w:rsidRDefault="001B628D" w:rsidP="0063575E">
            <w:pPr>
              <w:keepNext/>
              <w:widowControl w:val="0"/>
              <w:spacing w:line="240" w:lineRule="auto"/>
              <w:rPr>
                <w:color w:val="000000"/>
              </w:rPr>
            </w:pPr>
            <w:r w:rsidRPr="00FE6AC6">
              <w:rPr>
                <w:i/>
                <w:color w:val="000000"/>
                <w:szCs w:val="22"/>
                <w:lang w:val="bg-BG"/>
              </w:rPr>
              <w:t>Чести</w:t>
            </w:r>
            <w:r w:rsidRPr="00FE6AC6">
              <w:rPr>
                <w:i/>
                <w:color w:val="000000"/>
                <w:szCs w:val="22"/>
              </w:rPr>
              <w:t>:</w:t>
            </w:r>
          </w:p>
        </w:tc>
        <w:tc>
          <w:tcPr>
            <w:tcW w:w="7087" w:type="dxa"/>
          </w:tcPr>
          <w:p w14:paraId="3E5502E4"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Пруритус</w:t>
            </w:r>
            <w:r w:rsidRPr="00FE6AC6">
              <w:rPr>
                <w:color w:val="000000"/>
                <w:szCs w:val="22"/>
                <w:lang w:val="ru-RU"/>
              </w:rPr>
              <w:t xml:space="preserve">, </w:t>
            </w:r>
            <w:r w:rsidRPr="00FE6AC6">
              <w:rPr>
                <w:color w:val="000000"/>
                <w:szCs w:val="22"/>
                <w:lang w:val="bg-BG"/>
              </w:rPr>
              <w:t>оток на лицето</w:t>
            </w:r>
            <w:r w:rsidRPr="00FE6AC6">
              <w:rPr>
                <w:color w:val="000000"/>
                <w:szCs w:val="22"/>
                <w:lang w:val="ru-RU"/>
              </w:rPr>
              <w:t xml:space="preserve">, </w:t>
            </w:r>
            <w:r w:rsidRPr="00FE6AC6">
              <w:rPr>
                <w:color w:val="000000"/>
                <w:szCs w:val="22"/>
                <w:lang w:val="bg-BG"/>
              </w:rPr>
              <w:t>суха кожа</w:t>
            </w:r>
            <w:r w:rsidRPr="00FE6AC6">
              <w:rPr>
                <w:color w:val="000000"/>
                <w:szCs w:val="22"/>
                <w:lang w:val="ru-RU"/>
              </w:rPr>
              <w:t xml:space="preserve">, </w:t>
            </w:r>
            <w:r w:rsidRPr="00FE6AC6">
              <w:rPr>
                <w:color w:val="000000"/>
                <w:szCs w:val="22"/>
                <w:lang w:val="bg-BG"/>
              </w:rPr>
              <w:t>еритем</w:t>
            </w:r>
            <w:r w:rsidRPr="00FE6AC6">
              <w:rPr>
                <w:color w:val="000000"/>
                <w:szCs w:val="22"/>
                <w:lang w:val="ru-RU"/>
              </w:rPr>
              <w:t xml:space="preserve">, </w:t>
            </w:r>
            <w:r w:rsidRPr="00FE6AC6">
              <w:rPr>
                <w:color w:val="000000"/>
                <w:szCs w:val="22"/>
                <w:lang w:val="bg-BG"/>
              </w:rPr>
              <w:t>алопеция</w:t>
            </w:r>
            <w:r w:rsidRPr="00FE6AC6">
              <w:rPr>
                <w:color w:val="000000"/>
                <w:szCs w:val="22"/>
                <w:lang w:val="ru-RU"/>
              </w:rPr>
              <w:t xml:space="preserve">, </w:t>
            </w:r>
            <w:r w:rsidRPr="00FE6AC6">
              <w:rPr>
                <w:color w:val="000000"/>
                <w:szCs w:val="22"/>
                <w:lang w:val="bg-BG"/>
              </w:rPr>
              <w:t>нощни изпотявания,</w:t>
            </w:r>
            <w:r w:rsidRPr="00FE6AC6">
              <w:rPr>
                <w:color w:val="000000"/>
                <w:szCs w:val="22"/>
                <w:lang w:val="ru-RU"/>
              </w:rPr>
              <w:t xml:space="preserve"> </w:t>
            </w:r>
            <w:r w:rsidRPr="00FE6AC6">
              <w:rPr>
                <w:color w:val="000000"/>
                <w:szCs w:val="22"/>
                <w:lang w:val="bg-BG"/>
              </w:rPr>
              <w:t>фоточувствителна реакция</w:t>
            </w:r>
          </w:p>
        </w:tc>
      </w:tr>
      <w:tr w:rsidR="001B628D" w:rsidRPr="00FE6AC6" w14:paraId="3E5502E8" w14:textId="77777777" w:rsidTr="008143B1">
        <w:trPr>
          <w:cantSplit/>
        </w:trPr>
        <w:tc>
          <w:tcPr>
            <w:tcW w:w="2235" w:type="dxa"/>
          </w:tcPr>
          <w:p w14:paraId="3E5502E6"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2E7" w14:textId="77777777" w:rsidR="001B628D" w:rsidRPr="00FE6AC6" w:rsidRDefault="001B628D" w:rsidP="0063575E">
            <w:pPr>
              <w:keepNext/>
              <w:widowControl w:val="0"/>
              <w:spacing w:line="240" w:lineRule="auto"/>
              <w:rPr>
                <w:color w:val="000000"/>
                <w:szCs w:val="22"/>
              </w:rPr>
            </w:pPr>
            <w:r w:rsidRPr="00FE6AC6">
              <w:rPr>
                <w:color w:val="000000"/>
                <w:szCs w:val="22"/>
                <w:lang w:val="bg-BG"/>
              </w:rPr>
              <w:t>Пустулозен обрив</w:t>
            </w:r>
            <w:r w:rsidRPr="00FE6AC6">
              <w:rPr>
                <w:color w:val="000000"/>
                <w:szCs w:val="22"/>
              </w:rPr>
              <w:t xml:space="preserve">, </w:t>
            </w:r>
            <w:r w:rsidRPr="00FE6AC6">
              <w:rPr>
                <w:color w:val="000000"/>
                <w:szCs w:val="22"/>
                <w:lang w:val="bg-BG"/>
              </w:rPr>
              <w:t>натъртване</w:t>
            </w:r>
            <w:r w:rsidRPr="00FE6AC6">
              <w:rPr>
                <w:color w:val="000000"/>
                <w:szCs w:val="22"/>
              </w:rPr>
              <w:t xml:space="preserve">, </w:t>
            </w:r>
            <w:r w:rsidRPr="00FE6AC6">
              <w:rPr>
                <w:color w:val="000000"/>
                <w:szCs w:val="22"/>
                <w:lang w:val="bg-BG"/>
              </w:rPr>
              <w:t>повишено изпотяване</w:t>
            </w:r>
            <w:r w:rsidRPr="00FE6AC6">
              <w:rPr>
                <w:color w:val="000000"/>
                <w:szCs w:val="22"/>
              </w:rPr>
              <w:t xml:space="preserve">, </w:t>
            </w:r>
            <w:r w:rsidRPr="00FE6AC6">
              <w:rPr>
                <w:color w:val="000000"/>
                <w:szCs w:val="22"/>
                <w:lang w:val="bg-BG"/>
              </w:rPr>
              <w:t>уртикария</w:t>
            </w:r>
            <w:r w:rsidRPr="00FE6AC6">
              <w:rPr>
                <w:color w:val="000000"/>
                <w:szCs w:val="22"/>
              </w:rPr>
              <w:t xml:space="preserve">, </w:t>
            </w:r>
            <w:r w:rsidRPr="00FE6AC6">
              <w:rPr>
                <w:color w:val="000000"/>
                <w:szCs w:val="22"/>
                <w:lang w:val="bg-BG"/>
              </w:rPr>
              <w:t>екхимоза</w:t>
            </w:r>
            <w:r w:rsidRPr="00FE6AC6">
              <w:rPr>
                <w:color w:val="000000"/>
                <w:szCs w:val="22"/>
              </w:rPr>
              <w:t xml:space="preserve">, </w:t>
            </w:r>
            <w:r w:rsidRPr="00FE6AC6">
              <w:rPr>
                <w:color w:val="000000"/>
                <w:szCs w:val="22"/>
                <w:lang w:val="bg-BG"/>
              </w:rPr>
              <w:t>повишена склонност към насиняване</w:t>
            </w:r>
            <w:r w:rsidRPr="00FE6AC6">
              <w:rPr>
                <w:color w:val="000000"/>
                <w:szCs w:val="22"/>
              </w:rPr>
              <w:t xml:space="preserve">, </w:t>
            </w:r>
            <w:r w:rsidRPr="00FE6AC6">
              <w:rPr>
                <w:color w:val="000000"/>
                <w:szCs w:val="22"/>
                <w:lang w:val="bg-BG"/>
              </w:rPr>
              <w:t>хипотрихоза</w:t>
            </w:r>
            <w:r w:rsidRPr="00FE6AC6">
              <w:rPr>
                <w:color w:val="000000"/>
                <w:szCs w:val="22"/>
              </w:rPr>
              <w:t xml:space="preserve">, </w:t>
            </w:r>
            <w:r w:rsidRPr="00FE6AC6">
              <w:rPr>
                <w:color w:val="000000"/>
                <w:szCs w:val="22"/>
                <w:lang w:val="bg-BG"/>
              </w:rPr>
              <w:t>кожна хипопигментация</w:t>
            </w:r>
            <w:r w:rsidRPr="00FE6AC6">
              <w:rPr>
                <w:color w:val="000000"/>
                <w:szCs w:val="22"/>
              </w:rPr>
              <w:t xml:space="preserve">, </w:t>
            </w:r>
            <w:r w:rsidRPr="00FE6AC6">
              <w:rPr>
                <w:color w:val="000000"/>
                <w:szCs w:val="22"/>
                <w:lang w:val="bg-BG"/>
              </w:rPr>
              <w:t>ексфолиативен дерматит</w:t>
            </w:r>
            <w:r w:rsidRPr="00FE6AC6">
              <w:rPr>
                <w:color w:val="000000"/>
                <w:szCs w:val="22"/>
              </w:rPr>
              <w:t xml:space="preserve">, </w:t>
            </w:r>
            <w:r w:rsidRPr="00FE6AC6">
              <w:rPr>
                <w:color w:val="000000"/>
                <w:szCs w:val="22"/>
                <w:lang w:val="bg-BG"/>
              </w:rPr>
              <w:t>чупливост на ноктите</w:t>
            </w:r>
            <w:r w:rsidRPr="00FE6AC6">
              <w:rPr>
                <w:color w:val="000000"/>
                <w:szCs w:val="22"/>
              </w:rPr>
              <w:t xml:space="preserve">, </w:t>
            </w:r>
            <w:r w:rsidRPr="00FE6AC6">
              <w:rPr>
                <w:color w:val="000000"/>
                <w:szCs w:val="22"/>
                <w:lang w:val="bg-BG"/>
              </w:rPr>
              <w:t>фоликулит</w:t>
            </w:r>
            <w:r w:rsidRPr="00FE6AC6">
              <w:rPr>
                <w:color w:val="000000"/>
                <w:szCs w:val="22"/>
              </w:rPr>
              <w:t xml:space="preserve">, </w:t>
            </w:r>
            <w:r w:rsidRPr="00FE6AC6">
              <w:rPr>
                <w:color w:val="000000"/>
                <w:szCs w:val="22"/>
                <w:lang w:val="bg-BG"/>
              </w:rPr>
              <w:t>петехии</w:t>
            </w:r>
            <w:r w:rsidRPr="00FE6AC6">
              <w:rPr>
                <w:color w:val="000000"/>
                <w:szCs w:val="22"/>
              </w:rPr>
              <w:t xml:space="preserve">, </w:t>
            </w:r>
            <w:r w:rsidRPr="00FE6AC6">
              <w:rPr>
                <w:color w:val="000000"/>
                <w:szCs w:val="22"/>
                <w:lang w:val="bg-BG"/>
              </w:rPr>
              <w:t>псориазис</w:t>
            </w:r>
            <w:r w:rsidRPr="00FE6AC6">
              <w:rPr>
                <w:color w:val="000000"/>
                <w:szCs w:val="22"/>
              </w:rPr>
              <w:t xml:space="preserve">, </w:t>
            </w:r>
            <w:r w:rsidRPr="00FE6AC6">
              <w:rPr>
                <w:color w:val="000000"/>
                <w:szCs w:val="22"/>
                <w:lang w:val="bg-BG"/>
              </w:rPr>
              <w:t>пурпура</w:t>
            </w:r>
            <w:r w:rsidRPr="00FE6AC6">
              <w:rPr>
                <w:color w:val="000000"/>
                <w:szCs w:val="22"/>
              </w:rPr>
              <w:t xml:space="preserve">, </w:t>
            </w:r>
            <w:r w:rsidRPr="00FE6AC6">
              <w:rPr>
                <w:color w:val="000000"/>
                <w:szCs w:val="22"/>
                <w:lang w:val="bg-BG"/>
              </w:rPr>
              <w:t>кожна хипрепигментация,</w:t>
            </w:r>
            <w:r w:rsidRPr="00FE6AC6">
              <w:rPr>
                <w:color w:val="000000"/>
                <w:szCs w:val="22"/>
              </w:rPr>
              <w:t xml:space="preserve"> </w:t>
            </w:r>
            <w:r w:rsidRPr="00FE6AC6">
              <w:rPr>
                <w:color w:val="000000"/>
                <w:szCs w:val="22"/>
                <w:lang w:val="bg-BG"/>
              </w:rPr>
              <w:t>булозни ерупции</w:t>
            </w:r>
          </w:p>
        </w:tc>
      </w:tr>
      <w:tr w:rsidR="001B628D" w:rsidRPr="00FE6AC6" w14:paraId="3E5502EB" w14:textId="77777777" w:rsidTr="008143B1">
        <w:trPr>
          <w:cantSplit/>
        </w:trPr>
        <w:tc>
          <w:tcPr>
            <w:tcW w:w="2235" w:type="dxa"/>
          </w:tcPr>
          <w:p w14:paraId="3E5502E9" w14:textId="77777777" w:rsidR="001B628D" w:rsidRPr="00FE6AC6" w:rsidRDefault="001B628D" w:rsidP="0063575E">
            <w:pPr>
              <w:keepNext/>
              <w:widowControl w:val="0"/>
              <w:spacing w:line="240" w:lineRule="auto"/>
              <w:rPr>
                <w:color w:val="000000"/>
              </w:rPr>
            </w:pPr>
            <w:r w:rsidRPr="00FE6AC6">
              <w:rPr>
                <w:i/>
                <w:color w:val="000000"/>
                <w:szCs w:val="22"/>
                <w:lang w:val="bg-BG"/>
              </w:rPr>
              <w:t>Редки</w:t>
            </w:r>
            <w:r w:rsidRPr="00FE6AC6">
              <w:rPr>
                <w:i/>
                <w:color w:val="000000"/>
                <w:szCs w:val="22"/>
              </w:rPr>
              <w:t>:</w:t>
            </w:r>
          </w:p>
        </w:tc>
        <w:tc>
          <w:tcPr>
            <w:tcW w:w="7087" w:type="dxa"/>
          </w:tcPr>
          <w:p w14:paraId="3E5502EA" w14:textId="77777777" w:rsidR="001B628D" w:rsidRPr="00FE6AC6" w:rsidRDefault="001B628D" w:rsidP="0063575E">
            <w:pPr>
              <w:keepNext/>
              <w:widowControl w:val="0"/>
              <w:spacing w:line="240" w:lineRule="auto"/>
              <w:rPr>
                <w:color w:val="000000"/>
                <w:lang w:val="en-US"/>
              </w:rPr>
            </w:pPr>
            <w:r w:rsidRPr="00FE6AC6">
              <w:rPr>
                <w:color w:val="000000"/>
                <w:szCs w:val="22"/>
                <w:lang w:val="bg-BG"/>
              </w:rPr>
              <w:t>Остра фебрилна неутрофилна дерматоза</w:t>
            </w:r>
            <w:r w:rsidRPr="00FE6AC6">
              <w:rPr>
                <w:color w:val="000000"/>
                <w:szCs w:val="22"/>
              </w:rPr>
              <w:t xml:space="preserve"> (</w:t>
            </w:r>
            <w:r w:rsidRPr="00FE6AC6">
              <w:rPr>
                <w:color w:val="000000"/>
                <w:szCs w:val="22"/>
                <w:lang w:val="bg-BG"/>
              </w:rPr>
              <w:t xml:space="preserve">синдром на </w:t>
            </w:r>
            <w:r w:rsidRPr="00FE6AC6">
              <w:rPr>
                <w:color w:val="000000"/>
                <w:szCs w:val="22"/>
              </w:rPr>
              <w:t>Sweet</w:t>
            </w:r>
            <w:r w:rsidRPr="00FE6AC6">
              <w:rPr>
                <w:color w:val="000000"/>
                <w:szCs w:val="22"/>
                <w:lang w:val="bg-BG"/>
              </w:rPr>
              <w:t>)</w:t>
            </w:r>
            <w:r w:rsidRPr="00FE6AC6">
              <w:rPr>
                <w:color w:val="000000"/>
                <w:szCs w:val="22"/>
              </w:rPr>
              <w:t xml:space="preserve">, </w:t>
            </w:r>
            <w:r w:rsidRPr="00FE6AC6">
              <w:rPr>
                <w:color w:val="000000"/>
                <w:szCs w:val="22"/>
                <w:lang w:val="bg-BG"/>
              </w:rPr>
              <w:t>обезцветяване</w:t>
            </w:r>
            <w:r w:rsidRPr="00FE6AC6">
              <w:rPr>
                <w:color w:val="000000"/>
                <w:szCs w:val="22"/>
                <w:lang w:val="pt-PT"/>
              </w:rPr>
              <w:t xml:space="preserve"> на</w:t>
            </w:r>
            <w:r w:rsidRPr="00FE6AC6">
              <w:rPr>
                <w:color w:val="000000"/>
                <w:szCs w:val="22"/>
              </w:rPr>
              <w:t xml:space="preserve"> </w:t>
            </w:r>
            <w:r w:rsidRPr="00FE6AC6">
              <w:rPr>
                <w:color w:val="000000"/>
                <w:szCs w:val="22"/>
                <w:lang w:val="pt-PT"/>
              </w:rPr>
              <w:t>нокт</w:t>
            </w:r>
            <w:r w:rsidRPr="00FE6AC6">
              <w:rPr>
                <w:color w:val="000000"/>
                <w:szCs w:val="22"/>
                <w:lang w:val="bg-BG"/>
              </w:rPr>
              <w:t>и</w:t>
            </w:r>
            <w:r w:rsidRPr="00FE6AC6">
              <w:rPr>
                <w:color w:val="000000"/>
                <w:szCs w:val="22"/>
                <w:lang w:val="pt-PT"/>
              </w:rPr>
              <w:t>те</w:t>
            </w:r>
            <w:r w:rsidRPr="00FE6AC6">
              <w:rPr>
                <w:color w:val="000000"/>
                <w:szCs w:val="22"/>
              </w:rPr>
              <w:t xml:space="preserve">, </w:t>
            </w:r>
            <w:r w:rsidRPr="00FE6AC6">
              <w:rPr>
                <w:color w:val="000000"/>
                <w:szCs w:val="22"/>
                <w:lang w:val="bg-BG"/>
              </w:rPr>
              <w:t>ангионевротичен едем</w:t>
            </w:r>
            <w:r w:rsidRPr="00FE6AC6">
              <w:rPr>
                <w:color w:val="000000"/>
                <w:szCs w:val="22"/>
              </w:rPr>
              <w:t xml:space="preserve">, </w:t>
            </w:r>
            <w:r w:rsidRPr="00FE6AC6">
              <w:rPr>
                <w:color w:val="000000"/>
                <w:szCs w:val="22"/>
                <w:lang w:val="bg-BG"/>
              </w:rPr>
              <w:t>везикулозен обрив</w:t>
            </w:r>
            <w:r w:rsidRPr="00FE6AC6">
              <w:rPr>
                <w:color w:val="000000"/>
                <w:szCs w:val="22"/>
              </w:rPr>
              <w:t xml:space="preserve">, </w:t>
            </w:r>
            <w:r w:rsidRPr="00FE6AC6">
              <w:rPr>
                <w:color w:val="000000"/>
                <w:szCs w:val="22"/>
                <w:lang w:val="bg-BG"/>
              </w:rPr>
              <w:t>еритема мултиформе</w:t>
            </w:r>
            <w:r w:rsidRPr="00FE6AC6">
              <w:rPr>
                <w:color w:val="000000"/>
                <w:szCs w:val="22"/>
              </w:rPr>
              <w:t xml:space="preserve">, </w:t>
            </w:r>
            <w:r w:rsidRPr="00FE6AC6">
              <w:rPr>
                <w:color w:val="000000"/>
                <w:szCs w:val="22"/>
                <w:lang w:val="bg-BG"/>
              </w:rPr>
              <w:t>левкоцитокластичен васкулит</w:t>
            </w:r>
            <w:r w:rsidRPr="00FE6AC6">
              <w:rPr>
                <w:color w:val="000000"/>
                <w:szCs w:val="22"/>
              </w:rPr>
              <w:t xml:space="preserve">, </w:t>
            </w:r>
            <w:r w:rsidRPr="00FE6AC6">
              <w:rPr>
                <w:color w:val="000000"/>
                <w:szCs w:val="22"/>
                <w:lang w:val="bg-BG"/>
              </w:rPr>
              <w:t xml:space="preserve">синдром на </w:t>
            </w:r>
            <w:r w:rsidRPr="00FE6AC6">
              <w:rPr>
                <w:color w:val="000000"/>
                <w:szCs w:val="22"/>
              </w:rPr>
              <w:t>Stevens-Johnson</w:t>
            </w:r>
            <w:r w:rsidRPr="00FE6AC6">
              <w:rPr>
                <w:color w:val="000000"/>
                <w:szCs w:val="22"/>
                <w:lang w:val="bg-BG"/>
              </w:rPr>
              <w:t xml:space="preserve">, остра генерализирана екзантематозна пустулоза </w:t>
            </w:r>
            <w:r w:rsidRPr="00FE6AC6">
              <w:rPr>
                <w:color w:val="000000"/>
                <w:szCs w:val="22"/>
                <w:lang w:val="en-US"/>
              </w:rPr>
              <w:t>(AGEP)</w:t>
            </w:r>
          </w:p>
        </w:tc>
      </w:tr>
      <w:tr w:rsidR="00690E0A" w:rsidRPr="004015AA" w14:paraId="3E5502EE" w14:textId="77777777" w:rsidTr="008143B1">
        <w:trPr>
          <w:cantSplit/>
        </w:trPr>
        <w:tc>
          <w:tcPr>
            <w:tcW w:w="2235" w:type="dxa"/>
          </w:tcPr>
          <w:p w14:paraId="3E5502EC" w14:textId="77777777" w:rsidR="00690E0A" w:rsidRPr="00FE6AC6" w:rsidRDefault="00690E0A"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ED" w14:textId="77777777" w:rsidR="00690E0A" w:rsidRPr="00FE6AC6" w:rsidRDefault="00690E0A" w:rsidP="0063575E">
            <w:pPr>
              <w:widowControl w:val="0"/>
              <w:spacing w:line="240" w:lineRule="auto"/>
              <w:rPr>
                <w:color w:val="000000"/>
                <w:szCs w:val="22"/>
                <w:lang w:val="bg-BG"/>
              </w:rPr>
            </w:pPr>
            <w:r w:rsidRPr="00FE6AC6">
              <w:rPr>
                <w:color w:val="000000"/>
                <w:szCs w:val="22"/>
                <w:lang w:val="bg-BG"/>
              </w:rPr>
              <w:t>Синдром на палмарно-плантарна еритродистезия*, лихеноидна кератоза*, лихен планус*, токсична епидермална некролиза*, лекарствен обрив с еозинофилия и системни симптоми (DRESS)*</w:t>
            </w:r>
            <w:r w:rsidR="00DF7592" w:rsidRPr="00FE6AC6">
              <w:rPr>
                <w:color w:val="000000"/>
                <w:szCs w:val="22"/>
                <w:lang w:val="bg-BG"/>
              </w:rPr>
              <w:t>, псевдопорфирия*</w:t>
            </w:r>
          </w:p>
        </w:tc>
      </w:tr>
      <w:tr w:rsidR="001B628D" w:rsidRPr="004015AA" w14:paraId="3E5502F0" w14:textId="77777777" w:rsidTr="008143B1">
        <w:trPr>
          <w:cantSplit/>
        </w:trPr>
        <w:tc>
          <w:tcPr>
            <w:tcW w:w="9322" w:type="dxa"/>
            <w:gridSpan w:val="2"/>
          </w:tcPr>
          <w:p w14:paraId="3E5502EF" w14:textId="77777777" w:rsidR="001B628D" w:rsidRPr="00FE6AC6" w:rsidRDefault="001B628D" w:rsidP="0063575E">
            <w:pPr>
              <w:keepNext/>
              <w:widowControl w:val="0"/>
              <w:spacing w:line="240" w:lineRule="auto"/>
              <w:rPr>
                <w:color w:val="000000"/>
                <w:szCs w:val="22"/>
                <w:lang w:val="ru-RU"/>
              </w:rPr>
            </w:pPr>
            <w:r w:rsidRPr="00FE6AC6">
              <w:rPr>
                <w:b/>
                <w:color w:val="000000"/>
                <w:szCs w:val="22"/>
                <w:lang w:val="ru-RU"/>
              </w:rPr>
              <w:t>Нарушения на мускулно-скелетната система и съединителната тъкан</w:t>
            </w:r>
          </w:p>
        </w:tc>
      </w:tr>
      <w:tr w:rsidR="001B628D" w:rsidRPr="00FE6AC6" w14:paraId="3E5502F3" w14:textId="77777777" w:rsidTr="008143B1">
        <w:trPr>
          <w:cantSplit/>
        </w:trPr>
        <w:tc>
          <w:tcPr>
            <w:tcW w:w="2235" w:type="dxa"/>
          </w:tcPr>
          <w:p w14:paraId="3E5502F1"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Много чести</w:t>
            </w:r>
            <w:r w:rsidRPr="00FE6AC6">
              <w:rPr>
                <w:i/>
                <w:color w:val="000000"/>
                <w:szCs w:val="22"/>
              </w:rPr>
              <w:t>:</w:t>
            </w:r>
          </w:p>
        </w:tc>
        <w:tc>
          <w:tcPr>
            <w:tcW w:w="7087" w:type="dxa"/>
          </w:tcPr>
          <w:p w14:paraId="3E5502F2" w14:textId="77777777" w:rsidR="001B628D" w:rsidRPr="00FE6AC6" w:rsidRDefault="001B628D" w:rsidP="0063575E">
            <w:pPr>
              <w:keepNext/>
              <w:widowControl w:val="0"/>
              <w:spacing w:line="240" w:lineRule="auto"/>
              <w:rPr>
                <w:color w:val="000000"/>
                <w:szCs w:val="22"/>
                <w:lang w:val="ru-RU"/>
              </w:rPr>
            </w:pPr>
            <w:r w:rsidRPr="00FE6AC6">
              <w:rPr>
                <w:color w:val="000000"/>
                <w:szCs w:val="22"/>
                <w:lang w:val="bg-BG"/>
              </w:rPr>
              <w:t>Мускулни спазми и крампи</w:t>
            </w:r>
            <w:r w:rsidRPr="00FE6AC6">
              <w:rPr>
                <w:color w:val="000000"/>
                <w:szCs w:val="22"/>
                <w:lang w:val="ru-RU"/>
              </w:rPr>
              <w:t xml:space="preserve">, </w:t>
            </w:r>
            <w:r w:rsidRPr="00FE6AC6">
              <w:rPr>
                <w:color w:val="000000"/>
                <w:szCs w:val="22"/>
                <w:lang w:val="bg-BG"/>
              </w:rPr>
              <w:t>мускулно-скелетна болка включително миалгия</w:t>
            </w:r>
            <w:r w:rsidR="0096457B" w:rsidRPr="00FE6AC6">
              <w:rPr>
                <w:color w:val="000000"/>
                <w:szCs w:val="22"/>
                <w:vertAlign w:val="superscript"/>
              </w:rPr>
              <w:t>9</w:t>
            </w:r>
            <w:r w:rsidRPr="00FE6AC6">
              <w:rPr>
                <w:color w:val="000000"/>
                <w:szCs w:val="22"/>
                <w:lang w:val="bg-BG"/>
              </w:rPr>
              <w:t>, артралгия, болка в костите</w:t>
            </w:r>
            <w:r w:rsidR="0096457B" w:rsidRPr="00FE6AC6">
              <w:rPr>
                <w:color w:val="000000"/>
                <w:szCs w:val="22"/>
                <w:vertAlign w:val="superscript"/>
                <w:lang w:val="ru-RU"/>
              </w:rPr>
              <w:t>10</w:t>
            </w:r>
          </w:p>
        </w:tc>
      </w:tr>
      <w:tr w:rsidR="001B628D" w:rsidRPr="00FE6AC6" w14:paraId="3E5502F6" w14:textId="77777777" w:rsidTr="008143B1">
        <w:trPr>
          <w:cantSplit/>
        </w:trPr>
        <w:tc>
          <w:tcPr>
            <w:tcW w:w="2235" w:type="dxa"/>
          </w:tcPr>
          <w:p w14:paraId="3E5502F4" w14:textId="77777777" w:rsidR="001B628D" w:rsidRPr="00FE6AC6" w:rsidRDefault="001B628D" w:rsidP="0063575E">
            <w:pPr>
              <w:keepNext/>
              <w:widowControl w:val="0"/>
              <w:spacing w:line="240" w:lineRule="auto"/>
              <w:rPr>
                <w:i/>
                <w:color w:val="000000"/>
                <w:szCs w:val="22"/>
              </w:rPr>
            </w:pPr>
            <w:r w:rsidRPr="00FE6AC6">
              <w:rPr>
                <w:i/>
                <w:color w:val="000000"/>
                <w:szCs w:val="22"/>
                <w:lang w:val="ru-RU"/>
              </w:rPr>
              <w:t>Чести</w:t>
            </w:r>
            <w:r w:rsidRPr="00FE6AC6">
              <w:rPr>
                <w:i/>
                <w:color w:val="000000"/>
                <w:szCs w:val="22"/>
              </w:rPr>
              <w:t>:</w:t>
            </w:r>
          </w:p>
        </w:tc>
        <w:tc>
          <w:tcPr>
            <w:tcW w:w="7087" w:type="dxa"/>
          </w:tcPr>
          <w:p w14:paraId="3E5502F5" w14:textId="77777777" w:rsidR="001B628D" w:rsidRPr="00FE6AC6" w:rsidRDefault="001B628D" w:rsidP="0063575E">
            <w:pPr>
              <w:keepNext/>
              <w:widowControl w:val="0"/>
              <w:spacing w:line="240" w:lineRule="auto"/>
              <w:rPr>
                <w:color w:val="000000"/>
                <w:szCs w:val="22"/>
                <w:lang w:val="pt-PT"/>
              </w:rPr>
            </w:pPr>
            <w:r w:rsidRPr="00FE6AC6">
              <w:rPr>
                <w:color w:val="000000"/>
                <w:szCs w:val="22"/>
                <w:lang w:val="bg-BG"/>
              </w:rPr>
              <w:t>Оток на ставите</w:t>
            </w:r>
          </w:p>
        </w:tc>
      </w:tr>
      <w:tr w:rsidR="001B628D" w:rsidRPr="00FE6AC6" w14:paraId="3E5502F9" w14:textId="77777777" w:rsidTr="008143B1">
        <w:trPr>
          <w:cantSplit/>
        </w:trPr>
        <w:tc>
          <w:tcPr>
            <w:tcW w:w="2235" w:type="dxa"/>
          </w:tcPr>
          <w:p w14:paraId="3E5502F7"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502F8" w14:textId="77777777" w:rsidR="001B628D" w:rsidRPr="00FE6AC6" w:rsidRDefault="001B628D" w:rsidP="0063575E">
            <w:pPr>
              <w:keepNext/>
              <w:widowControl w:val="0"/>
              <w:spacing w:line="240" w:lineRule="auto"/>
              <w:rPr>
                <w:color w:val="000000"/>
                <w:szCs w:val="22"/>
                <w:lang w:val="pt-PT"/>
              </w:rPr>
            </w:pPr>
            <w:r w:rsidRPr="00FE6AC6">
              <w:rPr>
                <w:color w:val="000000"/>
                <w:szCs w:val="22"/>
                <w:lang w:val="bg-BG"/>
              </w:rPr>
              <w:t>Ставна и мускулна скованост</w:t>
            </w:r>
          </w:p>
        </w:tc>
      </w:tr>
      <w:tr w:rsidR="001B628D" w:rsidRPr="00FE6AC6" w14:paraId="3E5502FC" w14:textId="77777777" w:rsidTr="008143B1">
        <w:trPr>
          <w:cantSplit/>
        </w:trPr>
        <w:tc>
          <w:tcPr>
            <w:tcW w:w="2235" w:type="dxa"/>
          </w:tcPr>
          <w:p w14:paraId="3E5502FA"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502FB" w14:textId="77777777" w:rsidR="001B628D" w:rsidRPr="00FE6AC6" w:rsidRDefault="001B628D" w:rsidP="0063575E">
            <w:pPr>
              <w:keepNext/>
              <w:widowControl w:val="0"/>
              <w:spacing w:line="240" w:lineRule="auto"/>
              <w:rPr>
                <w:color w:val="000000"/>
                <w:szCs w:val="22"/>
                <w:lang w:val="ru-RU"/>
              </w:rPr>
            </w:pPr>
            <w:r w:rsidRPr="00FE6AC6">
              <w:rPr>
                <w:bCs/>
                <w:color w:val="000000"/>
                <w:szCs w:val="22"/>
                <w:lang w:val="bg-BG"/>
              </w:rPr>
              <w:t>Мускулна слабост</w:t>
            </w:r>
            <w:r w:rsidRPr="00FE6AC6">
              <w:rPr>
                <w:bCs/>
                <w:color w:val="000000"/>
                <w:szCs w:val="22"/>
                <w:lang w:val="ru-RU"/>
              </w:rPr>
              <w:t xml:space="preserve">, </w:t>
            </w:r>
            <w:r w:rsidRPr="00FE6AC6">
              <w:rPr>
                <w:bCs/>
                <w:color w:val="000000"/>
                <w:szCs w:val="22"/>
                <w:lang w:val="bg-BG"/>
              </w:rPr>
              <w:t>артрит, рабдомиолиза/миопатия</w:t>
            </w:r>
          </w:p>
        </w:tc>
      </w:tr>
      <w:tr w:rsidR="00690E0A" w:rsidRPr="004015AA" w14:paraId="3E5502FF" w14:textId="77777777" w:rsidTr="008143B1">
        <w:trPr>
          <w:cantSplit/>
        </w:trPr>
        <w:tc>
          <w:tcPr>
            <w:tcW w:w="2235" w:type="dxa"/>
          </w:tcPr>
          <w:p w14:paraId="3E5502FD" w14:textId="77777777" w:rsidR="00690E0A" w:rsidRPr="00FE6AC6" w:rsidRDefault="00690E0A"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2FE" w14:textId="77777777" w:rsidR="00690E0A" w:rsidRPr="00FE6AC6" w:rsidRDefault="00690E0A" w:rsidP="0063575E">
            <w:pPr>
              <w:widowControl w:val="0"/>
              <w:spacing w:line="240" w:lineRule="auto"/>
              <w:rPr>
                <w:bCs/>
                <w:color w:val="000000"/>
                <w:szCs w:val="22"/>
                <w:lang w:val="bg-BG"/>
              </w:rPr>
            </w:pPr>
            <w:r w:rsidRPr="00FE6AC6">
              <w:rPr>
                <w:color w:val="000000"/>
                <w:szCs w:val="22"/>
                <w:lang w:val="bg-BG"/>
              </w:rPr>
              <w:t>Аваскуларна некроза/некроза на бедрената кост*, изоставане в растежа при деца*</w:t>
            </w:r>
          </w:p>
        </w:tc>
      </w:tr>
      <w:tr w:rsidR="001B628D" w:rsidRPr="004015AA" w14:paraId="3E550301" w14:textId="77777777" w:rsidTr="008143B1">
        <w:trPr>
          <w:cantSplit/>
        </w:trPr>
        <w:tc>
          <w:tcPr>
            <w:tcW w:w="9322" w:type="dxa"/>
            <w:gridSpan w:val="2"/>
          </w:tcPr>
          <w:p w14:paraId="3E550300" w14:textId="77777777" w:rsidR="001B628D" w:rsidRPr="00FE6AC6" w:rsidRDefault="001B628D" w:rsidP="0063575E">
            <w:pPr>
              <w:keepNext/>
              <w:widowControl w:val="0"/>
              <w:spacing w:line="240" w:lineRule="auto"/>
              <w:rPr>
                <w:b/>
                <w:color w:val="000000"/>
                <w:szCs w:val="22"/>
                <w:lang w:val="ru-RU"/>
              </w:rPr>
            </w:pPr>
            <w:r w:rsidRPr="00FE6AC6">
              <w:rPr>
                <w:b/>
                <w:color w:val="000000"/>
                <w:szCs w:val="22"/>
                <w:lang w:val="ru-RU"/>
              </w:rPr>
              <w:t>Нарушения на бъбреците и пикочните пътища</w:t>
            </w:r>
          </w:p>
        </w:tc>
      </w:tr>
      <w:tr w:rsidR="001B628D" w:rsidRPr="00FE6AC6" w14:paraId="3E550304" w14:textId="77777777" w:rsidTr="008143B1">
        <w:trPr>
          <w:cantSplit/>
        </w:trPr>
        <w:tc>
          <w:tcPr>
            <w:tcW w:w="2235" w:type="dxa"/>
          </w:tcPr>
          <w:p w14:paraId="3E550302"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i/>
                <w:color w:val="000000"/>
                <w:szCs w:val="22"/>
              </w:rPr>
              <w:t>:</w:t>
            </w:r>
          </w:p>
        </w:tc>
        <w:tc>
          <w:tcPr>
            <w:tcW w:w="7087" w:type="dxa"/>
          </w:tcPr>
          <w:p w14:paraId="3E550303"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Бъбречна болка</w:t>
            </w:r>
            <w:r w:rsidRPr="00FE6AC6">
              <w:rPr>
                <w:color w:val="000000"/>
                <w:szCs w:val="22"/>
                <w:lang w:val="ru-RU"/>
              </w:rPr>
              <w:t xml:space="preserve">, </w:t>
            </w:r>
            <w:r w:rsidRPr="00FE6AC6">
              <w:rPr>
                <w:color w:val="000000"/>
                <w:szCs w:val="22"/>
                <w:lang w:val="bg-BG"/>
              </w:rPr>
              <w:t>хематурия</w:t>
            </w:r>
            <w:r w:rsidRPr="00FE6AC6">
              <w:rPr>
                <w:color w:val="000000"/>
                <w:szCs w:val="22"/>
                <w:lang w:val="ru-RU"/>
              </w:rPr>
              <w:t xml:space="preserve">, </w:t>
            </w:r>
            <w:r w:rsidRPr="00FE6AC6">
              <w:rPr>
                <w:color w:val="000000"/>
                <w:szCs w:val="22"/>
                <w:lang w:val="bg-BG"/>
              </w:rPr>
              <w:t>остра бъбречна недостатъчност</w:t>
            </w:r>
            <w:r w:rsidRPr="00FE6AC6">
              <w:rPr>
                <w:color w:val="000000"/>
                <w:szCs w:val="22"/>
                <w:lang w:val="ru-RU"/>
              </w:rPr>
              <w:t>, повишена</w:t>
            </w:r>
            <w:r w:rsidRPr="00FE6AC6">
              <w:rPr>
                <w:color w:val="000000"/>
                <w:szCs w:val="22"/>
                <w:lang w:val="bg-BG"/>
              </w:rPr>
              <w:t xml:space="preserve"> честота на уриниране</w:t>
            </w:r>
          </w:p>
        </w:tc>
      </w:tr>
      <w:tr w:rsidR="00524E38" w:rsidRPr="00FE6AC6" w14:paraId="3E550307" w14:textId="77777777" w:rsidTr="008143B1">
        <w:trPr>
          <w:cantSplit/>
        </w:trPr>
        <w:tc>
          <w:tcPr>
            <w:tcW w:w="2235" w:type="dxa"/>
          </w:tcPr>
          <w:p w14:paraId="3E550305" w14:textId="77777777" w:rsidR="00524E38" w:rsidRPr="00FE6AC6" w:rsidRDefault="00524E38" w:rsidP="0063575E">
            <w:pPr>
              <w:widowControl w:val="0"/>
              <w:spacing w:line="240" w:lineRule="auto"/>
              <w:rPr>
                <w:i/>
                <w:color w:val="000000"/>
                <w:szCs w:val="22"/>
                <w:lang w:val="bg-BG"/>
              </w:rPr>
            </w:pPr>
            <w:r w:rsidRPr="00FE6AC6">
              <w:rPr>
                <w:i/>
                <w:color w:val="000000"/>
                <w:szCs w:val="22"/>
                <w:lang w:val="bg-BG"/>
              </w:rPr>
              <w:t>С неизвестна честота:</w:t>
            </w:r>
          </w:p>
        </w:tc>
        <w:tc>
          <w:tcPr>
            <w:tcW w:w="7087" w:type="dxa"/>
          </w:tcPr>
          <w:p w14:paraId="3E550306" w14:textId="77777777" w:rsidR="00524E38" w:rsidRPr="00FE6AC6" w:rsidRDefault="00524E38" w:rsidP="0063575E">
            <w:pPr>
              <w:widowControl w:val="0"/>
              <w:spacing w:line="240" w:lineRule="auto"/>
              <w:rPr>
                <w:color w:val="000000"/>
                <w:szCs w:val="22"/>
                <w:lang w:val="bg-BG"/>
              </w:rPr>
            </w:pPr>
            <w:r w:rsidRPr="00FE6AC6">
              <w:rPr>
                <w:color w:val="000000"/>
                <w:szCs w:val="22"/>
                <w:lang w:val="bg-BG"/>
              </w:rPr>
              <w:t>Хронична бъбречна недостатъчност</w:t>
            </w:r>
          </w:p>
        </w:tc>
      </w:tr>
      <w:tr w:rsidR="001B628D" w:rsidRPr="00FE6AC6" w14:paraId="3E550309" w14:textId="77777777" w:rsidTr="008143B1">
        <w:trPr>
          <w:cantSplit/>
        </w:trPr>
        <w:tc>
          <w:tcPr>
            <w:tcW w:w="9322" w:type="dxa"/>
            <w:gridSpan w:val="2"/>
          </w:tcPr>
          <w:p w14:paraId="3E550308" w14:textId="77777777" w:rsidR="001B628D" w:rsidRPr="00FE6AC6" w:rsidRDefault="001B628D" w:rsidP="0063575E">
            <w:pPr>
              <w:keepNext/>
              <w:widowControl w:val="0"/>
              <w:spacing w:line="240" w:lineRule="auto"/>
              <w:rPr>
                <w:color w:val="000000"/>
                <w:szCs w:val="22"/>
                <w:lang w:val="ru-RU"/>
              </w:rPr>
            </w:pPr>
            <w:r w:rsidRPr="00FE6AC6">
              <w:rPr>
                <w:b/>
                <w:color w:val="000000"/>
                <w:szCs w:val="22"/>
                <w:lang w:val="ru-RU"/>
              </w:rPr>
              <w:t>Нарушения на възпроизводителната система и гърдата</w:t>
            </w:r>
          </w:p>
        </w:tc>
      </w:tr>
      <w:tr w:rsidR="001B628D" w:rsidRPr="00FE6AC6" w14:paraId="3E55030C" w14:textId="77777777" w:rsidTr="008143B1">
        <w:trPr>
          <w:cantSplit/>
        </w:trPr>
        <w:tc>
          <w:tcPr>
            <w:tcW w:w="2235" w:type="dxa"/>
          </w:tcPr>
          <w:p w14:paraId="3E55030A"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5030B" w14:textId="77777777" w:rsidR="001B628D" w:rsidRPr="00FE6AC6" w:rsidRDefault="001B628D" w:rsidP="0063575E">
            <w:pPr>
              <w:keepNext/>
              <w:widowControl w:val="0"/>
              <w:spacing w:line="240" w:lineRule="auto"/>
              <w:rPr>
                <w:color w:val="000000"/>
                <w:szCs w:val="22"/>
                <w:lang w:val="ru-RU"/>
              </w:rPr>
            </w:pPr>
            <w:r w:rsidRPr="00FE6AC6">
              <w:rPr>
                <w:color w:val="000000"/>
                <w:szCs w:val="22"/>
                <w:lang w:val="bg-BG"/>
              </w:rPr>
              <w:t>Гинекомастия</w:t>
            </w:r>
            <w:r w:rsidRPr="00FE6AC6">
              <w:rPr>
                <w:color w:val="000000"/>
                <w:szCs w:val="22"/>
                <w:lang w:val="ru-RU"/>
              </w:rPr>
              <w:t xml:space="preserve">, </w:t>
            </w:r>
            <w:r w:rsidRPr="00FE6AC6">
              <w:rPr>
                <w:color w:val="000000"/>
                <w:szCs w:val="22"/>
                <w:lang w:val="bg-BG"/>
              </w:rPr>
              <w:t>еректилна дисфункция</w:t>
            </w:r>
            <w:r w:rsidRPr="00FE6AC6">
              <w:rPr>
                <w:color w:val="000000"/>
                <w:szCs w:val="22"/>
                <w:lang w:val="ru-RU"/>
              </w:rPr>
              <w:t xml:space="preserve">, </w:t>
            </w:r>
            <w:r w:rsidRPr="00FE6AC6">
              <w:rPr>
                <w:color w:val="000000"/>
                <w:szCs w:val="22"/>
                <w:lang w:val="bg-BG"/>
              </w:rPr>
              <w:t>менорагия</w:t>
            </w:r>
            <w:r w:rsidRPr="00FE6AC6">
              <w:rPr>
                <w:color w:val="000000"/>
                <w:szCs w:val="22"/>
                <w:lang w:val="ru-RU"/>
              </w:rPr>
              <w:t xml:space="preserve">, </w:t>
            </w:r>
            <w:r w:rsidRPr="00FE6AC6">
              <w:rPr>
                <w:color w:val="000000"/>
                <w:szCs w:val="22"/>
                <w:lang w:val="bg-BG"/>
              </w:rPr>
              <w:t>нередовна менструация</w:t>
            </w:r>
            <w:r w:rsidRPr="00FE6AC6">
              <w:rPr>
                <w:color w:val="000000"/>
                <w:szCs w:val="22"/>
                <w:lang w:val="ru-RU"/>
              </w:rPr>
              <w:t xml:space="preserve">, </w:t>
            </w:r>
            <w:r w:rsidRPr="00FE6AC6">
              <w:rPr>
                <w:color w:val="000000"/>
                <w:szCs w:val="22"/>
                <w:lang w:val="bg-BG"/>
              </w:rPr>
              <w:t>сексуална дисфункция</w:t>
            </w:r>
            <w:r w:rsidRPr="00FE6AC6">
              <w:rPr>
                <w:color w:val="000000"/>
                <w:szCs w:val="22"/>
                <w:lang w:val="ru-RU"/>
              </w:rPr>
              <w:t xml:space="preserve">, </w:t>
            </w:r>
            <w:r w:rsidRPr="00FE6AC6">
              <w:rPr>
                <w:color w:val="000000"/>
                <w:szCs w:val="22"/>
                <w:lang w:val="bg-BG"/>
              </w:rPr>
              <w:t>болка в гръдното зърно</w:t>
            </w:r>
            <w:r w:rsidRPr="00FE6AC6">
              <w:rPr>
                <w:color w:val="000000"/>
                <w:szCs w:val="22"/>
                <w:lang w:val="ru-RU"/>
              </w:rPr>
              <w:t xml:space="preserve">, </w:t>
            </w:r>
            <w:r w:rsidRPr="00FE6AC6">
              <w:rPr>
                <w:color w:val="000000"/>
                <w:szCs w:val="22"/>
                <w:lang w:val="bg-BG"/>
              </w:rPr>
              <w:t>уголемяване на млечната жлеза</w:t>
            </w:r>
            <w:r w:rsidRPr="00FE6AC6">
              <w:rPr>
                <w:color w:val="000000"/>
                <w:szCs w:val="22"/>
                <w:lang w:val="ru-RU"/>
              </w:rPr>
              <w:t xml:space="preserve">, </w:t>
            </w:r>
            <w:r w:rsidRPr="00FE6AC6">
              <w:rPr>
                <w:color w:val="000000"/>
                <w:szCs w:val="22"/>
                <w:lang w:val="bg-BG"/>
              </w:rPr>
              <w:t>скротален оток</w:t>
            </w:r>
          </w:p>
        </w:tc>
      </w:tr>
      <w:tr w:rsidR="001B628D" w:rsidRPr="004015AA" w14:paraId="3E55030F" w14:textId="77777777" w:rsidTr="008143B1">
        <w:trPr>
          <w:cantSplit/>
        </w:trPr>
        <w:tc>
          <w:tcPr>
            <w:tcW w:w="2235" w:type="dxa"/>
          </w:tcPr>
          <w:p w14:paraId="3E55030D" w14:textId="77777777" w:rsidR="001B628D" w:rsidRPr="00FE6AC6" w:rsidRDefault="001B628D" w:rsidP="0063575E">
            <w:pPr>
              <w:widowControl w:val="0"/>
              <w:spacing w:line="240" w:lineRule="auto"/>
              <w:rPr>
                <w:i/>
                <w:color w:val="000000"/>
                <w:szCs w:val="22"/>
                <w:lang w:val="bg-BG"/>
              </w:rPr>
            </w:pPr>
            <w:r w:rsidRPr="00FE6AC6">
              <w:rPr>
                <w:i/>
                <w:color w:val="000000"/>
                <w:szCs w:val="22"/>
                <w:lang w:val="bg-BG"/>
              </w:rPr>
              <w:t>Редки:</w:t>
            </w:r>
          </w:p>
        </w:tc>
        <w:tc>
          <w:tcPr>
            <w:tcW w:w="7087" w:type="dxa"/>
          </w:tcPr>
          <w:p w14:paraId="3E55030E" w14:textId="77777777" w:rsidR="001B628D" w:rsidRPr="00FE6AC6" w:rsidRDefault="001B628D" w:rsidP="0063575E">
            <w:pPr>
              <w:widowControl w:val="0"/>
              <w:spacing w:line="240" w:lineRule="auto"/>
              <w:rPr>
                <w:color w:val="000000"/>
                <w:szCs w:val="22"/>
                <w:lang w:val="bg-BG"/>
              </w:rPr>
            </w:pPr>
            <w:r w:rsidRPr="00FE6AC6">
              <w:rPr>
                <w:color w:val="000000"/>
                <w:szCs w:val="22"/>
                <w:lang w:val="bg-BG"/>
              </w:rPr>
              <w:t>Хеморагичен корпус лутеум/хеморагична овариална киста</w:t>
            </w:r>
          </w:p>
        </w:tc>
      </w:tr>
      <w:tr w:rsidR="001B628D" w:rsidRPr="004015AA" w14:paraId="3E550311" w14:textId="77777777" w:rsidTr="008143B1">
        <w:trPr>
          <w:cantSplit/>
        </w:trPr>
        <w:tc>
          <w:tcPr>
            <w:tcW w:w="9322" w:type="dxa"/>
            <w:gridSpan w:val="2"/>
          </w:tcPr>
          <w:p w14:paraId="3E550310" w14:textId="77777777" w:rsidR="001B628D" w:rsidRPr="00FE6AC6" w:rsidRDefault="001B628D" w:rsidP="0063575E">
            <w:pPr>
              <w:keepNext/>
              <w:widowControl w:val="0"/>
              <w:spacing w:line="240" w:lineRule="auto"/>
              <w:rPr>
                <w:color w:val="000000"/>
                <w:szCs w:val="22"/>
                <w:lang w:val="ru-RU"/>
              </w:rPr>
            </w:pPr>
            <w:r w:rsidRPr="00FE6AC6">
              <w:rPr>
                <w:b/>
                <w:color w:val="000000"/>
                <w:szCs w:val="22"/>
                <w:lang w:val="ru-RU"/>
              </w:rPr>
              <w:t>Общи нарушения и ефекти на мястото на приложение</w:t>
            </w:r>
          </w:p>
        </w:tc>
      </w:tr>
      <w:tr w:rsidR="001B628D" w:rsidRPr="00FE6AC6" w14:paraId="3E550314" w14:textId="77777777" w:rsidTr="008143B1">
        <w:trPr>
          <w:cantSplit/>
        </w:trPr>
        <w:tc>
          <w:tcPr>
            <w:tcW w:w="2235" w:type="dxa"/>
          </w:tcPr>
          <w:p w14:paraId="3E550312"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Много чести</w:t>
            </w:r>
            <w:r w:rsidRPr="00FE6AC6">
              <w:rPr>
                <w:i/>
                <w:color w:val="000000"/>
                <w:szCs w:val="22"/>
              </w:rPr>
              <w:t>:</w:t>
            </w:r>
          </w:p>
        </w:tc>
        <w:tc>
          <w:tcPr>
            <w:tcW w:w="7087" w:type="dxa"/>
          </w:tcPr>
          <w:p w14:paraId="3E550313" w14:textId="77777777" w:rsidR="001B628D" w:rsidRPr="00FE6AC6" w:rsidRDefault="001B628D" w:rsidP="0063575E">
            <w:pPr>
              <w:keepNext/>
              <w:widowControl w:val="0"/>
              <w:spacing w:line="240" w:lineRule="auto"/>
              <w:rPr>
                <w:color w:val="000000"/>
                <w:szCs w:val="22"/>
                <w:lang w:val="ru-RU"/>
              </w:rPr>
            </w:pPr>
            <w:r w:rsidRPr="00FE6AC6">
              <w:rPr>
                <w:color w:val="000000"/>
                <w:szCs w:val="22"/>
                <w:lang w:val="bg-BG"/>
              </w:rPr>
              <w:t>Задръжка на течности и оток</w:t>
            </w:r>
            <w:r w:rsidRPr="00FE6AC6">
              <w:rPr>
                <w:color w:val="000000"/>
                <w:szCs w:val="22"/>
                <w:lang w:val="ru-RU"/>
              </w:rPr>
              <w:t xml:space="preserve">, </w:t>
            </w:r>
            <w:r w:rsidRPr="00FE6AC6">
              <w:rPr>
                <w:color w:val="000000"/>
                <w:szCs w:val="22"/>
                <w:lang w:val="bg-BG"/>
              </w:rPr>
              <w:t>умора</w:t>
            </w:r>
          </w:p>
        </w:tc>
      </w:tr>
      <w:tr w:rsidR="001B628D" w:rsidRPr="00FE6AC6" w14:paraId="3E550317" w14:textId="77777777" w:rsidTr="008143B1">
        <w:trPr>
          <w:cantSplit/>
        </w:trPr>
        <w:tc>
          <w:tcPr>
            <w:tcW w:w="2235" w:type="dxa"/>
          </w:tcPr>
          <w:p w14:paraId="3E550315"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Чести</w:t>
            </w:r>
            <w:r w:rsidRPr="00FE6AC6">
              <w:rPr>
                <w:i/>
                <w:color w:val="000000"/>
                <w:szCs w:val="22"/>
              </w:rPr>
              <w:t>:</w:t>
            </w:r>
          </w:p>
        </w:tc>
        <w:tc>
          <w:tcPr>
            <w:tcW w:w="7087" w:type="dxa"/>
          </w:tcPr>
          <w:p w14:paraId="3E550316" w14:textId="77777777" w:rsidR="001B628D" w:rsidRPr="00FE6AC6" w:rsidRDefault="001B628D" w:rsidP="0063575E">
            <w:pPr>
              <w:keepNext/>
              <w:widowControl w:val="0"/>
              <w:spacing w:line="240" w:lineRule="auto"/>
              <w:rPr>
                <w:color w:val="000000"/>
                <w:szCs w:val="22"/>
                <w:lang w:val="ru-RU"/>
              </w:rPr>
            </w:pPr>
            <w:r w:rsidRPr="00FE6AC6">
              <w:rPr>
                <w:color w:val="000000"/>
                <w:szCs w:val="22"/>
                <w:lang w:val="bg-BG"/>
              </w:rPr>
              <w:t>Слабост</w:t>
            </w:r>
            <w:r w:rsidRPr="00FE6AC6">
              <w:rPr>
                <w:color w:val="000000"/>
                <w:szCs w:val="22"/>
                <w:lang w:val="ru-RU"/>
              </w:rPr>
              <w:t xml:space="preserve">, </w:t>
            </w:r>
            <w:r w:rsidRPr="00FE6AC6">
              <w:rPr>
                <w:color w:val="000000"/>
                <w:szCs w:val="22"/>
                <w:lang w:val="bg-BG"/>
              </w:rPr>
              <w:t>пирексия</w:t>
            </w:r>
            <w:r w:rsidRPr="00FE6AC6">
              <w:rPr>
                <w:color w:val="000000"/>
                <w:szCs w:val="22"/>
                <w:lang w:val="ru-RU"/>
              </w:rPr>
              <w:t xml:space="preserve">, </w:t>
            </w:r>
            <w:r w:rsidRPr="00FE6AC6">
              <w:rPr>
                <w:color w:val="000000"/>
                <w:szCs w:val="22"/>
                <w:lang w:val="bg-BG"/>
              </w:rPr>
              <w:t>аназарка</w:t>
            </w:r>
            <w:r w:rsidRPr="00FE6AC6">
              <w:rPr>
                <w:color w:val="000000"/>
                <w:szCs w:val="22"/>
                <w:lang w:val="ru-RU"/>
              </w:rPr>
              <w:t xml:space="preserve">, </w:t>
            </w:r>
            <w:r w:rsidRPr="00FE6AC6">
              <w:rPr>
                <w:color w:val="000000"/>
                <w:szCs w:val="22"/>
                <w:lang w:val="bg-BG"/>
              </w:rPr>
              <w:t>втрисане</w:t>
            </w:r>
            <w:r w:rsidRPr="00FE6AC6">
              <w:rPr>
                <w:color w:val="000000"/>
                <w:szCs w:val="22"/>
                <w:lang w:val="ru-RU"/>
              </w:rPr>
              <w:t xml:space="preserve">, </w:t>
            </w:r>
            <w:r w:rsidRPr="00FE6AC6">
              <w:rPr>
                <w:color w:val="000000"/>
                <w:szCs w:val="22"/>
                <w:lang w:val="bg-BG"/>
              </w:rPr>
              <w:t>скованост</w:t>
            </w:r>
          </w:p>
        </w:tc>
      </w:tr>
      <w:tr w:rsidR="001B628D" w:rsidRPr="00FE6AC6" w14:paraId="3E55031A" w14:textId="77777777" w:rsidTr="008143B1">
        <w:trPr>
          <w:cantSplit/>
        </w:trPr>
        <w:tc>
          <w:tcPr>
            <w:tcW w:w="2235" w:type="dxa"/>
          </w:tcPr>
          <w:p w14:paraId="3E550318" w14:textId="77777777" w:rsidR="001B628D" w:rsidRPr="00FE6AC6" w:rsidRDefault="001B628D" w:rsidP="0063575E">
            <w:pPr>
              <w:widowControl w:val="0"/>
              <w:spacing w:line="240" w:lineRule="auto"/>
              <w:rPr>
                <w:i/>
                <w:color w:val="000000"/>
                <w:szCs w:val="22"/>
              </w:rPr>
            </w:pPr>
            <w:r w:rsidRPr="00FE6AC6">
              <w:rPr>
                <w:i/>
                <w:color w:val="000000"/>
                <w:szCs w:val="22"/>
                <w:lang w:val="bg-BG"/>
              </w:rPr>
              <w:t>Нечести</w:t>
            </w:r>
            <w:r w:rsidRPr="00FE6AC6">
              <w:rPr>
                <w:i/>
                <w:color w:val="000000"/>
                <w:szCs w:val="22"/>
              </w:rPr>
              <w:t>:</w:t>
            </w:r>
          </w:p>
        </w:tc>
        <w:tc>
          <w:tcPr>
            <w:tcW w:w="7087" w:type="dxa"/>
          </w:tcPr>
          <w:p w14:paraId="3E550319" w14:textId="77777777" w:rsidR="001B628D" w:rsidRPr="00FE6AC6" w:rsidRDefault="001B628D" w:rsidP="0063575E">
            <w:pPr>
              <w:widowControl w:val="0"/>
              <w:spacing w:line="240" w:lineRule="auto"/>
              <w:rPr>
                <w:color w:val="000000"/>
                <w:szCs w:val="22"/>
                <w:lang w:val="bg-BG"/>
              </w:rPr>
            </w:pPr>
            <w:r w:rsidRPr="00FE6AC6">
              <w:rPr>
                <w:color w:val="000000"/>
                <w:szCs w:val="22"/>
                <w:lang w:val="bg-BG"/>
              </w:rPr>
              <w:t>Болка в гърдите</w:t>
            </w:r>
            <w:r w:rsidRPr="00FE6AC6">
              <w:rPr>
                <w:color w:val="000000"/>
                <w:szCs w:val="22"/>
                <w:lang w:val="ru-RU"/>
              </w:rPr>
              <w:t xml:space="preserve">, (физическо) </w:t>
            </w:r>
            <w:r w:rsidRPr="00FE6AC6">
              <w:rPr>
                <w:color w:val="000000"/>
                <w:szCs w:val="22"/>
                <w:lang w:val="bg-BG"/>
              </w:rPr>
              <w:t>неразположение</w:t>
            </w:r>
          </w:p>
        </w:tc>
      </w:tr>
      <w:tr w:rsidR="001B628D" w:rsidRPr="00FE6AC6" w14:paraId="3E55031C" w14:textId="77777777" w:rsidTr="008143B1">
        <w:trPr>
          <w:cantSplit/>
        </w:trPr>
        <w:tc>
          <w:tcPr>
            <w:tcW w:w="9322" w:type="dxa"/>
            <w:gridSpan w:val="2"/>
          </w:tcPr>
          <w:p w14:paraId="3E55031B" w14:textId="77777777" w:rsidR="001B628D" w:rsidRPr="00FE6AC6" w:rsidRDefault="001B628D" w:rsidP="0063575E">
            <w:pPr>
              <w:keepNext/>
              <w:widowControl w:val="0"/>
              <w:spacing w:line="240" w:lineRule="auto"/>
              <w:rPr>
                <w:color w:val="000000"/>
                <w:szCs w:val="22"/>
                <w:lang w:val="bg-BG"/>
              </w:rPr>
            </w:pPr>
            <w:r w:rsidRPr="00FE6AC6">
              <w:rPr>
                <w:b/>
                <w:color w:val="000000"/>
                <w:szCs w:val="22"/>
              </w:rPr>
              <w:t>Изследвания</w:t>
            </w:r>
          </w:p>
        </w:tc>
      </w:tr>
      <w:tr w:rsidR="001B628D" w:rsidRPr="00FE6AC6" w14:paraId="3E55031F" w14:textId="77777777" w:rsidTr="008143B1">
        <w:trPr>
          <w:cantSplit/>
        </w:trPr>
        <w:tc>
          <w:tcPr>
            <w:tcW w:w="2235" w:type="dxa"/>
          </w:tcPr>
          <w:p w14:paraId="3E55031D" w14:textId="77777777" w:rsidR="001B628D" w:rsidRPr="00FE6AC6" w:rsidRDefault="001B628D" w:rsidP="0063575E">
            <w:pPr>
              <w:keepNext/>
              <w:widowControl w:val="0"/>
              <w:spacing w:line="240" w:lineRule="auto"/>
              <w:rPr>
                <w:color w:val="000000"/>
              </w:rPr>
            </w:pPr>
            <w:r w:rsidRPr="00FE6AC6">
              <w:rPr>
                <w:i/>
                <w:color w:val="000000"/>
                <w:szCs w:val="22"/>
                <w:lang w:val="bg-BG"/>
              </w:rPr>
              <w:t>Много чести</w:t>
            </w:r>
            <w:r w:rsidRPr="00FE6AC6">
              <w:rPr>
                <w:i/>
                <w:color w:val="000000"/>
                <w:szCs w:val="22"/>
              </w:rPr>
              <w:t>:</w:t>
            </w:r>
          </w:p>
        </w:tc>
        <w:tc>
          <w:tcPr>
            <w:tcW w:w="7087" w:type="dxa"/>
          </w:tcPr>
          <w:p w14:paraId="3E55031E" w14:textId="77777777" w:rsidR="001B628D" w:rsidRPr="00FE6AC6" w:rsidRDefault="001B628D" w:rsidP="0063575E">
            <w:pPr>
              <w:keepNext/>
              <w:widowControl w:val="0"/>
              <w:spacing w:line="240" w:lineRule="auto"/>
              <w:rPr>
                <w:color w:val="000000"/>
              </w:rPr>
            </w:pPr>
            <w:r w:rsidRPr="00FE6AC6">
              <w:rPr>
                <w:color w:val="000000"/>
                <w:szCs w:val="22"/>
                <w:lang w:val="bg-BG"/>
              </w:rPr>
              <w:t>Повишаване на телесното тегло</w:t>
            </w:r>
          </w:p>
        </w:tc>
      </w:tr>
      <w:tr w:rsidR="001B628D" w:rsidRPr="00FE6AC6" w14:paraId="3E550322" w14:textId="77777777" w:rsidTr="008143B1">
        <w:trPr>
          <w:cantSplit/>
        </w:trPr>
        <w:tc>
          <w:tcPr>
            <w:tcW w:w="2235" w:type="dxa"/>
          </w:tcPr>
          <w:p w14:paraId="3E550320" w14:textId="77777777" w:rsidR="001B628D" w:rsidRPr="00FE6AC6" w:rsidRDefault="001B628D" w:rsidP="0063575E">
            <w:pPr>
              <w:keepNext/>
              <w:widowControl w:val="0"/>
              <w:spacing w:line="240" w:lineRule="auto"/>
              <w:rPr>
                <w:color w:val="000000"/>
              </w:rPr>
            </w:pPr>
            <w:r w:rsidRPr="00FE6AC6">
              <w:rPr>
                <w:i/>
                <w:color w:val="000000"/>
                <w:szCs w:val="22"/>
                <w:lang w:val="bg-BG"/>
              </w:rPr>
              <w:t>Чести</w:t>
            </w:r>
            <w:r w:rsidRPr="00FE6AC6">
              <w:rPr>
                <w:color w:val="000000"/>
                <w:szCs w:val="22"/>
              </w:rPr>
              <w:t>:</w:t>
            </w:r>
          </w:p>
        </w:tc>
        <w:tc>
          <w:tcPr>
            <w:tcW w:w="7087" w:type="dxa"/>
          </w:tcPr>
          <w:p w14:paraId="3E550321" w14:textId="77777777" w:rsidR="001B628D" w:rsidRPr="00FE6AC6" w:rsidRDefault="001B628D" w:rsidP="0063575E">
            <w:pPr>
              <w:keepNext/>
              <w:widowControl w:val="0"/>
              <w:spacing w:line="240" w:lineRule="auto"/>
              <w:rPr>
                <w:color w:val="000000"/>
              </w:rPr>
            </w:pPr>
            <w:r w:rsidRPr="00FE6AC6">
              <w:rPr>
                <w:color w:val="000000"/>
                <w:szCs w:val="22"/>
                <w:lang w:val="bg-BG"/>
              </w:rPr>
              <w:t>Понижаване на телесното тегло</w:t>
            </w:r>
          </w:p>
        </w:tc>
      </w:tr>
      <w:tr w:rsidR="001B628D" w:rsidRPr="00FE6AC6" w14:paraId="3E550325" w14:textId="77777777" w:rsidTr="008143B1">
        <w:trPr>
          <w:cantSplit/>
        </w:trPr>
        <w:tc>
          <w:tcPr>
            <w:tcW w:w="2235" w:type="dxa"/>
          </w:tcPr>
          <w:p w14:paraId="3E550323" w14:textId="77777777" w:rsidR="001B628D" w:rsidRPr="00FE6AC6" w:rsidRDefault="001B628D" w:rsidP="0063575E">
            <w:pPr>
              <w:keepNext/>
              <w:widowControl w:val="0"/>
              <w:spacing w:line="240" w:lineRule="auto"/>
              <w:rPr>
                <w:color w:val="000000"/>
              </w:rPr>
            </w:pPr>
            <w:r w:rsidRPr="00FE6AC6">
              <w:rPr>
                <w:i/>
                <w:color w:val="000000"/>
                <w:szCs w:val="22"/>
                <w:lang w:val="bg-BG"/>
              </w:rPr>
              <w:t>Нечести</w:t>
            </w:r>
            <w:r w:rsidRPr="00FE6AC6">
              <w:rPr>
                <w:color w:val="000000"/>
                <w:szCs w:val="22"/>
              </w:rPr>
              <w:t>:</w:t>
            </w:r>
          </w:p>
        </w:tc>
        <w:tc>
          <w:tcPr>
            <w:tcW w:w="7087" w:type="dxa"/>
          </w:tcPr>
          <w:p w14:paraId="3E550324" w14:textId="77777777" w:rsidR="001B628D" w:rsidRPr="00FE6AC6" w:rsidRDefault="001B628D" w:rsidP="0063575E">
            <w:pPr>
              <w:keepNext/>
              <w:widowControl w:val="0"/>
              <w:spacing w:line="240" w:lineRule="auto"/>
              <w:rPr>
                <w:color w:val="000000"/>
                <w:lang w:val="ru-RU"/>
              </w:rPr>
            </w:pPr>
            <w:r w:rsidRPr="00FE6AC6">
              <w:rPr>
                <w:color w:val="000000"/>
                <w:szCs w:val="22"/>
                <w:lang w:val="bg-BG"/>
              </w:rPr>
              <w:t>Повишен креатинин в кръвта, повишение на креатинин фосфокиназата в кръвта, повишение на лактат дехидрогеназата в кръвта, повишаване на алкалната фосфатаза в кръвта</w:t>
            </w:r>
          </w:p>
        </w:tc>
      </w:tr>
      <w:tr w:rsidR="001B628D" w:rsidRPr="00FE6AC6" w14:paraId="3E550328" w14:textId="77777777" w:rsidTr="008143B1">
        <w:trPr>
          <w:cantSplit/>
        </w:trPr>
        <w:tc>
          <w:tcPr>
            <w:tcW w:w="2235" w:type="dxa"/>
          </w:tcPr>
          <w:p w14:paraId="3E550326" w14:textId="77777777" w:rsidR="001B628D" w:rsidRPr="00FE6AC6" w:rsidRDefault="001B628D" w:rsidP="0063575E">
            <w:pPr>
              <w:keepNext/>
              <w:widowControl w:val="0"/>
              <w:spacing w:line="240" w:lineRule="auto"/>
              <w:rPr>
                <w:i/>
                <w:color w:val="000000"/>
                <w:szCs w:val="22"/>
              </w:rPr>
            </w:pPr>
            <w:r w:rsidRPr="00FE6AC6">
              <w:rPr>
                <w:i/>
                <w:color w:val="000000"/>
                <w:szCs w:val="22"/>
                <w:lang w:val="bg-BG"/>
              </w:rPr>
              <w:t>Редки</w:t>
            </w:r>
            <w:r w:rsidRPr="00FE6AC6">
              <w:rPr>
                <w:i/>
                <w:color w:val="000000"/>
                <w:szCs w:val="22"/>
              </w:rPr>
              <w:t>:</w:t>
            </w:r>
          </w:p>
        </w:tc>
        <w:tc>
          <w:tcPr>
            <w:tcW w:w="7087" w:type="dxa"/>
          </w:tcPr>
          <w:p w14:paraId="3E550327" w14:textId="77777777" w:rsidR="001B628D" w:rsidRPr="00FE6AC6" w:rsidRDefault="001B628D" w:rsidP="0063575E">
            <w:pPr>
              <w:keepNext/>
              <w:widowControl w:val="0"/>
              <w:spacing w:line="240" w:lineRule="auto"/>
              <w:rPr>
                <w:color w:val="000000"/>
                <w:szCs w:val="22"/>
                <w:lang w:val="ru-RU"/>
              </w:rPr>
            </w:pPr>
            <w:r w:rsidRPr="00FE6AC6">
              <w:rPr>
                <w:color w:val="000000"/>
                <w:szCs w:val="22"/>
                <w:lang w:val="bg-BG"/>
              </w:rPr>
              <w:t>Повишение на амилазата в кръвта</w:t>
            </w:r>
          </w:p>
        </w:tc>
      </w:tr>
    </w:tbl>
    <w:p w14:paraId="3E550329" w14:textId="77777777" w:rsidR="00B436FF" w:rsidRPr="00FE6AC6" w:rsidRDefault="00B436FF" w:rsidP="0063575E">
      <w:pPr>
        <w:keepNext/>
        <w:widowControl w:val="0"/>
        <w:spacing w:line="240" w:lineRule="auto"/>
        <w:rPr>
          <w:color w:val="000000"/>
          <w:szCs w:val="22"/>
        </w:rPr>
      </w:pPr>
    </w:p>
    <w:p w14:paraId="3E55032A" w14:textId="77777777" w:rsidR="001B628D" w:rsidRPr="00FE6AC6" w:rsidRDefault="00B436FF" w:rsidP="008143B1">
      <w:pPr>
        <w:keepNext/>
        <w:keepLines/>
        <w:widowControl w:val="0"/>
        <w:spacing w:line="240" w:lineRule="auto"/>
        <w:ind w:left="567" w:hanging="567"/>
        <w:rPr>
          <w:color w:val="000000"/>
          <w:szCs w:val="22"/>
          <w:lang w:val="bg-BG"/>
        </w:rPr>
      </w:pPr>
      <w:r w:rsidRPr="00FE6AC6">
        <w:rPr>
          <w:color w:val="000000"/>
          <w:szCs w:val="22"/>
        </w:rPr>
        <w:t>*</w:t>
      </w:r>
      <w:r w:rsidRPr="00FE6AC6">
        <w:rPr>
          <w:color w:val="000000"/>
          <w:szCs w:val="22"/>
        </w:rPr>
        <w:tab/>
      </w:r>
      <w:r w:rsidRPr="00FE6AC6">
        <w:rPr>
          <w:color w:val="000000"/>
          <w:szCs w:val="22"/>
          <w:lang w:val="bg-BG"/>
        </w:rPr>
        <w:t>Тези видове реакции са били съобщени предимно по време на постмаркетинговия опит с</w:t>
      </w:r>
      <w:r w:rsidRPr="00FE6AC6">
        <w:rPr>
          <w:color w:val="000000"/>
          <w:szCs w:val="22"/>
        </w:rPr>
        <w:t xml:space="preserve"> Glivec. </w:t>
      </w:r>
      <w:r w:rsidRPr="00FE6AC6">
        <w:rPr>
          <w:color w:val="000000"/>
          <w:szCs w:val="22"/>
          <w:lang w:val="bg-BG"/>
        </w:rPr>
        <w:t>Включват се както спонтанни съобщения, така и сериозни нежелани събития от текущи проучвания, от програми с разширен достъп, клинични фармакологични проучвания и експлораторни проучвания при неодобрени показания. Тъй като тези реакции са съобщени при популация с неопределен размер, не винаги е възможно да се оцени тяхната честота или причинно-следствената връзка с експозицията на иматиниб.</w:t>
      </w:r>
    </w:p>
    <w:p w14:paraId="3E55032B" w14:textId="77777777" w:rsidR="001B628D" w:rsidRPr="00FE6AC6" w:rsidRDefault="001B628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1</w:t>
      </w:r>
      <w:r w:rsidRPr="00FE6AC6">
        <w:rPr>
          <w:color w:val="000000"/>
          <w:szCs w:val="22"/>
          <w:lang w:val="ru-RU"/>
        </w:rPr>
        <w:tab/>
      </w:r>
      <w:r w:rsidRPr="00FE6AC6">
        <w:rPr>
          <w:color w:val="000000"/>
          <w:szCs w:val="22"/>
          <w:lang w:val="bg-BG"/>
        </w:rPr>
        <w:t xml:space="preserve">За пневмония се съобщава най-често при пациенти с трансформирана ХМЛ и при пациенти с </w:t>
      </w:r>
      <w:r w:rsidRPr="00FE6AC6">
        <w:rPr>
          <w:color w:val="000000"/>
          <w:szCs w:val="22"/>
        </w:rPr>
        <w:t>GIST</w:t>
      </w:r>
      <w:r w:rsidRPr="00FE6AC6">
        <w:rPr>
          <w:color w:val="000000"/>
          <w:szCs w:val="22"/>
          <w:lang w:val="ru-RU"/>
        </w:rPr>
        <w:t>.</w:t>
      </w:r>
    </w:p>
    <w:p w14:paraId="3E55032C" w14:textId="77777777" w:rsidR="001B628D" w:rsidRPr="00FE6AC6" w:rsidRDefault="001B628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2</w:t>
      </w:r>
      <w:r w:rsidRPr="00FE6AC6">
        <w:rPr>
          <w:color w:val="000000"/>
          <w:szCs w:val="22"/>
          <w:lang w:val="ru-RU"/>
        </w:rPr>
        <w:tab/>
      </w:r>
      <w:r w:rsidRPr="00FE6AC6">
        <w:rPr>
          <w:color w:val="000000"/>
          <w:szCs w:val="22"/>
          <w:lang w:val="bg-BG"/>
        </w:rPr>
        <w:t xml:space="preserve">Главоболието е най-често при пациенти с </w:t>
      </w:r>
      <w:r w:rsidRPr="00FE6AC6">
        <w:rPr>
          <w:color w:val="000000"/>
          <w:szCs w:val="22"/>
        </w:rPr>
        <w:t>GIST</w:t>
      </w:r>
      <w:r w:rsidRPr="00FE6AC6">
        <w:rPr>
          <w:color w:val="000000"/>
          <w:szCs w:val="22"/>
          <w:lang w:val="ru-RU"/>
        </w:rPr>
        <w:t>.</w:t>
      </w:r>
    </w:p>
    <w:p w14:paraId="3E55032D" w14:textId="77777777" w:rsidR="001B628D" w:rsidRPr="00FE6AC6" w:rsidRDefault="001B628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3</w:t>
      </w:r>
      <w:r w:rsidRPr="00FE6AC6">
        <w:rPr>
          <w:color w:val="000000"/>
          <w:szCs w:val="22"/>
          <w:lang w:val="ru-RU"/>
        </w:rPr>
        <w:tab/>
      </w:r>
      <w:r w:rsidRPr="00FE6AC6">
        <w:rPr>
          <w:color w:val="000000"/>
          <w:szCs w:val="22"/>
          <w:lang w:val="bg-BG"/>
        </w:rPr>
        <w:t>Въз основа на пациентогодини, сърдечните събития, включително застойната сърдечна недостатъчност са наблюдавани по-често при пациенти с трансформирана ХМЛ, отколкото при пациенти с хронична ХМЛ</w:t>
      </w:r>
      <w:r w:rsidRPr="00FE6AC6">
        <w:rPr>
          <w:color w:val="000000"/>
          <w:szCs w:val="22"/>
          <w:lang w:val="ru-RU"/>
        </w:rPr>
        <w:t>.</w:t>
      </w:r>
    </w:p>
    <w:p w14:paraId="3E55032E" w14:textId="77777777" w:rsidR="001B628D" w:rsidRPr="00FE6AC6" w:rsidRDefault="001B628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4</w:t>
      </w:r>
      <w:r w:rsidRPr="00FE6AC6">
        <w:rPr>
          <w:color w:val="000000"/>
          <w:szCs w:val="22"/>
          <w:lang w:val="ru-RU"/>
        </w:rPr>
        <w:tab/>
      </w:r>
      <w:r w:rsidRPr="00FE6AC6">
        <w:rPr>
          <w:color w:val="000000"/>
          <w:szCs w:val="22"/>
          <w:lang w:val="bg-BG"/>
        </w:rPr>
        <w:t xml:space="preserve">Зачервяването е най-често при пациентите с </w:t>
      </w:r>
      <w:r w:rsidRPr="00FE6AC6">
        <w:rPr>
          <w:color w:val="000000"/>
          <w:szCs w:val="22"/>
        </w:rPr>
        <w:t>GIST</w:t>
      </w:r>
      <w:r w:rsidRPr="00FE6AC6">
        <w:rPr>
          <w:color w:val="000000"/>
          <w:szCs w:val="22"/>
          <w:lang w:val="bg-BG"/>
        </w:rPr>
        <w:t>, а кървенето</w:t>
      </w:r>
      <w:r w:rsidRPr="00FE6AC6">
        <w:rPr>
          <w:color w:val="000000"/>
          <w:szCs w:val="22"/>
          <w:lang w:val="ru-RU"/>
        </w:rPr>
        <w:t xml:space="preserve"> (</w:t>
      </w:r>
      <w:r w:rsidRPr="00FE6AC6">
        <w:rPr>
          <w:color w:val="000000"/>
          <w:szCs w:val="22"/>
          <w:lang w:val="bg-BG"/>
        </w:rPr>
        <w:t>хематом, хеморагия</w:t>
      </w:r>
      <w:r w:rsidRPr="00FE6AC6">
        <w:rPr>
          <w:color w:val="000000"/>
          <w:szCs w:val="22"/>
          <w:lang w:val="ru-RU"/>
        </w:rPr>
        <w:t xml:space="preserve">) е най-често при пациенти с </w:t>
      </w:r>
      <w:r w:rsidRPr="00FE6AC6">
        <w:rPr>
          <w:color w:val="000000"/>
          <w:szCs w:val="22"/>
        </w:rPr>
        <w:t>GIST</w:t>
      </w:r>
      <w:r w:rsidRPr="00FE6AC6">
        <w:rPr>
          <w:color w:val="000000"/>
          <w:szCs w:val="22"/>
          <w:lang w:val="ru-RU"/>
        </w:rPr>
        <w:t xml:space="preserve"> и с трансформирана ХМЛ (ХМЛ-ФА и ХМЛ-БК).</w:t>
      </w:r>
    </w:p>
    <w:p w14:paraId="3E55032F" w14:textId="77777777" w:rsidR="001B628D" w:rsidRPr="00FE6AC6" w:rsidRDefault="001B628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5</w:t>
      </w:r>
      <w:r w:rsidRPr="00FE6AC6">
        <w:rPr>
          <w:color w:val="000000"/>
          <w:szCs w:val="22"/>
          <w:lang w:val="ru-RU"/>
        </w:rPr>
        <w:tab/>
      </w:r>
      <w:r w:rsidRPr="00FE6AC6">
        <w:rPr>
          <w:color w:val="000000"/>
          <w:szCs w:val="22"/>
          <w:lang w:val="bg-BG"/>
        </w:rPr>
        <w:t xml:space="preserve">Плеврални изливи са съобщавани по-често при пациенти с </w:t>
      </w:r>
      <w:r w:rsidRPr="00FE6AC6">
        <w:rPr>
          <w:color w:val="000000"/>
          <w:szCs w:val="22"/>
        </w:rPr>
        <w:t>GIST</w:t>
      </w:r>
      <w:r w:rsidRPr="00FE6AC6">
        <w:rPr>
          <w:color w:val="000000"/>
          <w:szCs w:val="22"/>
          <w:lang w:val="ru-RU"/>
        </w:rPr>
        <w:t xml:space="preserve"> </w:t>
      </w:r>
      <w:r w:rsidRPr="00FE6AC6">
        <w:rPr>
          <w:color w:val="000000"/>
          <w:szCs w:val="22"/>
          <w:lang w:val="bg-BG"/>
        </w:rPr>
        <w:t>и при пациенти с трансформирана ХМЛ</w:t>
      </w:r>
      <w:r w:rsidRPr="00FE6AC6">
        <w:rPr>
          <w:color w:val="000000"/>
          <w:szCs w:val="22"/>
          <w:lang w:val="ru-RU"/>
        </w:rPr>
        <w:t xml:space="preserve"> (</w:t>
      </w:r>
      <w:r w:rsidRPr="00FE6AC6">
        <w:rPr>
          <w:color w:val="000000"/>
          <w:szCs w:val="22"/>
          <w:lang w:val="bg-BG"/>
        </w:rPr>
        <w:t>ХМЛ</w:t>
      </w:r>
      <w:r w:rsidRPr="00FE6AC6">
        <w:rPr>
          <w:color w:val="000000"/>
          <w:szCs w:val="22"/>
          <w:lang w:val="ru-RU"/>
        </w:rPr>
        <w:t xml:space="preserve">-ФА </w:t>
      </w:r>
      <w:r w:rsidRPr="00FE6AC6">
        <w:rPr>
          <w:color w:val="000000"/>
          <w:szCs w:val="22"/>
          <w:lang w:val="bg-BG"/>
        </w:rPr>
        <w:t>и ХМЛ</w:t>
      </w:r>
      <w:r w:rsidRPr="00FE6AC6">
        <w:rPr>
          <w:color w:val="000000"/>
          <w:szCs w:val="22"/>
          <w:lang w:val="ru-RU"/>
        </w:rPr>
        <w:t>-БК)</w:t>
      </w:r>
      <w:r w:rsidRPr="00FE6AC6">
        <w:rPr>
          <w:color w:val="000000"/>
          <w:szCs w:val="22"/>
          <w:lang w:val="bg-BG"/>
        </w:rPr>
        <w:t>, отколкото при пациенти с хронична ХМЛ</w:t>
      </w:r>
      <w:r w:rsidRPr="00FE6AC6">
        <w:rPr>
          <w:color w:val="000000"/>
          <w:szCs w:val="22"/>
          <w:lang w:val="ru-RU"/>
        </w:rPr>
        <w:t>.</w:t>
      </w:r>
    </w:p>
    <w:p w14:paraId="3E550330" w14:textId="77777777" w:rsidR="001B628D" w:rsidRPr="00FE6AC6" w:rsidRDefault="001B628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6</w:t>
      </w:r>
      <w:r w:rsidRPr="00FE6AC6">
        <w:rPr>
          <w:color w:val="000000"/>
          <w:szCs w:val="22"/>
          <w:lang w:val="bg-BG"/>
        </w:rPr>
        <w:t>+7</w:t>
      </w:r>
      <w:r w:rsidRPr="00FE6AC6">
        <w:rPr>
          <w:color w:val="000000"/>
          <w:szCs w:val="22"/>
          <w:lang w:val="ru-RU"/>
        </w:rPr>
        <w:tab/>
      </w:r>
      <w:r w:rsidRPr="00FE6AC6">
        <w:rPr>
          <w:color w:val="000000"/>
          <w:szCs w:val="22"/>
          <w:lang w:val="bg-BG"/>
        </w:rPr>
        <w:t xml:space="preserve">Коремна болка и стомашно-чревни кръвоизливи са наблюдавани най-често при пациенти с </w:t>
      </w:r>
      <w:r w:rsidRPr="00FE6AC6">
        <w:rPr>
          <w:color w:val="000000"/>
          <w:szCs w:val="22"/>
        </w:rPr>
        <w:t>GIST</w:t>
      </w:r>
      <w:r w:rsidRPr="00FE6AC6">
        <w:rPr>
          <w:color w:val="000000"/>
          <w:szCs w:val="22"/>
          <w:lang w:val="ru-RU"/>
        </w:rPr>
        <w:t>.</w:t>
      </w:r>
    </w:p>
    <w:p w14:paraId="3E550331" w14:textId="77777777" w:rsidR="001B628D" w:rsidRPr="00FE6AC6" w:rsidRDefault="001B628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8</w:t>
      </w:r>
      <w:r w:rsidRPr="00FE6AC6">
        <w:rPr>
          <w:color w:val="000000"/>
          <w:szCs w:val="22"/>
          <w:lang w:val="ru-RU"/>
        </w:rPr>
        <w:tab/>
      </w:r>
      <w:r w:rsidRPr="00FE6AC6">
        <w:rPr>
          <w:color w:val="000000"/>
          <w:szCs w:val="22"/>
          <w:lang w:val="bg-BG"/>
        </w:rPr>
        <w:t>Съобщени са няколко фатални случая на чернодробна недостатъчност и чернодробна некроза</w:t>
      </w:r>
      <w:r w:rsidRPr="00FE6AC6">
        <w:rPr>
          <w:color w:val="000000"/>
          <w:szCs w:val="22"/>
          <w:lang w:val="ru-RU"/>
        </w:rPr>
        <w:t>.</w:t>
      </w:r>
    </w:p>
    <w:p w14:paraId="3E550332" w14:textId="77777777" w:rsidR="00F337C5" w:rsidRPr="00FE6AC6" w:rsidRDefault="001B628D"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9</w:t>
      </w:r>
      <w:r w:rsidRPr="00FE6AC6">
        <w:rPr>
          <w:color w:val="000000"/>
          <w:szCs w:val="22"/>
          <w:lang w:val="ru-RU"/>
        </w:rPr>
        <w:tab/>
      </w:r>
      <w:r w:rsidR="00F337C5" w:rsidRPr="00FE6AC6">
        <w:rPr>
          <w:color w:val="000000"/>
          <w:szCs w:val="22"/>
          <w:lang w:val="bg-BG"/>
        </w:rPr>
        <w:t>Мускулно-скелетна болка по време на лечението с иматиниб или след преустановяването му е наблюдавана по време на постмаркетинговия период.</w:t>
      </w:r>
    </w:p>
    <w:p w14:paraId="3E550333" w14:textId="77777777" w:rsidR="001A38C4" w:rsidRPr="00FE6AC6" w:rsidRDefault="00F337C5" w:rsidP="008143B1">
      <w:pPr>
        <w:keepNext/>
        <w:keepLines/>
        <w:widowControl w:val="0"/>
        <w:tabs>
          <w:tab w:val="clear" w:pos="567"/>
        </w:tabs>
        <w:spacing w:line="240" w:lineRule="auto"/>
        <w:ind w:left="567" w:hanging="567"/>
        <w:rPr>
          <w:color w:val="000000"/>
          <w:szCs w:val="22"/>
          <w:lang w:val="ru-RU"/>
        </w:rPr>
      </w:pPr>
      <w:r w:rsidRPr="00FE6AC6">
        <w:rPr>
          <w:color w:val="000000"/>
          <w:szCs w:val="22"/>
          <w:lang w:val="ru-RU"/>
        </w:rPr>
        <w:t>10</w:t>
      </w:r>
      <w:r w:rsidRPr="00FE6AC6">
        <w:rPr>
          <w:color w:val="000000"/>
          <w:szCs w:val="22"/>
          <w:lang w:val="ru-RU"/>
        </w:rPr>
        <w:tab/>
      </w:r>
      <w:r w:rsidR="001B628D" w:rsidRPr="00FE6AC6">
        <w:rPr>
          <w:color w:val="000000"/>
          <w:szCs w:val="22"/>
          <w:lang w:val="bg-BG"/>
        </w:rPr>
        <w:t xml:space="preserve">Мускулно-скелетна болка и свързани с нея нежелани събития са наблюдавани по-често при пациенти с ХМЛ, отколкото при пациенти с </w:t>
      </w:r>
      <w:r w:rsidR="001B628D" w:rsidRPr="00FE6AC6">
        <w:rPr>
          <w:color w:val="000000"/>
          <w:szCs w:val="22"/>
        </w:rPr>
        <w:t>GIST</w:t>
      </w:r>
      <w:r w:rsidR="001B628D" w:rsidRPr="00FE6AC6">
        <w:rPr>
          <w:color w:val="000000"/>
          <w:szCs w:val="22"/>
          <w:lang w:val="ru-RU"/>
        </w:rPr>
        <w:t>.</w:t>
      </w:r>
    </w:p>
    <w:p w14:paraId="3E550334" w14:textId="77777777" w:rsidR="001B628D" w:rsidRPr="00FE6AC6" w:rsidRDefault="00F337C5" w:rsidP="008143B1">
      <w:pPr>
        <w:keepLines/>
        <w:widowControl w:val="0"/>
        <w:tabs>
          <w:tab w:val="clear" w:pos="567"/>
        </w:tabs>
        <w:spacing w:line="240" w:lineRule="auto"/>
        <w:ind w:left="567" w:hanging="567"/>
        <w:rPr>
          <w:color w:val="000000"/>
          <w:szCs w:val="22"/>
          <w:lang w:val="ru-RU"/>
        </w:rPr>
      </w:pPr>
      <w:r w:rsidRPr="00FE6AC6">
        <w:rPr>
          <w:color w:val="000000"/>
          <w:szCs w:val="22"/>
          <w:lang w:val="ru-RU"/>
        </w:rPr>
        <w:t>11</w:t>
      </w:r>
      <w:r w:rsidRPr="00FE6AC6">
        <w:rPr>
          <w:color w:val="000000"/>
          <w:szCs w:val="22"/>
          <w:lang w:val="ru-RU"/>
        </w:rPr>
        <w:tab/>
      </w:r>
      <w:r w:rsidR="001A38C4" w:rsidRPr="00FE6AC6">
        <w:rPr>
          <w:color w:val="000000"/>
          <w:szCs w:val="22"/>
          <w:lang w:val="bg-BG"/>
        </w:rPr>
        <w:t>Фатални случаи са съобщавани при пациенти с напреднало заболяване, сериозни инфекции, тежка неутропения и други сериозни придружаващи заболявания</w:t>
      </w:r>
      <w:r w:rsidR="001A38C4" w:rsidRPr="00FE6AC6">
        <w:rPr>
          <w:color w:val="000000"/>
          <w:szCs w:val="22"/>
          <w:lang w:val="ru-RU"/>
        </w:rPr>
        <w:t>.</w:t>
      </w:r>
    </w:p>
    <w:p w14:paraId="3E550335" w14:textId="77777777" w:rsidR="001B628D" w:rsidRPr="00FE6AC6" w:rsidRDefault="001B628D" w:rsidP="0063575E">
      <w:pPr>
        <w:widowControl w:val="0"/>
        <w:spacing w:line="240" w:lineRule="auto"/>
        <w:rPr>
          <w:color w:val="000000"/>
          <w:szCs w:val="22"/>
          <w:lang w:val="ru-RU"/>
        </w:rPr>
      </w:pPr>
    </w:p>
    <w:p w14:paraId="3E550336"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Отклонения в лабораторните изследвания</w:t>
      </w:r>
    </w:p>
    <w:p w14:paraId="3E550337" w14:textId="77777777" w:rsidR="001B628D" w:rsidRPr="00FE6AC6" w:rsidRDefault="001B628D" w:rsidP="0063575E">
      <w:pPr>
        <w:keepNext/>
        <w:widowControl w:val="0"/>
        <w:tabs>
          <w:tab w:val="clear" w:pos="567"/>
        </w:tabs>
        <w:spacing w:line="240" w:lineRule="auto"/>
        <w:rPr>
          <w:i/>
          <w:color w:val="000000"/>
          <w:lang w:val="bg-BG"/>
        </w:rPr>
      </w:pPr>
      <w:r w:rsidRPr="00FE6AC6">
        <w:rPr>
          <w:i/>
          <w:color w:val="000000"/>
          <w:lang w:val="bg-BG"/>
        </w:rPr>
        <w:t>Хематология</w:t>
      </w:r>
    </w:p>
    <w:p w14:paraId="3E550338" w14:textId="77777777" w:rsidR="001B628D" w:rsidRPr="00FE6AC6" w:rsidRDefault="001B628D" w:rsidP="0063575E">
      <w:pPr>
        <w:widowControl w:val="0"/>
        <w:tabs>
          <w:tab w:val="clear" w:pos="567"/>
          <w:tab w:val="left" w:pos="2268"/>
        </w:tabs>
        <w:spacing w:line="240" w:lineRule="auto"/>
        <w:rPr>
          <w:color w:val="000000"/>
          <w:lang w:val="bg-BG"/>
        </w:rPr>
      </w:pPr>
      <w:r w:rsidRPr="00FE6AC6">
        <w:rPr>
          <w:color w:val="000000"/>
          <w:lang w:val="bg-BG"/>
        </w:rPr>
        <w:t>Цитопениите при ХМЛ, особено неутропения и тромбоцитопения, са постоянна находка във всички проучвания, с лека насока за по-висока честота при по-високи дози ≥750</w:t>
      </w:r>
      <w:r w:rsidRPr="00FE6AC6">
        <w:rPr>
          <w:color w:val="000000"/>
          <w:lang w:val="en-US"/>
        </w:rPr>
        <w:t> mg </w:t>
      </w:r>
      <w:r w:rsidRPr="00FE6AC6">
        <w:rPr>
          <w:color w:val="000000"/>
          <w:lang w:val="bg-BG"/>
        </w:rPr>
        <w:t>(фаза I проучване). Появата на цитопениите обаче е също така в ясна зависимост от стадия на заболяването. Честота на неутропениите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или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(AБН &lt;1,0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и тромбоцитопениите (тромбоцитен брой &lt;50</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е между</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и</w:t>
      </w:r>
      <w:r w:rsidRPr="00FE6AC6">
        <w:rPr>
          <w:color w:val="000000"/>
          <w:lang w:val="en-US"/>
        </w:rPr>
        <w:t> </w:t>
      </w:r>
      <w:r w:rsidRPr="00FE6AC6">
        <w:rPr>
          <w:color w:val="000000"/>
          <w:lang w:val="bg-BG"/>
        </w:rPr>
        <w:t>6</w:t>
      </w:r>
      <w:r w:rsidRPr="00FE6AC6">
        <w:rPr>
          <w:color w:val="000000"/>
          <w:lang w:val="en-US"/>
        </w:rPr>
        <w:t> </w:t>
      </w:r>
      <w:r w:rsidRPr="00FE6AC6">
        <w:rPr>
          <w:color w:val="000000"/>
          <w:lang w:val="bg-BG"/>
        </w:rPr>
        <w:t>пъти по-висока при бластна криза и фаза на акцелерация (59</w:t>
      </w:r>
      <w:r w:rsidRPr="00FE6AC6">
        <w:rPr>
          <w:color w:val="000000"/>
          <w:lang w:val="bg-BG"/>
        </w:rPr>
        <w:noBreakHyphen/>
        <w:t>64% и</w:t>
      </w:r>
      <w:r w:rsidRPr="00FE6AC6">
        <w:rPr>
          <w:color w:val="000000"/>
          <w:lang w:val="en-US"/>
        </w:rPr>
        <w:t> </w:t>
      </w:r>
      <w:r w:rsidRPr="00FE6AC6">
        <w:rPr>
          <w:color w:val="000000"/>
          <w:lang w:val="bg-BG"/>
        </w:rPr>
        <w:t>44</w:t>
      </w:r>
      <w:r w:rsidRPr="00FE6AC6">
        <w:rPr>
          <w:color w:val="000000"/>
          <w:lang w:val="bg-BG"/>
        </w:rPr>
        <w:noBreakHyphen/>
        <w:t>63%, съответно за неутропенията и тромбоцитопенията), в сравнение с новодиагностицираните пациенти в хронична фаза на ХМЛ (16,7% неутропении и</w:t>
      </w:r>
      <w:r w:rsidRPr="00FE6AC6">
        <w:rPr>
          <w:color w:val="000000"/>
          <w:lang w:val="en-US"/>
        </w:rPr>
        <w:t> </w:t>
      </w:r>
      <w:r w:rsidRPr="00FE6AC6">
        <w:rPr>
          <w:color w:val="000000"/>
          <w:lang w:val="bg-BG"/>
        </w:rPr>
        <w:t>8,9% тромбоцитопении). При новодиагностицирана хронична фаза на ХМЛ, степен</w:t>
      </w:r>
      <w:r w:rsidRPr="00FE6AC6">
        <w:rPr>
          <w:color w:val="000000"/>
          <w:lang w:val="en-US"/>
        </w:rPr>
        <w:t> </w:t>
      </w:r>
      <w:r w:rsidRPr="00FE6AC6">
        <w:rPr>
          <w:color w:val="000000"/>
          <w:lang w:val="bg-BG"/>
        </w:rPr>
        <w:t>4 неутропения</w:t>
      </w:r>
      <w:r w:rsidRPr="00FE6AC6">
        <w:rPr>
          <w:color w:val="000000"/>
          <w:lang w:val="en-US"/>
        </w:rPr>
        <w:t> </w:t>
      </w:r>
      <w:r w:rsidRPr="00FE6AC6">
        <w:rPr>
          <w:color w:val="000000"/>
          <w:lang w:val="bg-BG"/>
        </w:rPr>
        <w:t>(АБН &lt;0,5</w:t>
      </w:r>
      <w:r w:rsidRPr="00FE6AC6">
        <w:rPr>
          <w:color w:val="000000"/>
          <w:lang w:val="de-CH"/>
        </w:rPr>
        <w:t> </w:t>
      </w:r>
      <w:r w:rsidRPr="00FE6AC6">
        <w:rPr>
          <w:color w:val="000000"/>
          <w:lang w:val="bg-BG"/>
        </w:rPr>
        <w:t>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w:t>
      </w:r>
      <w:r w:rsidRPr="00FE6AC6">
        <w:rPr>
          <w:color w:val="000000"/>
          <w:vertAlign w:val="superscript"/>
          <w:lang w:val="bg-BG"/>
        </w:rPr>
        <w:t xml:space="preserve"> </w:t>
      </w:r>
      <w:r w:rsidRPr="00FE6AC6">
        <w:rPr>
          <w:color w:val="000000"/>
          <w:lang w:val="bg-BG"/>
        </w:rPr>
        <w:t>) и тромбоцитопения (тромбоцитен брой &lt;10</w:t>
      </w:r>
      <w:r w:rsidRPr="00FE6AC6">
        <w:rPr>
          <w:color w:val="000000"/>
          <w:lang w:val="en-US"/>
        </w:rPr>
        <w:t> </w:t>
      </w:r>
      <w:r w:rsidRPr="00FE6AC6">
        <w:rPr>
          <w:color w:val="000000"/>
          <w:lang w:val="bg-BG"/>
        </w:rPr>
        <w:t>x</w:t>
      </w:r>
      <w:r w:rsidRPr="00FE6AC6">
        <w:rPr>
          <w:color w:val="000000"/>
          <w:lang w:val="en-US"/>
        </w:rPr>
        <w:t> </w:t>
      </w:r>
      <w:r w:rsidRPr="00FE6AC6">
        <w:rPr>
          <w:color w:val="000000"/>
          <w:lang w:val="bg-BG"/>
        </w:rPr>
        <w:t>10</w:t>
      </w:r>
      <w:r w:rsidRPr="00FE6AC6">
        <w:rPr>
          <w:color w:val="000000"/>
          <w:vertAlign w:val="superscript"/>
          <w:lang w:val="bg-BG"/>
        </w:rPr>
        <w:t>9</w:t>
      </w:r>
      <w:r w:rsidRPr="00FE6AC6">
        <w:rPr>
          <w:color w:val="000000"/>
          <w:lang w:val="bg-BG"/>
        </w:rPr>
        <w:t>/l) се наблюдават съответно при</w:t>
      </w:r>
      <w:r w:rsidRPr="00FE6AC6">
        <w:rPr>
          <w:color w:val="000000"/>
          <w:lang w:val="en-US"/>
        </w:rPr>
        <w:t> </w:t>
      </w:r>
      <w:r w:rsidRPr="00FE6AC6">
        <w:rPr>
          <w:color w:val="000000"/>
          <w:lang w:val="bg-BG"/>
        </w:rPr>
        <w:t>3,6% и &lt;1% от пациентите. Медианата на продължителност на епизодите на неутропения и тромбоцитопения обикновено варира от</w:t>
      </w:r>
      <w:r w:rsidRPr="00FE6AC6">
        <w:rPr>
          <w:color w:val="000000"/>
          <w:lang w:val="en-US"/>
        </w:rPr>
        <w:t> </w:t>
      </w:r>
      <w:r w:rsidRPr="00FE6AC6">
        <w:rPr>
          <w:color w:val="000000"/>
          <w:lang w:val="bg-BG"/>
        </w:rPr>
        <w:t>2</w:t>
      </w:r>
      <w:r w:rsidRPr="00FE6AC6">
        <w:rPr>
          <w:color w:val="000000"/>
          <w:lang w:val="en-US"/>
        </w:rPr>
        <w:t> </w:t>
      </w:r>
      <w:r w:rsidRPr="00FE6AC6">
        <w:rPr>
          <w:color w:val="000000"/>
          <w:lang w:val="bg-BG"/>
        </w:rPr>
        <w:t>до</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седмици и от</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до</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седмици, съответно. Поведението при тези реакции обикновено включва или редуциране на дозата, или преустановяване на лечението с Glivec, но в редки случаи може да се стигне до окончателно спиране на терапията. При пациенти с ХМЛ в детска възраст най-често наблюдаваните прояви на токсичност са цитопении степен 3 или 4, включващи неутропения, тромбоцитопения и анемия. Като цяло те настъпват през първите няколко месеца от лечението.</w:t>
      </w:r>
    </w:p>
    <w:p w14:paraId="3E550339" w14:textId="77777777" w:rsidR="001B628D" w:rsidRPr="00FE6AC6" w:rsidRDefault="001B628D" w:rsidP="0063575E">
      <w:pPr>
        <w:widowControl w:val="0"/>
        <w:tabs>
          <w:tab w:val="clear" w:pos="567"/>
        </w:tabs>
        <w:spacing w:line="240" w:lineRule="auto"/>
        <w:rPr>
          <w:color w:val="000000"/>
          <w:lang w:val="bg-BG"/>
        </w:rPr>
      </w:pPr>
    </w:p>
    <w:p w14:paraId="3E55033A"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В проучване при пациенти с неподлежащи на резекция и/или метастатични ГИСТ,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и</w:t>
      </w:r>
      <w:r w:rsidRPr="00FE6AC6">
        <w:rPr>
          <w:color w:val="000000"/>
          <w:lang w:val="en-US"/>
        </w:rPr>
        <w:t> </w:t>
      </w:r>
      <w:r w:rsidRPr="00FE6AC6">
        <w:rPr>
          <w:color w:val="000000"/>
          <w:lang w:val="bg-BG"/>
        </w:rPr>
        <w:t>4, анемия се съобщава съответно при</w:t>
      </w:r>
      <w:r w:rsidRPr="00FE6AC6">
        <w:rPr>
          <w:color w:val="000000"/>
          <w:lang w:val="en-US"/>
        </w:rPr>
        <w:t> </w:t>
      </w:r>
      <w:r w:rsidRPr="00FE6AC6">
        <w:rPr>
          <w:color w:val="000000"/>
          <w:lang w:val="bg-BG"/>
        </w:rPr>
        <w:t>5,4% и</w:t>
      </w:r>
      <w:r w:rsidRPr="00FE6AC6">
        <w:rPr>
          <w:color w:val="000000"/>
          <w:lang w:val="en-US"/>
        </w:rPr>
        <w:t> </w:t>
      </w:r>
      <w:r w:rsidRPr="00FE6AC6">
        <w:rPr>
          <w:color w:val="000000"/>
          <w:lang w:val="bg-BG"/>
        </w:rPr>
        <w:t>0,7% от пациентите, и може би е свързана с гастроинтестиналното или вътре туморното кървене при някой от тези пациенти. Неутропения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се наблюдава съответно при</w:t>
      </w:r>
      <w:r w:rsidRPr="00FE6AC6">
        <w:rPr>
          <w:color w:val="000000"/>
          <w:lang w:val="en-US"/>
        </w:rPr>
        <w:t> </w:t>
      </w:r>
      <w:r w:rsidRPr="00FE6AC6">
        <w:rPr>
          <w:color w:val="000000"/>
          <w:lang w:val="bg-BG"/>
        </w:rPr>
        <w:t>7,5% и</w:t>
      </w:r>
      <w:r w:rsidRPr="00FE6AC6">
        <w:rPr>
          <w:color w:val="000000"/>
          <w:lang w:val="en-US"/>
        </w:rPr>
        <w:t> </w:t>
      </w:r>
      <w:r w:rsidRPr="00FE6AC6">
        <w:rPr>
          <w:color w:val="000000"/>
          <w:lang w:val="bg-BG"/>
        </w:rPr>
        <w:t>2,7% от пациентите, а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тромбоцитопения при</w:t>
      </w:r>
      <w:r w:rsidRPr="00FE6AC6">
        <w:rPr>
          <w:color w:val="000000"/>
          <w:lang w:val="en-US"/>
        </w:rPr>
        <w:t> </w:t>
      </w:r>
      <w:r w:rsidRPr="00FE6AC6">
        <w:rPr>
          <w:color w:val="000000"/>
          <w:lang w:val="bg-BG"/>
        </w:rPr>
        <w:t>0,7% от пациентите. Нито един от пациентите не развива степен</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тромбоцитопения. Понижението на общия левкоцитен и неутрофилен брой се проявява главно през първите шест седмици на лечението, със стойности, задържащи се относително стабилни след това.</w:t>
      </w:r>
    </w:p>
    <w:p w14:paraId="3E55033B" w14:textId="77777777" w:rsidR="001B628D" w:rsidRPr="00FE6AC6" w:rsidRDefault="001B628D" w:rsidP="0063575E">
      <w:pPr>
        <w:widowControl w:val="0"/>
        <w:tabs>
          <w:tab w:val="clear" w:pos="567"/>
        </w:tabs>
        <w:spacing w:line="240" w:lineRule="auto"/>
        <w:rPr>
          <w:color w:val="000000"/>
          <w:lang w:val="bg-BG"/>
        </w:rPr>
      </w:pPr>
    </w:p>
    <w:p w14:paraId="3E55033C" w14:textId="77777777" w:rsidR="001B628D" w:rsidRPr="00FE6AC6" w:rsidRDefault="001B628D" w:rsidP="0063575E">
      <w:pPr>
        <w:keepNext/>
        <w:widowControl w:val="0"/>
        <w:tabs>
          <w:tab w:val="clear" w:pos="567"/>
        </w:tabs>
        <w:spacing w:line="240" w:lineRule="auto"/>
        <w:rPr>
          <w:i/>
          <w:color w:val="000000"/>
          <w:lang w:val="bg-BG"/>
        </w:rPr>
      </w:pPr>
      <w:r w:rsidRPr="00FE6AC6">
        <w:rPr>
          <w:i/>
          <w:color w:val="000000"/>
          <w:lang w:val="bg-BG"/>
        </w:rPr>
        <w:t>Биохимия</w:t>
      </w:r>
    </w:p>
    <w:p w14:paraId="3E55033D"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 xml:space="preserve">Значителното повишение на трансаминазите </w:t>
      </w:r>
      <w:r w:rsidRPr="00FE6AC6">
        <w:rPr>
          <w:color w:val="000000"/>
          <w:szCs w:val="22"/>
          <w:lang w:val="bg-BG"/>
        </w:rPr>
        <w:t xml:space="preserve">(&lt;5%) </w:t>
      </w:r>
      <w:r w:rsidRPr="00FE6AC6">
        <w:rPr>
          <w:color w:val="000000"/>
          <w:lang w:val="bg-BG"/>
        </w:rPr>
        <w:t xml:space="preserve">или билирубина </w:t>
      </w:r>
      <w:r w:rsidRPr="00FE6AC6">
        <w:rPr>
          <w:color w:val="000000"/>
          <w:szCs w:val="22"/>
          <w:lang w:val="bg-BG"/>
        </w:rPr>
        <w:t xml:space="preserve">(&lt;1%) </w:t>
      </w:r>
      <w:r w:rsidRPr="00FE6AC6">
        <w:rPr>
          <w:color w:val="000000"/>
          <w:lang w:val="bg-BG"/>
        </w:rPr>
        <w:t>се наблюдава при пациенти с ХМЛ и обикновено се овладява с намаляване на дозата или с прекъсване на лечението (медианата на продължителността на тези епизоди е приблизително една седмица). Лечението е прекратено окончателно, поради отклонение в чернодробните показатели, при по-малко от</w:t>
      </w:r>
      <w:r w:rsidRPr="00FE6AC6">
        <w:rPr>
          <w:color w:val="000000"/>
          <w:lang w:val="en-US"/>
        </w:rPr>
        <w:t> </w:t>
      </w:r>
      <w:r w:rsidRPr="00FE6AC6">
        <w:rPr>
          <w:color w:val="000000"/>
          <w:lang w:val="bg-BG"/>
        </w:rPr>
        <w:t>1% от пациентите с ХМЛ. При пациентите с ГИСТ (проучване B2222) са наблюдавани повишаване на честотата на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или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повишение на ALT (аланин аминотрансфераза) при</w:t>
      </w:r>
      <w:r w:rsidRPr="00FE6AC6">
        <w:rPr>
          <w:color w:val="000000"/>
          <w:lang w:val="en-US"/>
        </w:rPr>
        <w:t> </w:t>
      </w:r>
      <w:r w:rsidRPr="00FE6AC6">
        <w:rPr>
          <w:color w:val="000000"/>
          <w:lang w:val="bg-BG"/>
        </w:rPr>
        <w:t>6,8%, а на степен</w:t>
      </w:r>
      <w:r w:rsidRPr="00FE6AC6">
        <w:rPr>
          <w:color w:val="000000"/>
          <w:lang w:val="en-US"/>
        </w:rPr>
        <w:t> </w:t>
      </w:r>
      <w:r w:rsidRPr="00FE6AC6">
        <w:rPr>
          <w:color w:val="000000"/>
          <w:lang w:val="bg-BG"/>
        </w:rPr>
        <w:t>3</w:t>
      </w:r>
      <w:r w:rsidRPr="00FE6AC6">
        <w:rPr>
          <w:color w:val="000000"/>
          <w:lang w:val="en-US"/>
        </w:rPr>
        <w:t> </w:t>
      </w:r>
      <w:r w:rsidRPr="00FE6AC6">
        <w:rPr>
          <w:color w:val="000000"/>
          <w:lang w:val="bg-BG"/>
        </w:rPr>
        <w:t>или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повишение на AST (аспартат аминотрансфераза) при</w:t>
      </w:r>
      <w:r w:rsidRPr="00FE6AC6">
        <w:rPr>
          <w:color w:val="000000"/>
          <w:lang w:val="en-US"/>
        </w:rPr>
        <w:t> </w:t>
      </w:r>
      <w:r w:rsidRPr="00FE6AC6">
        <w:rPr>
          <w:color w:val="000000"/>
          <w:lang w:val="bg-BG"/>
        </w:rPr>
        <w:t>4,8%. Повишаването на билирубина е при по-малко от</w:t>
      </w:r>
      <w:r w:rsidRPr="00FE6AC6">
        <w:rPr>
          <w:color w:val="000000"/>
          <w:lang w:val="en-US"/>
        </w:rPr>
        <w:t> </w:t>
      </w:r>
      <w:r w:rsidRPr="00FE6AC6">
        <w:rPr>
          <w:color w:val="000000"/>
          <w:lang w:val="bg-BG"/>
        </w:rPr>
        <w:t>3%.</w:t>
      </w:r>
    </w:p>
    <w:p w14:paraId="3E55033E" w14:textId="77777777" w:rsidR="001B628D" w:rsidRPr="00FE6AC6" w:rsidRDefault="001B628D" w:rsidP="0063575E">
      <w:pPr>
        <w:widowControl w:val="0"/>
        <w:tabs>
          <w:tab w:val="clear" w:pos="567"/>
        </w:tabs>
        <w:spacing w:line="240" w:lineRule="auto"/>
        <w:rPr>
          <w:color w:val="000000"/>
          <w:lang w:val="bg-BG"/>
        </w:rPr>
      </w:pPr>
    </w:p>
    <w:p w14:paraId="3E55033F"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Има случаи на цитолитичен и холестатичен хепатит и чернодробна недостатъчност, като при някои от тях изходът е бил фатален, включително и един пациент, с прием на висока доза на парацетамол.</w:t>
      </w:r>
    </w:p>
    <w:p w14:paraId="3E550340" w14:textId="77777777" w:rsidR="0070096E" w:rsidRPr="00FE6AC6" w:rsidRDefault="0070096E" w:rsidP="0063575E">
      <w:pPr>
        <w:pStyle w:val="Text"/>
        <w:widowControl w:val="0"/>
        <w:spacing w:before="0"/>
        <w:jc w:val="left"/>
        <w:rPr>
          <w:color w:val="000000"/>
          <w:sz w:val="22"/>
          <w:szCs w:val="22"/>
          <w:lang w:val="bg-BG"/>
        </w:rPr>
      </w:pPr>
    </w:p>
    <w:p w14:paraId="3E550341" w14:textId="77777777" w:rsidR="0070096E" w:rsidRPr="00FE6AC6" w:rsidRDefault="0070096E" w:rsidP="0063575E">
      <w:pPr>
        <w:pStyle w:val="Text"/>
        <w:keepNext/>
        <w:widowControl w:val="0"/>
        <w:spacing w:before="0"/>
        <w:jc w:val="left"/>
        <w:rPr>
          <w:color w:val="000000"/>
          <w:sz w:val="22"/>
          <w:szCs w:val="22"/>
          <w:u w:val="single"/>
          <w:lang w:val="bg-BG"/>
        </w:rPr>
      </w:pPr>
      <w:r w:rsidRPr="00FE6AC6">
        <w:rPr>
          <w:color w:val="000000"/>
          <w:sz w:val="22"/>
          <w:szCs w:val="22"/>
          <w:u w:val="single"/>
          <w:lang w:val="bg-BG"/>
        </w:rPr>
        <w:t>Описание на избрани нежелани реакции</w:t>
      </w:r>
    </w:p>
    <w:p w14:paraId="3E550342" w14:textId="77777777" w:rsidR="0070096E" w:rsidRPr="00FE6AC6" w:rsidRDefault="0070096E" w:rsidP="0063575E">
      <w:pPr>
        <w:keepNext/>
        <w:widowControl w:val="0"/>
        <w:tabs>
          <w:tab w:val="clear" w:pos="567"/>
          <w:tab w:val="left" w:pos="720"/>
        </w:tabs>
        <w:spacing w:line="240" w:lineRule="auto"/>
        <w:rPr>
          <w:i/>
          <w:noProof/>
          <w:snapToGrid w:val="0"/>
          <w:szCs w:val="22"/>
          <w:u w:val="single"/>
          <w:lang w:val="bg-BG"/>
        </w:rPr>
      </w:pPr>
      <w:r w:rsidRPr="00FE6AC6">
        <w:rPr>
          <w:i/>
          <w:noProof/>
          <w:snapToGrid w:val="0"/>
          <w:szCs w:val="22"/>
          <w:u w:val="single"/>
          <w:lang w:val="bg-BG"/>
        </w:rPr>
        <w:t>Реактивация на хепатит В</w:t>
      </w:r>
    </w:p>
    <w:p w14:paraId="3E550343" w14:textId="77777777" w:rsidR="0070096E" w:rsidRPr="00FE6AC6" w:rsidRDefault="0070096E" w:rsidP="0063575E">
      <w:pPr>
        <w:widowControl w:val="0"/>
        <w:tabs>
          <w:tab w:val="clear" w:pos="567"/>
          <w:tab w:val="left" w:pos="720"/>
        </w:tabs>
        <w:spacing w:line="240" w:lineRule="auto"/>
        <w:rPr>
          <w:noProof/>
          <w:snapToGrid w:val="0"/>
          <w:szCs w:val="22"/>
          <w:lang w:val="bg-BG"/>
        </w:rPr>
      </w:pPr>
      <w:r w:rsidRPr="00FE6AC6">
        <w:rPr>
          <w:noProof/>
          <w:snapToGrid w:val="0"/>
          <w:szCs w:val="22"/>
          <w:lang w:val="bg-BG"/>
        </w:rPr>
        <w:t xml:space="preserve">Съобщена е реактивация на хепатит В във връзка с BCR-ABL тирозинкиназните инхибитори (ТКИ). В някои случаи настъпва остра чернодробна недостатъчност или фулминантен хепатит, водещ до чернодробна трансплантация или фатален изход (вж. </w:t>
      </w:r>
      <w:r w:rsidR="00950355" w:rsidRPr="00FE6AC6">
        <w:rPr>
          <w:noProof/>
          <w:snapToGrid w:val="0"/>
          <w:szCs w:val="22"/>
          <w:lang w:val="bg-BG"/>
        </w:rPr>
        <w:t>Т</w:t>
      </w:r>
      <w:r w:rsidRPr="00FE6AC6">
        <w:rPr>
          <w:noProof/>
          <w:snapToGrid w:val="0"/>
          <w:szCs w:val="22"/>
          <w:lang w:val="bg-BG"/>
        </w:rPr>
        <w:t>очка</w:t>
      </w:r>
      <w:r w:rsidR="00950355" w:rsidRPr="00FE6AC6">
        <w:rPr>
          <w:noProof/>
          <w:snapToGrid w:val="0"/>
          <w:szCs w:val="22"/>
          <w:lang w:val="de-CH"/>
        </w:rPr>
        <w:t> </w:t>
      </w:r>
      <w:r w:rsidRPr="00FE6AC6">
        <w:rPr>
          <w:noProof/>
          <w:snapToGrid w:val="0"/>
          <w:szCs w:val="22"/>
          <w:lang w:val="bg-BG"/>
        </w:rPr>
        <w:t>4.4).</w:t>
      </w:r>
    </w:p>
    <w:p w14:paraId="3E550344" w14:textId="77777777" w:rsidR="001B628D" w:rsidRPr="00FE6AC6" w:rsidRDefault="001B628D" w:rsidP="0063575E">
      <w:pPr>
        <w:widowControl w:val="0"/>
        <w:tabs>
          <w:tab w:val="clear" w:pos="567"/>
          <w:tab w:val="left" w:pos="720"/>
        </w:tabs>
        <w:spacing w:line="240" w:lineRule="auto"/>
        <w:rPr>
          <w:noProof/>
          <w:snapToGrid w:val="0"/>
          <w:szCs w:val="22"/>
          <w:lang w:val="bg-BG"/>
        </w:rPr>
      </w:pPr>
    </w:p>
    <w:p w14:paraId="3E550345" w14:textId="77777777" w:rsidR="001B628D" w:rsidRPr="00FE6AC6" w:rsidRDefault="001B628D" w:rsidP="0063575E">
      <w:pPr>
        <w:keepNext/>
        <w:widowControl w:val="0"/>
        <w:tabs>
          <w:tab w:val="clear" w:pos="567"/>
          <w:tab w:val="left" w:pos="720"/>
        </w:tabs>
        <w:spacing w:line="240" w:lineRule="auto"/>
        <w:rPr>
          <w:snapToGrid w:val="0"/>
          <w:szCs w:val="22"/>
          <w:u w:val="single"/>
          <w:lang w:val="bg-BG"/>
        </w:rPr>
      </w:pPr>
      <w:r w:rsidRPr="00FE6AC6">
        <w:rPr>
          <w:noProof/>
          <w:snapToGrid w:val="0"/>
          <w:szCs w:val="22"/>
          <w:u w:val="single"/>
          <w:lang w:val="bg-BG"/>
        </w:rPr>
        <w:t>Съобщаване на подозирани нежелани реакции</w:t>
      </w:r>
    </w:p>
    <w:p w14:paraId="3E550346" w14:textId="77777777" w:rsidR="001B628D" w:rsidRPr="00FE6AC6" w:rsidRDefault="001B628D" w:rsidP="0063575E">
      <w:pPr>
        <w:widowControl w:val="0"/>
        <w:tabs>
          <w:tab w:val="clear" w:pos="567"/>
          <w:tab w:val="left" w:pos="720"/>
        </w:tabs>
        <w:spacing w:line="240" w:lineRule="auto"/>
        <w:rPr>
          <w:snapToGrid w:val="0"/>
          <w:szCs w:val="22"/>
          <w:lang w:val="bg-BG"/>
        </w:rPr>
      </w:pPr>
      <w:r w:rsidRPr="00FE6AC6">
        <w:rPr>
          <w:noProof/>
          <w:snapToGrid w:val="0"/>
          <w:szCs w:val="22"/>
          <w:lang w:val="bg-BG"/>
        </w:rPr>
        <w:t>Съобщаването на подозирани нежелани реакции след разрешаване за употреба на лекарствения продукт е важно.</w:t>
      </w:r>
      <w:r w:rsidRPr="00FE6AC6">
        <w:rPr>
          <w:snapToGrid w:val="0"/>
          <w:szCs w:val="22"/>
          <w:lang w:val="bg-BG"/>
        </w:rPr>
        <w:t xml:space="preserve"> </w:t>
      </w:r>
      <w:r w:rsidRPr="00FE6AC6">
        <w:rPr>
          <w:noProof/>
          <w:snapToGrid w:val="0"/>
          <w:szCs w:val="22"/>
          <w:lang w:val="bg-BG"/>
        </w:rPr>
        <w:t>Това позволява да продължи наблюдението на съотношението полза/риск за лекарствения продукт.</w:t>
      </w:r>
      <w:r w:rsidRPr="00FE6AC6">
        <w:rPr>
          <w:snapToGrid w:val="0"/>
          <w:szCs w:val="22"/>
          <w:lang w:val="bg-BG"/>
        </w:rPr>
        <w:t xml:space="preserve"> </w:t>
      </w:r>
      <w:r w:rsidRPr="00FE6AC6">
        <w:rPr>
          <w:noProof/>
          <w:snapToGrid w:val="0"/>
          <w:szCs w:val="22"/>
          <w:lang w:val="bg-BG"/>
        </w:rPr>
        <w:t xml:space="preserve">От медицинските специалисти се изисква да съобщават всяка подозирана нежелана реакция </w:t>
      </w:r>
      <w:r w:rsidRPr="00FE6AC6">
        <w:rPr>
          <w:noProof/>
          <w:snapToGrid w:val="0"/>
          <w:szCs w:val="22"/>
          <w:shd w:val="clear" w:color="auto" w:fill="D9D9D9"/>
          <w:lang w:val="bg-BG"/>
        </w:rPr>
        <w:t xml:space="preserve">чрез национална система за съобщаване, посочена в </w:t>
      </w:r>
      <w:hyperlink r:id="rId15" w:history="1">
        <w:r w:rsidRPr="00FE6AC6">
          <w:rPr>
            <w:noProof/>
            <w:snapToGrid w:val="0"/>
            <w:color w:val="0000FF"/>
            <w:szCs w:val="22"/>
            <w:u w:val="single"/>
            <w:shd w:val="clear" w:color="auto" w:fill="D9D9D9"/>
            <w:lang w:val="bg-BG"/>
          </w:rPr>
          <w:t>Приложение V</w:t>
        </w:r>
      </w:hyperlink>
      <w:r w:rsidRPr="00FE6AC6">
        <w:rPr>
          <w:noProof/>
          <w:snapToGrid w:val="0"/>
          <w:szCs w:val="22"/>
          <w:lang w:val="bg-BG"/>
        </w:rPr>
        <w:t>.</w:t>
      </w:r>
    </w:p>
    <w:p w14:paraId="3E550347" w14:textId="77777777" w:rsidR="001B628D" w:rsidRPr="00FE6AC6" w:rsidRDefault="001B628D" w:rsidP="0063575E">
      <w:pPr>
        <w:widowControl w:val="0"/>
        <w:tabs>
          <w:tab w:val="clear" w:pos="567"/>
        </w:tabs>
        <w:spacing w:line="240" w:lineRule="auto"/>
        <w:rPr>
          <w:color w:val="000000"/>
          <w:lang w:val="bg-BG"/>
        </w:rPr>
      </w:pPr>
    </w:p>
    <w:p w14:paraId="3E550348" w14:textId="77777777" w:rsidR="001B628D" w:rsidRPr="00FE6AC6" w:rsidRDefault="001B628D" w:rsidP="0063575E">
      <w:pPr>
        <w:keepNext/>
        <w:widowControl w:val="0"/>
        <w:spacing w:line="240" w:lineRule="auto"/>
        <w:rPr>
          <w:color w:val="000000"/>
          <w:lang w:val="bg-BG"/>
        </w:rPr>
      </w:pPr>
      <w:r w:rsidRPr="00FE6AC6">
        <w:rPr>
          <w:b/>
          <w:color w:val="000000"/>
          <w:lang w:val="bg-BG"/>
        </w:rPr>
        <w:t>4.9</w:t>
      </w:r>
      <w:r w:rsidRPr="00FE6AC6">
        <w:rPr>
          <w:b/>
          <w:color w:val="000000"/>
          <w:lang w:val="bg-BG"/>
        </w:rPr>
        <w:tab/>
        <w:t>Предозиране</w:t>
      </w:r>
    </w:p>
    <w:p w14:paraId="3E550349" w14:textId="77777777" w:rsidR="001B628D" w:rsidRPr="00FE6AC6" w:rsidRDefault="001B628D" w:rsidP="0063575E">
      <w:pPr>
        <w:keepNext/>
        <w:widowControl w:val="0"/>
        <w:tabs>
          <w:tab w:val="clear" w:pos="567"/>
        </w:tabs>
        <w:spacing w:line="240" w:lineRule="auto"/>
        <w:rPr>
          <w:color w:val="000000"/>
          <w:lang w:val="bg-BG"/>
        </w:rPr>
      </w:pPr>
    </w:p>
    <w:p w14:paraId="3E55034A"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 xml:space="preserve">Опитът с дози, по-високи от препоръчваната терапевтична доза, е ограничен. Изолирани случаи на предозиране с </w:t>
      </w:r>
      <w:r w:rsidRPr="00FE6AC6">
        <w:rPr>
          <w:color w:val="000000"/>
          <w:lang w:val="en-US"/>
        </w:rPr>
        <w:t>Glivec</w:t>
      </w:r>
      <w:r w:rsidRPr="00FE6AC6">
        <w:rPr>
          <w:color w:val="000000"/>
          <w:lang w:val="bg-BG"/>
        </w:rPr>
        <w:t xml:space="preserve"> са били докладвани спонтанно, както и в литературата. В случай на предозиране пациентът трябва да бъде наблюдаван и да му се прилага съответното симптоматично лечение.</w:t>
      </w:r>
      <w:r w:rsidRPr="00FE6AC6">
        <w:rPr>
          <w:color w:val="000000"/>
          <w:lang w:val="ru-RU"/>
        </w:rPr>
        <w:t xml:space="preserve"> Обикновено съобщените крайни резултати при тези случаи са “показал подобрение” или “възстановен”. Събитията, които са били съобщавани при различните </w:t>
      </w:r>
      <w:r w:rsidRPr="00FE6AC6">
        <w:rPr>
          <w:color w:val="000000"/>
          <w:lang w:val="bg-BG"/>
        </w:rPr>
        <w:t>дозови интервали, са както следва:</w:t>
      </w:r>
    </w:p>
    <w:p w14:paraId="3E55034B" w14:textId="77777777" w:rsidR="001B628D" w:rsidRPr="00FE6AC6" w:rsidRDefault="001B628D" w:rsidP="0063575E">
      <w:pPr>
        <w:widowControl w:val="0"/>
        <w:tabs>
          <w:tab w:val="clear" w:pos="567"/>
        </w:tabs>
        <w:spacing w:line="240" w:lineRule="auto"/>
        <w:rPr>
          <w:color w:val="000000"/>
          <w:lang w:val="bg-BG"/>
        </w:rPr>
      </w:pPr>
    </w:p>
    <w:p w14:paraId="3E55034C" w14:textId="77777777" w:rsidR="001B628D" w:rsidRPr="00FE6AC6" w:rsidRDefault="001B628D" w:rsidP="0063575E">
      <w:pPr>
        <w:keepNext/>
        <w:widowControl w:val="0"/>
        <w:tabs>
          <w:tab w:val="clear" w:pos="567"/>
        </w:tabs>
        <w:spacing w:line="240" w:lineRule="auto"/>
        <w:rPr>
          <w:color w:val="000000"/>
          <w:u w:val="single"/>
          <w:lang w:val="bg-BG"/>
        </w:rPr>
      </w:pPr>
      <w:r w:rsidRPr="00FE6AC6">
        <w:rPr>
          <w:i/>
          <w:color w:val="000000"/>
          <w:lang w:val="bg-BG"/>
        </w:rPr>
        <w:t>Възрастна популация</w:t>
      </w:r>
    </w:p>
    <w:p w14:paraId="3E55034D"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1</w:t>
      </w:r>
      <w:r w:rsidR="006A2EDD" w:rsidRPr="00FE6AC6">
        <w:rPr>
          <w:color w:val="000000"/>
          <w:lang w:val="en-US"/>
        </w:rPr>
        <w:t> </w:t>
      </w:r>
      <w:r w:rsidRPr="00FE6AC6">
        <w:rPr>
          <w:color w:val="000000"/>
          <w:lang w:val="bg-BG"/>
        </w:rPr>
        <w:t>200 до 1</w:t>
      </w:r>
      <w:r w:rsidR="006A2EDD" w:rsidRPr="00FE6AC6">
        <w:rPr>
          <w:color w:val="000000"/>
          <w:lang w:val="en-US"/>
        </w:rPr>
        <w:t> </w:t>
      </w:r>
      <w:r w:rsidRPr="00FE6AC6">
        <w:rPr>
          <w:color w:val="000000"/>
          <w:lang w:val="bg-BG"/>
        </w:rPr>
        <w:t>600</w:t>
      </w:r>
      <w:r w:rsidRPr="00FE6AC6">
        <w:rPr>
          <w:color w:val="000000"/>
          <w:lang w:val="en-US"/>
        </w:rPr>
        <w:t> mg</w:t>
      </w:r>
      <w:r w:rsidRPr="00FE6AC6">
        <w:rPr>
          <w:color w:val="000000"/>
          <w:lang w:val="bg-BG"/>
        </w:rPr>
        <w:t xml:space="preserve"> (продължителността варира между 1 до 10 дни): гадене, повръщане, диария, обрив, еритем, едем, подуване, умора, мускулни спазми, тромбоцитопения, панцитопения, коремна болка, главоболие, понижен апетит.</w:t>
      </w:r>
    </w:p>
    <w:p w14:paraId="3E55034E"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1</w:t>
      </w:r>
      <w:r w:rsidR="006A2EDD" w:rsidRPr="00FE6AC6">
        <w:rPr>
          <w:color w:val="000000"/>
          <w:lang w:val="en-US"/>
        </w:rPr>
        <w:t> </w:t>
      </w:r>
      <w:r w:rsidRPr="00FE6AC6">
        <w:rPr>
          <w:color w:val="000000"/>
          <w:lang w:val="bg-BG"/>
        </w:rPr>
        <w:t>800 до 3</w:t>
      </w:r>
      <w:r w:rsidR="006A2EDD" w:rsidRPr="00FE6AC6">
        <w:rPr>
          <w:color w:val="000000"/>
          <w:lang w:val="en-US"/>
        </w:rPr>
        <w:t> </w:t>
      </w:r>
      <w:r w:rsidRPr="00FE6AC6">
        <w:rPr>
          <w:color w:val="000000"/>
          <w:lang w:val="bg-BG"/>
        </w:rPr>
        <w:t>200 </w:t>
      </w:r>
      <w:r w:rsidRPr="00FE6AC6">
        <w:rPr>
          <w:color w:val="000000"/>
          <w:lang w:val="en-US"/>
        </w:rPr>
        <w:t>mg</w:t>
      </w:r>
      <w:r w:rsidRPr="00FE6AC6">
        <w:rPr>
          <w:color w:val="000000"/>
          <w:lang w:val="bg-BG"/>
        </w:rPr>
        <w:t xml:space="preserve"> (като 3</w:t>
      </w:r>
      <w:r w:rsidR="006A2EDD" w:rsidRPr="00FE6AC6">
        <w:rPr>
          <w:color w:val="000000"/>
          <w:lang w:val="en-US"/>
        </w:rPr>
        <w:t> </w:t>
      </w:r>
      <w:r w:rsidRPr="00FE6AC6">
        <w:rPr>
          <w:color w:val="000000"/>
          <w:lang w:val="bg-BG"/>
        </w:rPr>
        <w:t>200</w:t>
      </w:r>
      <w:r w:rsidRPr="00FE6AC6">
        <w:rPr>
          <w:color w:val="000000"/>
          <w:lang w:val="en-US"/>
        </w:rPr>
        <w:t> mg</w:t>
      </w:r>
      <w:r w:rsidRPr="00FE6AC6">
        <w:rPr>
          <w:color w:val="000000"/>
          <w:lang w:val="bg-BG"/>
        </w:rPr>
        <w:t xml:space="preserve"> на ден са прилагани в продължение на 6</w:t>
      </w:r>
      <w:r w:rsidRPr="00FE6AC6">
        <w:rPr>
          <w:color w:val="000000"/>
          <w:lang w:val="de-CH"/>
        </w:rPr>
        <w:t> </w:t>
      </w:r>
      <w:r w:rsidRPr="00FE6AC6">
        <w:rPr>
          <w:color w:val="000000"/>
          <w:lang w:val="bg-BG"/>
        </w:rPr>
        <w:t>дни): слабост, миалгия, повишаване на креатин фосфокиназата, повишаване на билирубина, стомашно-чревна болка.</w:t>
      </w:r>
    </w:p>
    <w:p w14:paraId="3E55034F"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6</w:t>
      </w:r>
      <w:r w:rsidR="006A2EDD" w:rsidRPr="00FE6AC6">
        <w:rPr>
          <w:color w:val="000000"/>
          <w:lang w:val="en-US"/>
        </w:rPr>
        <w:t> </w:t>
      </w:r>
      <w:r w:rsidRPr="00FE6AC6">
        <w:rPr>
          <w:color w:val="000000"/>
          <w:lang w:val="bg-BG"/>
        </w:rPr>
        <w:t>400</w:t>
      </w:r>
      <w:r w:rsidRPr="00FE6AC6">
        <w:rPr>
          <w:color w:val="000000"/>
          <w:lang w:val="en-US"/>
        </w:rPr>
        <w:t> mg</w:t>
      </w:r>
      <w:r w:rsidRPr="00FE6AC6">
        <w:rPr>
          <w:color w:val="000000"/>
          <w:lang w:val="bg-BG"/>
        </w:rPr>
        <w:t xml:space="preserve"> (еднократна доза): в литературата има съобщен един случай на пациент, който е бил с гадене, повръщане, коремна болка, пирексия, подуване на лицето, намаляване на броя на неутрофилите, повишаване на трансаминазите.</w:t>
      </w:r>
    </w:p>
    <w:p w14:paraId="3E550350"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 xml:space="preserve">8 до </w:t>
      </w:r>
      <w:smartTag w:uri="urn:schemas-microsoft-com:office:smarttags" w:element="metricconverter">
        <w:smartTagPr>
          <w:attr w:name="ProductID" w:val="10ﾠg"/>
        </w:smartTagPr>
        <w:r w:rsidRPr="00FE6AC6">
          <w:rPr>
            <w:color w:val="000000"/>
            <w:lang w:val="bg-BG"/>
          </w:rPr>
          <w:t>10</w:t>
        </w:r>
        <w:r w:rsidRPr="00FE6AC6">
          <w:rPr>
            <w:color w:val="000000"/>
            <w:lang w:val="en-US"/>
          </w:rPr>
          <w:t> g</w:t>
        </w:r>
      </w:smartTag>
      <w:r w:rsidRPr="00FE6AC6">
        <w:rPr>
          <w:color w:val="000000"/>
          <w:lang w:val="bg-BG"/>
        </w:rPr>
        <w:t xml:space="preserve"> (еднократна доза): съобщава се за повръщане и стомашно-чревна болка.</w:t>
      </w:r>
    </w:p>
    <w:p w14:paraId="3E550351" w14:textId="77777777" w:rsidR="001B628D" w:rsidRPr="00FE6AC6" w:rsidRDefault="001B628D" w:rsidP="0063575E">
      <w:pPr>
        <w:widowControl w:val="0"/>
        <w:tabs>
          <w:tab w:val="clear" w:pos="567"/>
        </w:tabs>
        <w:spacing w:line="240" w:lineRule="auto"/>
        <w:rPr>
          <w:color w:val="000000"/>
          <w:lang w:val="bg-BG"/>
        </w:rPr>
      </w:pPr>
    </w:p>
    <w:p w14:paraId="3E550352" w14:textId="77777777" w:rsidR="001B628D" w:rsidRPr="00FE6AC6" w:rsidRDefault="001B628D" w:rsidP="0063575E">
      <w:pPr>
        <w:keepNext/>
        <w:widowControl w:val="0"/>
        <w:tabs>
          <w:tab w:val="clear" w:pos="567"/>
        </w:tabs>
        <w:spacing w:line="240" w:lineRule="auto"/>
        <w:rPr>
          <w:color w:val="000000"/>
          <w:u w:val="single"/>
          <w:lang w:val="bg-BG"/>
        </w:rPr>
      </w:pPr>
      <w:r w:rsidRPr="00FE6AC6">
        <w:rPr>
          <w:i/>
          <w:color w:val="000000"/>
          <w:lang w:val="bg-BG"/>
        </w:rPr>
        <w:t>Педиатрична популация</w:t>
      </w:r>
    </w:p>
    <w:p w14:paraId="3E550353"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Едно 3-годишно момче при излагане на еднократна доза от 400</w:t>
      </w:r>
      <w:r w:rsidRPr="00FE6AC6">
        <w:rPr>
          <w:color w:val="000000"/>
          <w:lang w:val="en-US"/>
        </w:rPr>
        <w:t> mg</w:t>
      </w:r>
      <w:r w:rsidRPr="00FE6AC6">
        <w:rPr>
          <w:color w:val="000000"/>
          <w:lang w:val="bg-BG"/>
        </w:rPr>
        <w:t xml:space="preserve"> е било с повръщане, диария и анорексия, а друго 3-годишно момче при излагане на еднократна доза от 980</w:t>
      </w:r>
      <w:r w:rsidRPr="00FE6AC6">
        <w:rPr>
          <w:color w:val="000000"/>
          <w:lang w:val="en-US"/>
        </w:rPr>
        <w:t> mg</w:t>
      </w:r>
      <w:r w:rsidRPr="00FE6AC6">
        <w:rPr>
          <w:color w:val="000000"/>
          <w:lang w:val="bg-BG"/>
        </w:rPr>
        <w:t xml:space="preserve"> е било с намален брой бели кръвни клетки и диария.</w:t>
      </w:r>
    </w:p>
    <w:p w14:paraId="3E550354" w14:textId="77777777" w:rsidR="001B628D" w:rsidRPr="00FE6AC6" w:rsidRDefault="001B628D" w:rsidP="0063575E">
      <w:pPr>
        <w:widowControl w:val="0"/>
        <w:tabs>
          <w:tab w:val="clear" w:pos="567"/>
        </w:tabs>
        <w:spacing w:line="240" w:lineRule="auto"/>
        <w:rPr>
          <w:color w:val="000000"/>
          <w:lang w:val="bg-BG"/>
        </w:rPr>
      </w:pPr>
    </w:p>
    <w:p w14:paraId="3E550355" w14:textId="77777777" w:rsidR="001B628D" w:rsidRPr="00FE6AC6" w:rsidRDefault="001B628D" w:rsidP="0063575E">
      <w:pPr>
        <w:widowControl w:val="0"/>
        <w:tabs>
          <w:tab w:val="clear" w:pos="567"/>
        </w:tabs>
        <w:spacing w:line="240" w:lineRule="auto"/>
        <w:rPr>
          <w:color w:val="000000"/>
          <w:lang w:val="bg-BG"/>
        </w:rPr>
      </w:pPr>
      <w:r w:rsidRPr="00FE6AC6">
        <w:rPr>
          <w:color w:val="000000"/>
          <w:lang w:val="bg-BG"/>
        </w:rPr>
        <w:t>В случай на предозиране, пациентът трябва да се наблюдава и да се проведе необходимото поддържащо лечение.</w:t>
      </w:r>
    </w:p>
    <w:p w14:paraId="3E550356" w14:textId="77777777" w:rsidR="001B628D" w:rsidRPr="00FE6AC6" w:rsidRDefault="001B628D" w:rsidP="0063575E">
      <w:pPr>
        <w:widowControl w:val="0"/>
        <w:tabs>
          <w:tab w:val="clear" w:pos="567"/>
        </w:tabs>
        <w:spacing w:line="240" w:lineRule="auto"/>
        <w:rPr>
          <w:color w:val="000000"/>
          <w:lang w:val="bg-BG"/>
        </w:rPr>
      </w:pPr>
    </w:p>
    <w:p w14:paraId="3E550357" w14:textId="77777777" w:rsidR="001B628D" w:rsidRPr="00FE6AC6" w:rsidRDefault="001B628D" w:rsidP="0063575E">
      <w:pPr>
        <w:widowControl w:val="0"/>
        <w:tabs>
          <w:tab w:val="clear" w:pos="567"/>
        </w:tabs>
        <w:spacing w:line="240" w:lineRule="auto"/>
        <w:rPr>
          <w:color w:val="000000"/>
          <w:lang w:val="bg-BG"/>
        </w:rPr>
      </w:pPr>
    </w:p>
    <w:p w14:paraId="3E550358" w14:textId="77777777" w:rsidR="001B628D" w:rsidRPr="00FE6AC6" w:rsidRDefault="001B628D" w:rsidP="0063575E">
      <w:pPr>
        <w:keepNext/>
        <w:widowControl w:val="0"/>
        <w:spacing w:line="240" w:lineRule="auto"/>
        <w:ind w:left="567" w:hanging="567"/>
        <w:rPr>
          <w:color w:val="000000"/>
          <w:lang w:val="bg-BG"/>
        </w:rPr>
      </w:pPr>
      <w:r w:rsidRPr="00FE6AC6">
        <w:rPr>
          <w:b/>
          <w:color w:val="000000"/>
          <w:lang w:val="bg-BG"/>
        </w:rPr>
        <w:t>5.</w:t>
      </w:r>
      <w:r w:rsidRPr="00FE6AC6">
        <w:rPr>
          <w:b/>
          <w:color w:val="000000"/>
          <w:lang w:val="bg-BG"/>
        </w:rPr>
        <w:tab/>
        <w:t>ФАРМАКОЛОГИЧНИ СВОЙСТВА</w:t>
      </w:r>
    </w:p>
    <w:p w14:paraId="3E550359" w14:textId="77777777" w:rsidR="001B628D" w:rsidRPr="00FE6AC6" w:rsidRDefault="001B628D" w:rsidP="0063575E">
      <w:pPr>
        <w:keepNext/>
        <w:widowControl w:val="0"/>
        <w:spacing w:line="240" w:lineRule="auto"/>
        <w:rPr>
          <w:color w:val="000000"/>
          <w:lang w:val="bg-BG"/>
        </w:rPr>
      </w:pPr>
    </w:p>
    <w:p w14:paraId="3E55035A" w14:textId="77777777" w:rsidR="001B628D" w:rsidRPr="00FE6AC6" w:rsidRDefault="001B628D" w:rsidP="0063575E">
      <w:pPr>
        <w:keepNext/>
        <w:widowControl w:val="0"/>
        <w:spacing w:line="240" w:lineRule="auto"/>
        <w:ind w:left="567" w:hanging="567"/>
        <w:rPr>
          <w:b/>
          <w:color w:val="000000"/>
          <w:lang w:val="bg-BG"/>
        </w:rPr>
      </w:pPr>
      <w:r w:rsidRPr="00FE6AC6">
        <w:rPr>
          <w:b/>
          <w:color w:val="000000"/>
          <w:lang w:val="bg-BG"/>
        </w:rPr>
        <w:t>5.1</w:t>
      </w:r>
      <w:r w:rsidRPr="00FE6AC6">
        <w:rPr>
          <w:b/>
          <w:color w:val="000000"/>
          <w:lang w:val="bg-BG"/>
        </w:rPr>
        <w:tab/>
        <w:t>Фармакодинамични свойства</w:t>
      </w:r>
    </w:p>
    <w:p w14:paraId="3E55035B" w14:textId="77777777" w:rsidR="001B628D" w:rsidRPr="00FE6AC6" w:rsidRDefault="001B628D" w:rsidP="0063575E">
      <w:pPr>
        <w:keepNext/>
        <w:widowControl w:val="0"/>
        <w:tabs>
          <w:tab w:val="clear" w:pos="567"/>
        </w:tabs>
        <w:spacing w:line="240" w:lineRule="auto"/>
        <w:rPr>
          <w:color w:val="000000"/>
          <w:lang w:val="bg-BG"/>
        </w:rPr>
      </w:pPr>
    </w:p>
    <w:p w14:paraId="3E55035C" w14:textId="77777777" w:rsidR="001B628D" w:rsidRPr="00FE6AC6" w:rsidRDefault="001B628D" w:rsidP="0063575E">
      <w:pPr>
        <w:keepNext/>
        <w:widowControl w:val="0"/>
        <w:spacing w:line="240" w:lineRule="auto"/>
        <w:rPr>
          <w:color w:val="000000"/>
          <w:lang w:val="bg-BG"/>
        </w:rPr>
      </w:pPr>
      <w:r w:rsidRPr="00FE6AC6">
        <w:rPr>
          <w:color w:val="000000"/>
          <w:lang w:val="bg-BG"/>
        </w:rPr>
        <w:t>Фармакотерапевтична група: протеин-тирозин киназен инхибитор, ATC код: L01XЕ01</w:t>
      </w:r>
    </w:p>
    <w:p w14:paraId="3E55035D" w14:textId="77777777" w:rsidR="001B628D" w:rsidRPr="00FE6AC6" w:rsidRDefault="001B628D" w:rsidP="0063575E">
      <w:pPr>
        <w:keepNext/>
        <w:widowControl w:val="0"/>
        <w:spacing w:line="240" w:lineRule="auto"/>
        <w:rPr>
          <w:color w:val="000000"/>
          <w:lang w:val="bg-BG"/>
        </w:rPr>
      </w:pPr>
    </w:p>
    <w:p w14:paraId="3E55035E" w14:textId="77777777" w:rsidR="001B628D" w:rsidRPr="00FE6AC6" w:rsidRDefault="001B628D" w:rsidP="0063575E">
      <w:pPr>
        <w:keepNext/>
        <w:widowControl w:val="0"/>
        <w:numPr>
          <w:ilvl w:val="12"/>
          <w:numId w:val="0"/>
        </w:numPr>
        <w:spacing w:line="240" w:lineRule="auto"/>
        <w:ind w:right="-2"/>
        <w:rPr>
          <w:color w:val="000000"/>
          <w:lang w:val="bg-BG"/>
        </w:rPr>
      </w:pPr>
      <w:r w:rsidRPr="00FE6AC6">
        <w:rPr>
          <w:u w:val="single"/>
          <w:lang w:val="bg-BG"/>
        </w:rPr>
        <w:t>Механизъм на действие</w:t>
      </w:r>
    </w:p>
    <w:p w14:paraId="3E55035F" w14:textId="77777777" w:rsidR="001B628D" w:rsidRPr="00FE6AC6" w:rsidRDefault="001B628D" w:rsidP="0063575E">
      <w:pPr>
        <w:pStyle w:val="EndnoteText"/>
        <w:widowControl w:val="0"/>
        <w:tabs>
          <w:tab w:val="clear" w:pos="567"/>
        </w:tabs>
        <w:rPr>
          <w:lang w:val="bg-BG"/>
        </w:rPr>
      </w:pPr>
      <w:r w:rsidRPr="00FE6AC6">
        <w:rPr>
          <w:lang w:val="bg-BG"/>
        </w:rPr>
        <w:t xml:space="preserve">Иматиниб е малка молекула, протеин-тирозин киназен инхибитор, който мощно потиска активността на </w:t>
      </w:r>
      <w:r w:rsidRPr="00FE6AC6">
        <w:t>Bcr</w:t>
      </w:r>
      <w:r w:rsidRPr="00FE6AC6">
        <w:rPr>
          <w:lang w:val="bg-BG"/>
        </w:rPr>
        <w:t>-</w:t>
      </w:r>
      <w:r w:rsidRPr="00FE6AC6">
        <w:t>Abl</w:t>
      </w:r>
      <w:r w:rsidRPr="00FE6AC6">
        <w:rPr>
          <w:lang w:val="bg-BG"/>
        </w:rPr>
        <w:t xml:space="preserve"> тирозин киназата (ТК), както и на няколко ТК рецептора: </w:t>
      </w:r>
      <w:r w:rsidRPr="00FE6AC6">
        <w:t>Kit</w:t>
      </w:r>
      <w:r w:rsidRPr="00FE6AC6">
        <w:rPr>
          <w:lang w:val="bg-BG"/>
        </w:rPr>
        <w:t>, рецептора за стволовоклетъчния фактор (</w:t>
      </w:r>
      <w:r w:rsidRPr="00FE6AC6">
        <w:t>SCF</w:t>
      </w:r>
      <w:r w:rsidRPr="00FE6AC6">
        <w:rPr>
          <w:lang w:val="bg-BG"/>
        </w:rPr>
        <w:t xml:space="preserve">), кодиран от </w:t>
      </w:r>
      <w:r w:rsidRPr="00FE6AC6">
        <w:t>c</w:t>
      </w:r>
      <w:r w:rsidRPr="00FE6AC6">
        <w:rPr>
          <w:lang w:val="bg-BG"/>
        </w:rPr>
        <w:t>-</w:t>
      </w:r>
      <w:r w:rsidRPr="00FE6AC6">
        <w:t>Kit</w:t>
      </w:r>
      <w:r w:rsidRPr="00FE6AC6">
        <w:rPr>
          <w:lang w:val="bg-BG"/>
        </w:rPr>
        <w:t xml:space="preserve"> прото-онкогена, дискоидин домейн рецепторите (</w:t>
      </w:r>
      <w:r w:rsidRPr="00FE6AC6">
        <w:t>DDR</w:t>
      </w:r>
      <w:r w:rsidRPr="00FE6AC6">
        <w:rPr>
          <w:lang w:val="bg-BG"/>
        </w:rPr>
        <w:t xml:space="preserve">1 и </w:t>
      </w:r>
      <w:r w:rsidRPr="00FE6AC6">
        <w:t>DDR</w:t>
      </w:r>
      <w:r w:rsidRPr="00FE6AC6">
        <w:rPr>
          <w:lang w:val="bg-BG"/>
        </w:rPr>
        <w:t>2), рецептора за колони</w:t>
      </w:r>
      <w:r w:rsidRPr="00FE6AC6">
        <w:rPr>
          <w:lang w:val="en-US"/>
        </w:rPr>
        <w:t>o</w:t>
      </w:r>
      <w:r w:rsidRPr="00FE6AC6">
        <w:rPr>
          <w:lang w:val="bg-BG"/>
        </w:rPr>
        <w:t>стимулиращия фактор (</w:t>
      </w:r>
      <w:r w:rsidRPr="00FE6AC6">
        <w:t>CSF</w:t>
      </w:r>
      <w:r w:rsidRPr="00FE6AC6">
        <w:rPr>
          <w:lang w:val="bg-BG"/>
        </w:rPr>
        <w:t>-1</w:t>
      </w:r>
      <w:r w:rsidRPr="00FE6AC6">
        <w:t>R</w:t>
      </w:r>
      <w:r w:rsidRPr="00FE6AC6">
        <w:rPr>
          <w:lang w:val="bg-BG"/>
        </w:rPr>
        <w:t>) и алфа и бета рецепторите за произхождащите от тромбоцитите растежни фактори (</w:t>
      </w:r>
      <w:r w:rsidRPr="00FE6AC6">
        <w:t>PDGFR</w:t>
      </w:r>
      <w:r w:rsidRPr="00FE6AC6">
        <w:rPr>
          <w:lang w:val="bg-BG"/>
        </w:rPr>
        <w:t xml:space="preserve">-алфа и </w:t>
      </w:r>
      <w:r w:rsidRPr="00FE6AC6">
        <w:t>PDGFR</w:t>
      </w:r>
      <w:r w:rsidRPr="00FE6AC6">
        <w:rPr>
          <w:lang w:val="bg-BG"/>
        </w:rPr>
        <w:t>-бета). Иматиниб може също така да инхибира клетъчни събития, медиирани от активирането на тези рецепторни кинази.</w:t>
      </w:r>
    </w:p>
    <w:p w14:paraId="3E550360" w14:textId="77777777" w:rsidR="001B628D" w:rsidRPr="00FE6AC6" w:rsidRDefault="001B628D" w:rsidP="0063575E">
      <w:pPr>
        <w:pStyle w:val="EndnoteText"/>
        <w:widowControl w:val="0"/>
        <w:tabs>
          <w:tab w:val="clear" w:pos="567"/>
        </w:tabs>
        <w:rPr>
          <w:color w:val="000000"/>
          <w:szCs w:val="22"/>
          <w:lang w:val="bg-BG"/>
        </w:rPr>
      </w:pPr>
    </w:p>
    <w:p w14:paraId="3E550361" w14:textId="77777777" w:rsidR="001B628D" w:rsidRPr="00FE6AC6" w:rsidRDefault="001B628D" w:rsidP="0063575E">
      <w:pPr>
        <w:keepNext/>
        <w:widowControl w:val="0"/>
        <w:numPr>
          <w:ilvl w:val="12"/>
          <w:numId w:val="0"/>
        </w:numPr>
        <w:spacing w:line="240" w:lineRule="auto"/>
        <w:ind w:right="-2"/>
        <w:rPr>
          <w:color w:val="000000"/>
          <w:lang w:val="bg-BG"/>
        </w:rPr>
      </w:pPr>
      <w:r w:rsidRPr="00FE6AC6">
        <w:rPr>
          <w:u w:val="single"/>
          <w:lang w:val="bg-BG"/>
        </w:rPr>
        <w:t>Фармакодинамични ефекти</w:t>
      </w:r>
    </w:p>
    <w:p w14:paraId="3E550362" w14:textId="77777777" w:rsidR="001B628D" w:rsidRPr="00FE6AC6" w:rsidRDefault="001B628D" w:rsidP="0063575E">
      <w:pPr>
        <w:widowControl w:val="0"/>
        <w:numPr>
          <w:ilvl w:val="12"/>
          <w:numId w:val="0"/>
        </w:numPr>
        <w:spacing w:line="240" w:lineRule="auto"/>
        <w:ind w:right="-2"/>
        <w:rPr>
          <w:color w:val="000000"/>
          <w:lang w:val="bg-BG"/>
        </w:rPr>
      </w:pPr>
      <w:r w:rsidRPr="00FE6AC6">
        <w:rPr>
          <w:color w:val="000000"/>
          <w:lang w:val="bg-BG"/>
        </w:rPr>
        <w:t xml:space="preserve">Иматиниб е протеин-тирозин киназен инхибитор, който мощно инхибира Bcr-Abl тирозин киназатa на </w:t>
      </w:r>
      <w:r w:rsidRPr="00FE6AC6">
        <w:rPr>
          <w:i/>
          <w:color w:val="000000"/>
          <w:lang w:val="bg-BG"/>
        </w:rPr>
        <w:t>in vitro</w:t>
      </w:r>
      <w:r w:rsidRPr="00FE6AC6">
        <w:rPr>
          <w:color w:val="000000"/>
          <w:lang w:val="bg-BG"/>
        </w:rPr>
        <w:t xml:space="preserve">, клетъчно и </w:t>
      </w:r>
      <w:r w:rsidRPr="00FE6AC6">
        <w:rPr>
          <w:i/>
          <w:color w:val="000000"/>
          <w:lang w:val="bg-BG"/>
        </w:rPr>
        <w:t>in vivo</w:t>
      </w:r>
      <w:r w:rsidRPr="00FE6AC6">
        <w:rPr>
          <w:color w:val="000000"/>
          <w:lang w:val="bg-BG"/>
        </w:rPr>
        <w:t xml:space="preserve"> ниво. Веществото избирателно инхибира пролиферацията и предизвиква апоптоза в Bcr-Abl положителни клетъчни линии, както и на свежи левкемични клетки от пациенти с положителна за Филаделфийска хромозома ХМЛ и от пациенти с остра лимфобластна левкемия (ОЛЛ).</w:t>
      </w:r>
    </w:p>
    <w:p w14:paraId="3E550363" w14:textId="77777777" w:rsidR="001B628D" w:rsidRPr="00FE6AC6" w:rsidRDefault="001B628D" w:rsidP="0063575E">
      <w:pPr>
        <w:widowControl w:val="0"/>
        <w:numPr>
          <w:ilvl w:val="12"/>
          <w:numId w:val="0"/>
        </w:numPr>
        <w:spacing w:line="240" w:lineRule="auto"/>
        <w:ind w:right="-2"/>
        <w:rPr>
          <w:color w:val="000000"/>
          <w:lang w:val="bg-BG"/>
        </w:rPr>
      </w:pPr>
    </w:p>
    <w:p w14:paraId="3E550364" w14:textId="77777777" w:rsidR="001B628D" w:rsidRPr="00FE6AC6" w:rsidRDefault="001B628D" w:rsidP="0063575E">
      <w:pPr>
        <w:widowControl w:val="0"/>
        <w:numPr>
          <w:ilvl w:val="12"/>
          <w:numId w:val="0"/>
        </w:numPr>
        <w:spacing w:line="240" w:lineRule="auto"/>
        <w:ind w:right="-2"/>
        <w:rPr>
          <w:color w:val="000000"/>
          <w:lang w:val="bg-BG"/>
        </w:rPr>
      </w:pPr>
      <w:r w:rsidRPr="00FE6AC6">
        <w:rPr>
          <w:i/>
          <w:color w:val="000000"/>
          <w:lang w:val="bg-BG"/>
        </w:rPr>
        <w:t>In vivo</w:t>
      </w:r>
      <w:r w:rsidRPr="00FE6AC6">
        <w:rPr>
          <w:color w:val="000000"/>
          <w:lang w:val="bg-BG"/>
        </w:rPr>
        <w:t xml:space="preserve"> веществото показва противотуморно действие като самостоятелно средство при животински модели с използване на Bcr-Abl позитивни туморни клетки.</w:t>
      </w:r>
    </w:p>
    <w:p w14:paraId="3E550365" w14:textId="77777777" w:rsidR="001B628D" w:rsidRPr="00FE6AC6" w:rsidRDefault="001B628D" w:rsidP="0063575E">
      <w:pPr>
        <w:widowControl w:val="0"/>
        <w:numPr>
          <w:ilvl w:val="12"/>
          <w:numId w:val="0"/>
        </w:numPr>
        <w:spacing w:line="240" w:lineRule="auto"/>
        <w:ind w:right="-2"/>
        <w:rPr>
          <w:color w:val="000000"/>
          <w:lang w:val="bg-BG"/>
        </w:rPr>
      </w:pPr>
    </w:p>
    <w:p w14:paraId="3E550366" w14:textId="77777777" w:rsidR="001B628D" w:rsidRPr="00FE6AC6" w:rsidRDefault="001B628D" w:rsidP="0063575E">
      <w:pPr>
        <w:widowControl w:val="0"/>
        <w:spacing w:line="240" w:lineRule="auto"/>
        <w:rPr>
          <w:color w:val="000000"/>
          <w:lang w:val="bg-BG"/>
        </w:rPr>
      </w:pPr>
      <w:r w:rsidRPr="00FE6AC6">
        <w:rPr>
          <w:color w:val="000000"/>
          <w:lang w:val="bg-BG"/>
        </w:rPr>
        <w:t xml:space="preserve">Иматиниб е също така инхибитор за рецепторните тирозин кинази за тромбоцитния растежен фактор (PDGF), PDGF-R и стволоклетъчния фактор (SCF), c-Kit, като така инхибира медиираните от PDGF и SCF клетъчни реакции. </w:t>
      </w:r>
      <w:r w:rsidRPr="00FE6AC6">
        <w:rPr>
          <w:i/>
          <w:color w:val="000000"/>
          <w:lang w:val="bg-BG"/>
        </w:rPr>
        <w:t>In vitro</w:t>
      </w:r>
      <w:r w:rsidRPr="00FE6AC6">
        <w:rPr>
          <w:color w:val="000000"/>
          <w:lang w:val="bg-BG"/>
        </w:rPr>
        <w:t xml:space="preserve"> иматиниб инхибира пролиферацията и предизвиква апоптоза в клетките на гастро-интестиналните стромални тумори (GIST), които експресират активираща </w:t>
      </w:r>
      <w:r w:rsidRPr="00FE6AC6">
        <w:rPr>
          <w:i/>
          <w:color w:val="000000"/>
          <w:lang w:val="bg-BG"/>
        </w:rPr>
        <w:t>kit</w:t>
      </w:r>
      <w:r w:rsidRPr="00FE6AC6">
        <w:rPr>
          <w:color w:val="000000"/>
          <w:lang w:val="bg-BG"/>
        </w:rPr>
        <w:t xml:space="preserve"> мутация. Постоянното активиране на </w:t>
      </w:r>
      <w:r w:rsidRPr="00FE6AC6">
        <w:rPr>
          <w:color w:val="000000"/>
          <w:lang w:val="en-US"/>
        </w:rPr>
        <w:t>PDGF</w:t>
      </w:r>
      <w:r w:rsidRPr="00FE6AC6">
        <w:rPr>
          <w:color w:val="000000"/>
          <w:lang w:val="ru-RU"/>
        </w:rPr>
        <w:t xml:space="preserve"> </w:t>
      </w:r>
      <w:r w:rsidRPr="00FE6AC6">
        <w:rPr>
          <w:color w:val="000000"/>
          <w:lang w:val="bg-BG"/>
        </w:rPr>
        <w:t xml:space="preserve">рецептора или </w:t>
      </w:r>
      <w:r w:rsidRPr="00FE6AC6">
        <w:rPr>
          <w:color w:val="000000"/>
          <w:lang w:val="en-US"/>
        </w:rPr>
        <w:t>Abl</w:t>
      </w:r>
      <w:r w:rsidRPr="00FE6AC6">
        <w:rPr>
          <w:color w:val="000000"/>
          <w:lang w:val="bg-BG"/>
        </w:rPr>
        <w:t xml:space="preserve"> протеин-тирозин киназите, образувани в резултат на сливането на различини протеини</w:t>
      </w:r>
      <w:r w:rsidRPr="00FE6AC6">
        <w:rPr>
          <w:color w:val="000000"/>
          <w:lang w:val="ru-RU"/>
        </w:rPr>
        <w:t xml:space="preserve"> и непрекъсната</w:t>
      </w:r>
      <w:r w:rsidRPr="00FE6AC6">
        <w:rPr>
          <w:color w:val="000000"/>
          <w:lang w:val="bg-BG"/>
        </w:rPr>
        <w:t xml:space="preserve"> </w:t>
      </w:r>
      <w:r w:rsidRPr="00FE6AC6">
        <w:rPr>
          <w:color w:val="000000"/>
          <w:lang w:val="ru-RU"/>
        </w:rPr>
        <w:t xml:space="preserve">продукция на </w:t>
      </w:r>
      <w:r w:rsidRPr="00FE6AC6">
        <w:rPr>
          <w:color w:val="000000"/>
          <w:lang w:val="en-US"/>
        </w:rPr>
        <w:t>PDGF</w:t>
      </w:r>
      <w:r w:rsidRPr="00FE6AC6">
        <w:rPr>
          <w:lang w:val="bg-BG"/>
        </w:rPr>
        <w:t>, са включени в</w:t>
      </w:r>
      <w:r w:rsidRPr="00FE6AC6">
        <w:rPr>
          <w:color w:val="000000"/>
          <w:lang w:val="bg-BG"/>
        </w:rPr>
        <w:t xml:space="preserve"> патогенезата на МДС/МПЗ, ХЕС/ХЕЛ и ДФСП</w:t>
      </w:r>
      <w:r w:rsidRPr="00FE6AC6">
        <w:rPr>
          <w:color w:val="000000"/>
          <w:lang w:val="ru-RU"/>
        </w:rPr>
        <w:t xml:space="preserve">. Иматиниб инхибира клетъчната пролиферация и сигнализиране, водени от нарушената регулация на </w:t>
      </w:r>
      <w:r w:rsidRPr="00FE6AC6">
        <w:rPr>
          <w:color w:val="000000"/>
          <w:lang w:val="en-US"/>
        </w:rPr>
        <w:t>PDGFR</w:t>
      </w:r>
      <w:r w:rsidRPr="00FE6AC6">
        <w:rPr>
          <w:color w:val="000000"/>
          <w:lang w:val="ru-RU"/>
        </w:rPr>
        <w:t xml:space="preserve"> и А</w:t>
      </w:r>
      <w:r w:rsidRPr="00FE6AC6">
        <w:rPr>
          <w:color w:val="000000"/>
          <w:lang w:val="en-US"/>
        </w:rPr>
        <w:t>bl</w:t>
      </w:r>
      <w:r w:rsidRPr="00FE6AC6">
        <w:rPr>
          <w:color w:val="000000"/>
          <w:lang w:val="bg-BG"/>
        </w:rPr>
        <w:t xml:space="preserve"> киназна активност.</w:t>
      </w:r>
    </w:p>
    <w:p w14:paraId="3E550367" w14:textId="77777777" w:rsidR="001B628D" w:rsidRPr="00FE6AC6" w:rsidRDefault="001B628D" w:rsidP="0063575E">
      <w:pPr>
        <w:widowControl w:val="0"/>
        <w:spacing w:line="240" w:lineRule="auto"/>
        <w:rPr>
          <w:color w:val="000000"/>
          <w:lang w:val="bg-BG"/>
        </w:rPr>
      </w:pPr>
    </w:p>
    <w:p w14:paraId="3E550368"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Клинични проучвания при хронична миелоидна левкемия</w:t>
      </w:r>
    </w:p>
    <w:p w14:paraId="3E550369" w14:textId="77777777" w:rsidR="001B628D" w:rsidRPr="00FE6AC6" w:rsidRDefault="001B628D" w:rsidP="0063575E">
      <w:pPr>
        <w:widowControl w:val="0"/>
        <w:spacing w:line="240" w:lineRule="auto"/>
        <w:rPr>
          <w:color w:val="000000"/>
          <w:lang w:val="bg-BG"/>
        </w:rPr>
      </w:pPr>
      <w:r w:rsidRPr="00FE6AC6">
        <w:rPr>
          <w:color w:val="000000"/>
          <w:lang w:val="bg-BG"/>
        </w:rPr>
        <w:t xml:space="preserve">Ефективността на Glivec се основава на общите нива на хематологичен и цитогенетичен отговор </w:t>
      </w:r>
      <w:r w:rsidRPr="00FE6AC6">
        <w:rPr>
          <w:color w:val="000000"/>
          <w:szCs w:val="22"/>
          <w:lang w:val="bg-BG"/>
        </w:rPr>
        <w:t>и преживяемостта без прогресия. Освен при ново диагностицирана ХМЛ в хронична фаза, н</w:t>
      </w:r>
      <w:r w:rsidRPr="00FE6AC6">
        <w:rPr>
          <w:color w:val="000000"/>
          <w:lang w:val="bg-BG"/>
        </w:rPr>
        <w:t>яма контролирани проучвания, които да показват клинична полза, изразена като подобрение в свързаните с болестта симптоми или удължена преживяемост.</w:t>
      </w:r>
    </w:p>
    <w:p w14:paraId="3E55036A" w14:textId="77777777" w:rsidR="001B628D" w:rsidRPr="00FE6AC6" w:rsidRDefault="001B628D" w:rsidP="0063575E">
      <w:pPr>
        <w:widowControl w:val="0"/>
        <w:spacing w:line="240" w:lineRule="auto"/>
        <w:rPr>
          <w:color w:val="000000"/>
          <w:lang w:val="bg-BG"/>
        </w:rPr>
      </w:pPr>
    </w:p>
    <w:p w14:paraId="3E55036B" w14:textId="77777777" w:rsidR="001B628D" w:rsidRPr="00FE6AC6" w:rsidRDefault="001B628D" w:rsidP="0063575E">
      <w:pPr>
        <w:widowControl w:val="0"/>
        <w:spacing w:line="240" w:lineRule="auto"/>
        <w:rPr>
          <w:color w:val="000000"/>
          <w:lang w:val="bg-BG"/>
        </w:rPr>
      </w:pPr>
      <w:r w:rsidRPr="00FE6AC6">
        <w:rPr>
          <w:color w:val="000000"/>
          <w:lang w:val="bg-BG"/>
        </w:rPr>
        <w:t>Проведени са три големи, международни, отворени, неконтролирани проучвания във фаза </w:t>
      </w:r>
      <w:r w:rsidRPr="00FE6AC6">
        <w:rPr>
          <w:color w:val="000000"/>
          <w:lang w:val="de-CH"/>
        </w:rPr>
        <w:t>II</w:t>
      </w:r>
      <w:r w:rsidRPr="00FE6AC6">
        <w:rPr>
          <w:color w:val="000000"/>
          <w:lang w:val="en-US"/>
        </w:rPr>
        <w:t> </w:t>
      </w:r>
      <w:r w:rsidRPr="00FE6AC6">
        <w:rPr>
          <w:color w:val="000000"/>
          <w:lang w:val="bg-BG"/>
        </w:rPr>
        <w:t>при пациенти с напреднала, положителна за Филаделфийска хромозома (Ph+) ХМЛ - бластна криза или фаза на акцелерация, при други Ph+ левкемии или ХМЛ в хронична фаза, но с предхождаща неуспешна терапия с интерферон-алфа (IFN). Проведено е едно голямо, отворено, многоцентрово, международно рандомизирано проучване във фаза </w:t>
      </w:r>
      <w:r w:rsidRPr="00FE6AC6">
        <w:rPr>
          <w:color w:val="000000"/>
          <w:lang w:val="de-CH"/>
        </w:rPr>
        <w:t>III</w:t>
      </w:r>
      <w:r w:rsidRPr="00FE6AC6">
        <w:rPr>
          <w:color w:val="000000"/>
          <w:lang w:val="en-US"/>
        </w:rPr>
        <w:t> </w:t>
      </w:r>
      <w:r w:rsidRPr="00FE6AC6">
        <w:rPr>
          <w:color w:val="000000"/>
          <w:lang w:val="bg-BG"/>
        </w:rPr>
        <w:t>при новодиагностицирани пациенти с Ph+ ХМЛ. Освен това, при деца са проведени две проучвания във фаза </w:t>
      </w:r>
      <w:r w:rsidRPr="00FE6AC6">
        <w:rPr>
          <w:color w:val="000000"/>
          <w:lang w:val="de-CH"/>
        </w:rPr>
        <w:t>I</w:t>
      </w:r>
      <w:r w:rsidRPr="00FE6AC6">
        <w:rPr>
          <w:color w:val="000000"/>
          <w:lang w:val="bg-BG"/>
        </w:rPr>
        <w:t> и едно във фаза </w:t>
      </w:r>
      <w:r w:rsidRPr="00FE6AC6">
        <w:rPr>
          <w:color w:val="000000"/>
          <w:lang w:val="de-CH"/>
        </w:rPr>
        <w:t>II</w:t>
      </w:r>
      <w:r w:rsidRPr="00FE6AC6">
        <w:rPr>
          <w:color w:val="000000"/>
          <w:lang w:val="bg-BG"/>
        </w:rPr>
        <w:t>.</w:t>
      </w:r>
    </w:p>
    <w:p w14:paraId="3E55036C" w14:textId="77777777" w:rsidR="001B628D" w:rsidRPr="00FE6AC6" w:rsidRDefault="001B628D" w:rsidP="0063575E">
      <w:pPr>
        <w:widowControl w:val="0"/>
        <w:spacing w:line="240" w:lineRule="auto"/>
        <w:rPr>
          <w:color w:val="000000"/>
          <w:lang w:val="bg-BG"/>
        </w:rPr>
      </w:pPr>
    </w:p>
    <w:p w14:paraId="3E55036D" w14:textId="77777777" w:rsidR="001B628D" w:rsidRPr="00FE6AC6" w:rsidRDefault="001B628D" w:rsidP="0063575E">
      <w:pPr>
        <w:widowControl w:val="0"/>
        <w:spacing w:line="240" w:lineRule="auto"/>
        <w:rPr>
          <w:color w:val="000000"/>
          <w:lang w:val="bg-BG"/>
        </w:rPr>
      </w:pPr>
      <w:r w:rsidRPr="00FE6AC6">
        <w:rPr>
          <w:color w:val="000000"/>
          <w:lang w:val="bg-BG"/>
        </w:rPr>
        <w:t>При всички клинични проучвания</w:t>
      </w:r>
      <w:r w:rsidRPr="00FE6AC6">
        <w:rPr>
          <w:color w:val="000000"/>
          <w:lang w:val="en-US"/>
        </w:rPr>
        <w:t> </w:t>
      </w:r>
      <w:r w:rsidRPr="00FE6AC6">
        <w:rPr>
          <w:color w:val="000000"/>
          <w:lang w:val="bg-BG"/>
        </w:rPr>
        <w:t>38</w:t>
      </w:r>
      <w:r w:rsidRPr="00FE6AC6">
        <w:rPr>
          <w:color w:val="000000"/>
          <w:lang w:val="bg-BG"/>
        </w:rPr>
        <w:noBreakHyphen/>
        <w:t>40% от пациентите са били ≥60</w:t>
      </w:r>
      <w:r w:rsidRPr="00FE6AC6">
        <w:rPr>
          <w:color w:val="000000"/>
          <w:lang w:val="en-US"/>
        </w:rPr>
        <w:t> </w:t>
      </w:r>
      <w:r w:rsidRPr="00FE6AC6">
        <w:rPr>
          <w:color w:val="000000"/>
          <w:lang w:val="bg-BG"/>
        </w:rPr>
        <w:t>години и</w:t>
      </w:r>
      <w:r w:rsidRPr="00FE6AC6">
        <w:rPr>
          <w:color w:val="000000"/>
          <w:lang w:val="en-US"/>
        </w:rPr>
        <w:t> </w:t>
      </w:r>
      <w:r w:rsidRPr="00FE6AC6">
        <w:rPr>
          <w:color w:val="000000"/>
          <w:lang w:val="bg-BG"/>
        </w:rPr>
        <w:t>10</w:t>
      </w:r>
      <w:r w:rsidRPr="00FE6AC6">
        <w:rPr>
          <w:color w:val="000000"/>
          <w:lang w:val="bg-BG"/>
        </w:rPr>
        <w:noBreakHyphen/>
        <w:t>12% от тях са били ≥70</w:t>
      </w:r>
      <w:r w:rsidRPr="00FE6AC6">
        <w:rPr>
          <w:color w:val="000000"/>
          <w:lang w:val="en-US"/>
        </w:rPr>
        <w:t> </w:t>
      </w:r>
      <w:r w:rsidRPr="00FE6AC6">
        <w:rPr>
          <w:color w:val="000000"/>
          <w:lang w:val="bg-BG"/>
        </w:rPr>
        <w:t>години.</w:t>
      </w:r>
    </w:p>
    <w:p w14:paraId="3E55036E" w14:textId="77777777" w:rsidR="001B628D" w:rsidRPr="00FE6AC6" w:rsidRDefault="001B628D" w:rsidP="0063575E">
      <w:pPr>
        <w:widowControl w:val="0"/>
        <w:spacing w:line="240" w:lineRule="auto"/>
        <w:rPr>
          <w:color w:val="000000"/>
          <w:lang w:val="bg-BG"/>
        </w:rPr>
      </w:pPr>
    </w:p>
    <w:p w14:paraId="3E55036F" w14:textId="77777777" w:rsidR="001B628D" w:rsidRPr="00FE6AC6" w:rsidRDefault="001B628D" w:rsidP="0063575E">
      <w:pPr>
        <w:widowControl w:val="0"/>
        <w:spacing w:line="240" w:lineRule="auto"/>
        <w:rPr>
          <w:color w:val="000000"/>
          <w:lang w:val="bg-BG"/>
        </w:rPr>
      </w:pPr>
      <w:r w:rsidRPr="00FE6AC6">
        <w:rPr>
          <w:i/>
          <w:color w:val="000000"/>
          <w:lang w:val="bg-BG"/>
        </w:rPr>
        <w:t xml:space="preserve">Хронична фаза, новодиагностицирани пациенти: </w:t>
      </w:r>
      <w:r w:rsidRPr="00FE6AC6">
        <w:rPr>
          <w:color w:val="000000"/>
          <w:lang w:val="bg-BG"/>
        </w:rPr>
        <w:t>Фаза </w:t>
      </w:r>
      <w:r w:rsidRPr="00FE6AC6">
        <w:rPr>
          <w:color w:val="000000"/>
          <w:lang w:val="de-CH"/>
        </w:rPr>
        <w:t>III</w:t>
      </w:r>
      <w:r w:rsidRPr="00FE6AC6">
        <w:rPr>
          <w:color w:val="000000"/>
          <w:lang w:val="en-US"/>
        </w:rPr>
        <w:t> </w:t>
      </w:r>
      <w:r w:rsidRPr="00FE6AC6">
        <w:rPr>
          <w:color w:val="000000"/>
          <w:lang w:val="bg-BG"/>
        </w:rPr>
        <w:t xml:space="preserve">проучване при възрастни пациенти сравнява лечението с Glivec самостоятелно с комбинация от интерферон-алфа (IFN) плюс цитарабин (Ara-C). На пациентите, които показват липса на отговор (липса на пълен хематологичен отговор - ПХО или </w:t>
      </w:r>
      <w:r w:rsidRPr="00FE6AC6">
        <w:rPr>
          <w:color w:val="000000"/>
          <w:lang w:val="en-US"/>
        </w:rPr>
        <w:t>CHR</w:t>
      </w:r>
      <w:r w:rsidRPr="00FE6AC6">
        <w:rPr>
          <w:color w:val="000000"/>
          <w:lang w:val="bg-BG"/>
        </w:rPr>
        <w:t>) на</w:t>
      </w:r>
      <w:r w:rsidRPr="00FE6AC6">
        <w:rPr>
          <w:color w:val="000000"/>
          <w:lang w:val="en-US"/>
        </w:rPr>
        <w:t> </w:t>
      </w:r>
      <w:r w:rsidRPr="00FE6AC6">
        <w:rPr>
          <w:color w:val="000000"/>
          <w:lang w:val="bg-BG"/>
        </w:rPr>
        <w:t>6-ия месец, повишаване на левкоцитите, липса на голям цитогенетичен отговор - ГЦО (</w:t>
      </w:r>
      <w:r w:rsidRPr="00FE6AC6">
        <w:rPr>
          <w:color w:val="000000"/>
          <w:lang w:val="en-US"/>
        </w:rPr>
        <w:t>MCgR</w:t>
      </w:r>
      <w:r w:rsidRPr="00FE6AC6">
        <w:rPr>
          <w:color w:val="000000"/>
          <w:lang w:val="bg-BG"/>
        </w:rPr>
        <w:t>) на</w:t>
      </w:r>
      <w:r w:rsidRPr="00FE6AC6">
        <w:rPr>
          <w:color w:val="000000"/>
          <w:lang w:val="en-US"/>
        </w:rPr>
        <w:t> </w:t>
      </w:r>
      <w:r w:rsidRPr="00FE6AC6">
        <w:rPr>
          <w:color w:val="000000"/>
          <w:lang w:val="bg-BG"/>
        </w:rPr>
        <w:t xml:space="preserve">24-ия месец), загуба на отговор (загуба на </w:t>
      </w:r>
      <w:r w:rsidRPr="00FE6AC6">
        <w:rPr>
          <w:color w:val="000000"/>
          <w:lang w:val="en-US"/>
        </w:rPr>
        <w:t>CHR</w:t>
      </w:r>
      <w:r w:rsidRPr="00FE6AC6">
        <w:rPr>
          <w:color w:val="000000"/>
          <w:lang w:val="bg-BG"/>
        </w:rPr>
        <w:t xml:space="preserve"> или </w:t>
      </w:r>
      <w:r w:rsidRPr="00FE6AC6">
        <w:rPr>
          <w:color w:val="000000"/>
          <w:lang w:val="en-US"/>
        </w:rPr>
        <w:t>MCgR</w:t>
      </w:r>
      <w:r w:rsidRPr="00FE6AC6">
        <w:rPr>
          <w:color w:val="000000"/>
          <w:lang w:val="bg-BG"/>
        </w:rPr>
        <w:t>) или тежка непоносимост към лечението е разрешено да преминат в алтернативното терапевтично рамо. В рамото на Glivec, пациентите са лекувани с</w:t>
      </w:r>
      <w:r w:rsidRPr="00FE6AC6">
        <w:rPr>
          <w:color w:val="000000"/>
          <w:lang w:val="en-US"/>
        </w:rPr>
        <w:t> </w:t>
      </w:r>
      <w:r w:rsidRPr="00FE6AC6">
        <w:rPr>
          <w:color w:val="000000"/>
          <w:lang w:val="bg-BG"/>
        </w:rPr>
        <w:t>доза 400</w:t>
      </w:r>
      <w:r w:rsidRPr="00FE6AC6">
        <w:rPr>
          <w:color w:val="000000"/>
          <w:lang w:val="en-US"/>
        </w:rPr>
        <w:t> </w:t>
      </w:r>
      <w:r w:rsidRPr="00FE6AC6">
        <w:rPr>
          <w:color w:val="000000"/>
          <w:lang w:val="bg-BG"/>
        </w:rPr>
        <w:t>mg дневно. При лечението с IFN, пациентите са лекувани с прицелна доза на IFN от</w:t>
      </w:r>
      <w:r w:rsidRPr="00FE6AC6">
        <w:rPr>
          <w:color w:val="000000"/>
          <w:lang w:val="en-US"/>
        </w:rPr>
        <w:t> </w:t>
      </w:r>
      <w:r w:rsidRPr="00FE6AC6">
        <w:rPr>
          <w:color w:val="000000"/>
          <w:lang w:val="bg-BG"/>
        </w:rPr>
        <w:t>5</w:t>
      </w:r>
      <w:r w:rsidRPr="00FE6AC6">
        <w:rPr>
          <w:color w:val="000000"/>
          <w:lang w:val="en-US"/>
        </w:rPr>
        <w:t> </w:t>
      </w:r>
      <w:r w:rsidRPr="00FE6AC6">
        <w:rPr>
          <w:color w:val="000000"/>
          <w:lang w:val="bg-BG"/>
        </w:rPr>
        <w:t>MIU/m²/дневно подкожно, в комбинация с Ara-C</w:t>
      </w:r>
      <w:r w:rsidRPr="00FE6AC6">
        <w:rPr>
          <w:color w:val="000000"/>
          <w:lang w:val="en-US"/>
        </w:rPr>
        <w:t> </w:t>
      </w:r>
      <w:r w:rsidRPr="00FE6AC6">
        <w:rPr>
          <w:color w:val="000000"/>
          <w:lang w:val="bg-BG"/>
        </w:rPr>
        <w:t>20mg/m²/дневно подкожно за</w:t>
      </w:r>
      <w:r w:rsidRPr="00FE6AC6">
        <w:rPr>
          <w:color w:val="000000"/>
          <w:lang w:val="en-US"/>
        </w:rPr>
        <w:t> </w:t>
      </w:r>
      <w:r w:rsidRPr="00FE6AC6">
        <w:rPr>
          <w:color w:val="000000"/>
          <w:lang w:val="bg-BG"/>
        </w:rPr>
        <w:t>10</w:t>
      </w:r>
      <w:r w:rsidRPr="00FE6AC6">
        <w:rPr>
          <w:color w:val="000000"/>
          <w:lang w:val="en-US"/>
        </w:rPr>
        <w:t> </w:t>
      </w:r>
      <w:r w:rsidRPr="00FE6AC6">
        <w:rPr>
          <w:color w:val="000000"/>
          <w:lang w:val="bg-BG"/>
        </w:rPr>
        <w:t>дни/месечно.</w:t>
      </w:r>
    </w:p>
    <w:p w14:paraId="3E550370" w14:textId="77777777" w:rsidR="001B628D" w:rsidRPr="00FE6AC6" w:rsidRDefault="001B628D" w:rsidP="0063575E">
      <w:pPr>
        <w:widowControl w:val="0"/>
        <w:spacing w:line="240" w:lineRule="auto"/>
        <w:rPr>
          <w:color w:val="000000"/>
          <w:lang w:val="bg-BG"/>
        </w:rPr>
      </w:pPr>
    </w:p>
    <w:p w14:paraId="3E550371" w14:textId="77777777" w:rsidR="001B628D" w:rsidRPr="00FE6AC6" w:rsidRDefault="001B628D" w:rsidP="0063575E">
      <w:pPr>
        <w:widowControl w:val="0"/>
        <w:spacing w:line="240" w:lineRule="auto"/>
        <w:rPr>
          <w:color w:val="000000"/>
          <w:lang w:val="bg-BG"/>
        </w:rPr>
      </w:pPr>
      <w:r w:rsidRPr="00FE6AC6">
        <w:rPr>
          <w:color w:val="000000"/>
          <w:lang w:val="bg-BG"/>
        </w:rPr>
        <w:t>Рандомизирани са общо</w:t>
      </w:r>
      <w:r w:rsidRPr="00FE6AC6">
        <w:rPr>
          <w:color w:val="000000"/>
          <w:lang w:val="en-US"/>
        </w:rPr>
        <w:t> </w:t>
      </w:r>
      <w:r w:rsidRPr="00FE6AC6">
        <w:rPr>
          <w:color w:val="000000"/>
          <w:lang w:val="bg-BG"/>
        </w:rPr>
        <w:t>1 106</w:t>
      </w:r>
      <w:r w:rsidRPr="00FE6AC6">
        <w:rPr>
          <w:color w:val="000000"/>
          <w:lang w:val="en-US"/>
        </w:rPr>
        <w:t> </w:t>
      </w:r>
      <w:r w:rsidRPr="00FE6AC6">
        <w:rPr>
          <w:color w:val="000000"/>
          <w:lang w:val="bg-BG"/>
        </w:rPr>
        <w:t>пациента – по</w:t>
      </w:r>
      <w:r w:rsidRPr="00FE6AC6">
        <w:rPr>
          <w:color w:val="000000"/>
          <w:lang w:val="en-US"/>
        </w:rPr>
        <w:t> </w:t>
      </w:r>
      <w:r w:rsidRPr="00FE6AC6">
        <w:rPr>
          <w:color w:val="000000"/>
          <w:lang w:val="bg-BG"/>
        </w:rPr>
        <w:t>553</w:t>
      </w:r>
      <w:r w:rsidRPr="00FE6AC6">
        <w:rPr>
          <w:color w:val="000000"/>
          <w:lang w:val="en-US"/>
        </w:rPr>
        <w:t> </w:t>
      </w:r>
      <w:r w:rsidRPr="00FE6AC6">
        <w:rPr>
          <w:color w:val="000000"/>
          <w:lang w:val="bg-BG"/>
        </w:rPr>
        <w:t>във всяко рамо. Изходните характеристики са били добре балансирани между двете рамена. Медианата на възрастта е била</w:t>
      </w:r>
      <w:r w:rsidRPr="00FE6AC6">
        <w:rPr>
          <w:color w:val="000000"/>
          <w:lang w:val="en-US"/>
        </w:rPr>
        <w:t> </w:t>
      </w:r>
      <w:r w:rsidRPr="00FE6AC6">
        <w:rPr>
          <w:color w:val="000000"/>
          <w:lang w:val="bg-BG"/>
        </w:rPr>
        <w:t>51</w:t>
      </w:r>
      <w:r w:rsidRPr="00FE6AC6">
        <w:rPr>
          <w:color w:val="000000"/>
          <w:lang w:val="en-US"/>
        </w:rPr>
        <w:t> </w:t>
      </w:r>
      <w:r w:rsidRPr="00FE6AC6">
        <w:rPr>
          <w:color w:val="000000"/>
          <w:lang w:val="bg-BG"/>
        </w:rPr>
        <w:t>години (от</w:t>
      </w:r>
      <w:r w:rsidRPr="00FE6AC6">
        <w:rPr>
          <w:color w:val="000000"/>
          <w:lang w:val="en-US"/>
        </w:rPr>
        <w:t> </w:t>
      </w:r>
      <w:r w:rsidRPr="00FE6AC6">
        <w:rPr>
          <w:color w:val="000000"/>
          <w:lang w:val="bg-BG"/>
        </w:rPr>
        <w:t>18 до</w:t>
      </w:r>
      <w:r w:rsidRPr="00FE6AC6">
        <w:rPr>
          <w:color w:val="000000"/>
          <w:lang w:val="en-US"/>
        </w:rPr>
        <w:t> </w:t>
      </w:r>
      <w:r w:rsidRPr="00FE6AC6">
        <w:rPr>
          <w:color w:val="000000"/>
          <w:lang w:val="bg-BG"/>
        </w:rPr>
        <w:t>70 години), като</w:t>
      </w:r>
      <w:r w:rsidRPr="00FE6AC6">
        <w:rPr>
          <w:color w:val="000000"/>
          <w:lang w:val="en-US"/>
        </w:rPr>
        <w:t> </w:t>
      </w:r>
      <w:r w:rsidRPr="00FE6AC6">
        <w:rPr>
          <w:color w:val="000000"/>
          <w:lang w:val="bg-BG"/>
        </w:rPr>
        <w:t>21,9% от пациентите са били на възраст ≥60 години. Мъжете са</w:t>
      </w:r>
      <w:r w:rsidRPr="00FE6AC6">
        <w:rPr>
          <w:color w:val="000000"/>
          <w:lang w:val="en-US"/>
        </w:rPr>
        <w:t> </w:t>
      </w:r>
      <w:r w:rsidRPr="00FE6AC6">
        <w:rPr>
          <w:color w:val="000000"/>
          <w:lang w:val="bg-BG"/>
        </w:rPr>
        <w:t>били 59%, а жените –</w:t>
      </w:r>
      <w:r w:rsidRPr="00FE6AC6">
        <w:rPr>
          <w:color w:val="000000"/>
          <w:lang w:val="en-US"/>
        </w:rPr>
        <w:t> </w:t>
      </w:r>
      <w:r w:rsidRPr="00FE6AC6">
        <w:rPr>
          <w:color w:val="000000"/>
          <w:lang w:val="bg-BG"/>
        </w:rPr>
        <w:t>41%;</w:t>
      </w:r>
      <w:r w:rsidRPr="00FE6AC6">
        <w:rPr>
          <w:color w:val="000000"/>
          <w:lang w:val="en-US"/>
        </w:rPr>
        <w:t> </w:t>
      </w:r>
      <w:r w:rsidRPr="00FE6AC6">
        <w:rPr>
          <w:color w:val="000000"/>
          <w:lang w:val="bg-BG"/>
        </w:rPr>
        <w:t>89,9% са били от бялата раса и</w:t>
      </w:r>
      <w:r w:rsidRPr="00FE6AC6">
        <w:rPr>
          <w:color w:val="000000"/>
          <w:lang w:val="en-US"/>
        </w:rPr>
        <w:t> </w:t>
      </w:r>
      <w:r w:rsidRPr="00FE6AC6">
        <w:rPr>
          <w:color w:val="000000"/>
          <w:lang w:val="bg-BG"/>
        </w:rPr>
        <w:t xml:space="preserve">4,7% - от негроидната раса. </w:t>
      </w:r>
      <w:r w:rsidRPr="00FE6AC6">
        <w:rPr>
          <w:color w:val="000000"/>
          <w:szCs w:val="22"/>
          <w:lang w:val="bg-BG"/>
        </w:rPr>
        <w:t>Седем години след включване на последния пациент, медианата на продължителност на терапията на първа линия е била 82 и 8</w:t>
      </w:r>
      <w:r w:rsidRPr="00FE6AC6">
        <w:rPr>
          <w:color w:val="000000"/>
          <w:szCs w:val="22"/>
        </w:rPr>
        <w:t> </w:t>
      </w:r>
      <w:r w:rsidRPr="00FE6AC6">
        <w:rPr>
          <w:color w:val="000000"/>
          <w:szCs w:val="22"/>
          <w:lang w:val="bg-BG"/>
        </w:rPr>
        <w:t xml:space="preserve">месеца, съответно в групата на </w:t>
      </w:r>
      <w:r w:rsidRPr="00FE6AC6">
        <w:rPr>
          <w:color w:val="000000"/>
          <w:szCs w:val="22"/>
          <w:lang w:val="en-US"/>
        </w:rPr>
        <w:t>G</w:t>
      </w:r>
      <w:r w:rsidRPr="00FE6AC6">
        <w:rPr>
          <w:color w:val="000000"/>
          <w:szCs w:val="22"/>
        </w:rPr>
        <w:t>livec</w:t>
      </w:r>
      <w:r w:rsidRPr="00FE6AC6">
        <w:rPr>
          <w:color w:val="000000"/>
          <w:szCs w:val="22"/>
          <w:lang w:val="bg-BG"/>
        </w:rPr>
        <w:t xml:space="preserve"> и </w:t>
      </w:r>
      <w:r w:rsidRPr="00FE6AC6">
        <w:rPr>
          <w:color w:val="000000"/>
          <w:szCs w:val="22"/>
        </w:rPr>
        <w:t>IFN</w:t>
      </w:r>
      <w:r w:rsidRPr="00FE6AC6">
        <w:rPr>
          <w:color w:val="000000"/>
          <w:szCs w:val="22"/>
          <w:lang w:val="bg-BG"/>
        </w:rPr>
        <w:t>. Медианата на</w:t>
      </w:r>
      <w:r w:rsidRPr="00FE6AC6">
        <w:rPr>
          <w:color w:val="000000"/>
          <w:lang w:val="bg-BG"/>
        </w:rPr>
        <w:t xml:space="preserve"> продължителност на лечението на втора линия с </w:t>
      </w:r>
      <w:r w:rsidRPr="00FE6AC6">
        <w:rPr>
          <w:color w:val="000000"/>
        </w:rPr>
        <w:t>Glivec</w:t>
      </w:r>
      <w:r w:rsidRPr="00FE6AC6">
        <w:rPr>
          <w:color w:val="000000"/>
          <w:lang w:val="bg-BG"/>
        </w:rPr>
        <w:t xml:space="preserve"> е била 64</w:t>
      </w:r>
      <w:r w:rsidRPr="00FE6AC6">
        <w:rPr>
          <w:color w:val="000000"/>
        </w:rPr>
        <w:t> </w:t>
      </w:r>
      <w:r w:rsidRPr="00FE6AC6">
        <w:rPr>
          <w:color w:val="000000"/>
          <w:lang w:val="bg-BG"/>
        </w:rPr>
        <w:t xml:space="preserve">месеца. Като цяло, при пациенти получаващи </w:t>
      </w:r>
      <w:r w:rsidRPr="00FE6AC6">
        <w:rPr>
          <w:color w:val="000000"/>
        </w:rPr>
        <w:t>Glivec</w:t>
      </w:r>
      <w:r w:rsidRPr="00FE6AC6">
        <w:rPr>
          <w:color w:val="000000"/>
          <w:lang w:val="bg-BG"/>
        </w:rPr>
        <w:t xml:space="preserve"> като терапия на първа линия, средната получена дневна доза е била 406</w:t>
      </w:r>
      <w:r w:rsidRPr="00FE6AC6">
        <w:rPr>
          <w:color w:val="000000"/>
        </w:rPr>
        <w:t> </w:t>
      </w:r>
      <w:r w:rsidRPr="00FE6AC6">
        <w:rPr>
          <w:color w:val="000000"/>
          <w:lang w:val="bg-BG"/>
        </w:rPr>
        <w:t>±</w:t>
      </w:r>
      <w:r w:rsidRPr="00FE6AC6">
        <w:rPr>
          <w:color w:val="000000"/>
        </w:rPr>
        <w:t> </w:t>
      </w:r>
      <w:r w:rsidRPr="00FE6AC6">
        <w:rPr>
          <w:color w:val="000000"/>
          <w:lang w:val="bg-BG"/>
        </w:rPr>
        <w:t>76</w:t>
      </w:r>
      <w:r w:rsidRPr="00FE6AC6">
        <w:rPr>
          <w:color w:val="000000"/>
        </w:rPr>
        <w:t> mg</w:t>
      </w:r>
      <w:r w:rsidRPr="00FE6AC6">
        <w:rPr>
          <w:color w:val="000000"/>
          <w:lang w:val="bg-BG"/>
        </w:rPr>
        <w:t>. Първичната крайна цел за ефективност на проучването е била свободната от прогресия преживяемост. Прогресията се дефинира като едно от следните събития: прогресия към фаза на акцелерация или бластна криза, смърт, загуба на ПХО (</w:t>
      </w:r>
      <w:r w:rsidRPr="00FE6AC6">
        <w:rPr>
          <w:color w:val="000000"/>
          <w:lang w:val="en-US"/>
        </w:rPr>
        <w:t>CHR</w:t>
      </w:r>
      <w:r w:rsidRPr="00FE6AC6">
        <w:rPr>
          <w:color w:val="000000"/>
          <w:lang w:val="bg-BG"/>
        </w:rPr>
        <w:t>) или ГЦО (</w:t>
      </w:r>
      <w:r w:rsidRPr="00FE6AC6">
        <w:rPr>
          <w:color w:val="000000"/>
          <w:lang w:val="en-US"/>
        </w:rPr>
        <w:t>MCgR</w:t>
      </w:r>
      <w:r w:rsidRPr="00FE6AC6">
        <w:rPr>
          <w:color w:val="000000"/>
          <w:lang w:val="bg-BG"/>
        </w:rPr>
        <w:t>) или при пациенти, непостигнали ПХО (</w:t>
      </w:r>
      <w:r w:rsidRPr="00FE6AC6">
        <w:rPr>
          <w:color w:val="000000"/>
          <w:lang w:val="en-US"/>
        </w:rPr>
        <w:t>CHR</w:t>
      </w:r>
      <w:r w:rsidRPr="00FE6AC6">
        <w:rPr>
          <w:color w:val="000000"/>
          <w:lang w:val="bg-BG"/>
        </w:rPr>
        <w:t>)- повишаване на левкоцитите независимо от подходящо приложената терапия. Вторичните крайни цели са голям цитогенетичен отговор, хематологичен отговор, молекулярен отговор (оценка на минималната резидуална болест), времето до достигане на фаза на акцелерация или бластна криза и преживяемостта. Данните за отговора от лечението са представени в Таблица</w:t>
      </w:r>
      <w:r w:rsidRPr="00FE6AC6">
        <w:rPr>
          <w:color w:val="000000"/>
          <w:lang w:val="en-US"/>
        </w:rPr>
        <w:t> </w:t>
      </w:r>
      <w:r w:rsidR="00E35121" w:rsidRPr="00FE6AC6">
        <w:rPr>
          <w:color w:val="000000"/>
          <w:lang w:val="bg-BG"/>
        </w:rPr>
        <w:t>2</w:t>
      </w:r>
      <w:r w:rsidRPr="00FE6AC6">
        <w:rPr>
          <w:color w:val="000000"/>
          <w:lang w:val="bg-BG"/>
        </w:rPr>
        <w:t>.</w:t>
      </w:r>
    </w:p>
    <w:p w14:paraId="3E550372" w14:textId="77777777" w:rsidR="001B628D" w:rsidRPr="00FE6AC6" w:rsidRDefault="001B628D" w:rsidP="0063575E">
      <w:pPr>
        <w:widowControl w:val="0"/>
        <w:spacing w:line="240" w:lineRule="auto"/>
        <w:rPr>
          <w:color w:val="000000"/>
          <w:lang w:val="bg-BG"/>
        </w:rPr>
      </w:pPr>
    </w:p>
    <w:p w14:paraId="3E550373" w14:textId="77777777" w:rsidR="001B628D" w:rsidRPr="00FE6AC6" w:rsidRDefault="001B628D" w:rsidP="008143B1">
      <w:pPr>
        <w:pStyle w:val="EndnoteText"/>
        <w:keepNext/>
        <w:keepLines/>
        <w:widowControl w:val="0"/>
        <w:tabs>
          <w:tab w:val="clear" w:pos="567"/>
        </w:tabs>
        <w:ind w:left="1134" w:hanging="1134"/>
        <w:rPr>
          <w:b/>
          <w:color w:val="000000"/>
          <w:szCs w:val="22"/>
          <w:lang w:val="bg-BG"/>
        </w:rPr>
      </w:pPr>
      <w:r w:rsidRPr="00FE6AC6">
        <w:rPr>
          <w:b/>
          <w:color w:val="000000"/>
          <w:szCs w:val="22"/>
          <w:lang w:val="bg-BG"/>
        </w:rPr>
        <w:t>Таблица</w:t>
      </w:r>
      <w:r w:rsidRPr="00FE6AC6">
        <w:rPr>
          <w:b/>
          <w:color w:val="000000"/>
          <w:szCs w:val="22"/>
        </w:rPr>
        <w:t> </w:t>
      </w:r>
      <w:r w:rsidR="00E35121" w:rsidRPr="00FE6AC6">
        <w:rPr>
          <w:b/>
          <w:color w:val="000000"/>
          <w:szCs w:val="22"/>
          <w:lang w:val="bg-BG"/>
        </w:rPr>
        <w:t>2</w:t>
      </w:r>
      <w:r w:rsidRPr="00FE6AC6">
        <w:rPr>
          <w:b/>
          <w:color w:val="000000"/>
          <w:szCs w:val="22"/>
          <w:lang w:val="bg-BG"/>
        </w:rPr>
        <w:tab/>
        <w:t>Отговори в проучване при новодиагностицирани пациенти с ХМЛ (84-месечни данни)</w:t>
      </w:r>
    </w:p>
    <w:p w14:paraId="3E550374" w14:textId="77777777" w:rsidR="001B628D" w:rsidRPr="00FE6AC6" w:rsidRDefault="001B628D" w:rsidP="008143B1">
      <w:pPr>
        <w:pStyle w:val="EndnoteText"/>
        <w:keepNext/>
        <w:widowControl w:val="0"/>
        <w:rPr>
          <w:color w:val="000000"/>
          <w:szCs w:val="22"/>
          <w:lang w:val="bg-BG"/>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1B628D" w:rsidRPr="00FE6AC6" w14:paraId="3E550378" w14:textId="77777777" w:rsidTr="008143B1">
        <w:trPr>
          <w:cantSplit/>
        </w:trPr>
        <w:tc>
          <w:tcPr>
            <w:tcW w:w="3794" w:type="dxa"/>
            <w:tcBorders>
              <w:top w:val="single" w:sz="4" w:space="0" w:color="auto"/>
              <w:left w:val="single" w:sz="4" w:space="0" w:color="auto"/>
              <w:bottom w:val="nil"/>
            </w:tcBorders>
          </w:tcPr>
          <w:p w14:paraId="3E550375" w14:textId="77777777" w:rsidR="001B628D" w:rsidRPr="00FE6AC6" w:rsidRDefault="001B628D" w:rsidP="008143B1">
            <w:pPr>
              <w:pStyle w:val="Table"/>
              <w:keepLines w:val="0"/>
              <w:widowControl w:val="0"/>
              <w:spacing w:before="0" w:after="0"/>
              <w:rPr>
                <w:rFonts w:ascii="Times New Roman" w:hAnsi="Times New Roman"/>
                <w:color w:val="000000"/>
                <w:sz w:val="22"/>
                <w:szCs w:val="22"/>
                <w:lang w:val="bg-BG"/>
              </w:rPr>
            </w:pPr>
          </w:p>
        </w:tc>
        <w:tc>
          <w:tcPr>
            <w:tcW w:w="2693" w:type="dxa"/>
            <w:tcBorders>
              <w:top w:val="single" w:sz="4" w:space="0" w:color="auto"/>
              <w:bottom w:val="nil"/>
            </w:tcBorders>
          </w:tcPr>
          <w:p w14:paraId="3E550376" w14:textId="77777777" w:rsidR="001B628D" w:rsidRPr="00FE6AC6" w:rsidRDefault="001B628D" w:rsidP="008143B1">
            <w:pPr>
              <w:pStyle w:val="Table"/>
              <w:keepLines w:val="0"/>
              <w:widowControl w:val="0"/>
              <w:spacing w:before="0" w:after="0"/>
              <w:jc w:val="center"/>
              <w:rPr>
                <w:rFonts w:ascii="Times New Roman" w:hAnsi="Times New Roman"/>
                <w:b/>
                <w:color w:val="000000"/>
                <w:sz w:val="22"/>
                <w:szCs w:val="22"/>
              </w:rPr>
            </w:pPr>
            <w:r w:rsidRPr="00FE6AC6">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3E550377" w14:textId="77777777" w:rsidR="001B628D" w:rsidRPr="00FE6AC6" w:rsidRDefault="001B628D" w:rsidP="008143B1">
            <w:pPr>
              <w:pStyle w:val="Table"/>
              <w:keepLines w:val="0"/>
              <w:widowControl w:val="0"/>
              <w:spacing w:before="0" w:after="0"/>
              <w:jc w:val="center"/>
              <w:rPr>
                <w:rFonts w:ascii="Times New Roman" w:hAnsi="Times New Roman"/>
                <w:b/>
                <w:color w:val="000000"/>
                <w:sz w:val="22"/>
                <w:szCs w:val="22"/>
              </w:rPr>
            </w:pPr>
            <w:r w:rsidRPr="00FE6AC6">
              <w:rPr>
                <w:rFonts w:ascii="Times New Roman" w:hAnsi="Times New Roman"/>
                <w:b/>
                <w:color w:val="000000"/>
                <w:sz w:val="22"/>
                <w:szCs w:val="22"/>
              </w:rPr>
              <w:t>IFN+Ara-C</w:t>
            </w:r>
          </w:p>
        </w:tc>
      </w:tr>
      <w:tr w:rsidR="001B628D" w:rsidRPr="00FE6AC6" w14:paraId="3E55037C" w14:textId="77777777" w:rsidTr="008143B1">
        <w:trPr>
          <w:cantSplit/>
        </w:trPr>
        <w:tc>
          <w:tcPr>
            <w:tcW w:w="3794" w:type="dxa"/>
            <w:tcBorders>
              <w:top w:val="nil"/>
              <w:left w:val="single" w:sz="4" w:space="0" w:color="auto"/>
              <w:bottom w:val="single" w:sz="4" w:space="0" w:color="auto"/>
            </w:tcBorders>
          </w:tcPr>
          <w:p w14:paraId="3E550379" w14:textId="77777777" w:rsidR="001B628D" w:rsidRPr="00FE6AC6" w:rsidRDefault="001B628D" w:rsidP="008143B1">
            <w:pPr>
              <w:pStyle w:val="Table"/>
              <w:keepLines w:val="0"/>
              <w:widowControl w:val="0"/>
              <w:spacing w:before="0" w:after="0"/>
              <w:rPr>
                <w:rFonts w:ascii="Times New Roman" w:hAnsi="Times New Roman"/>
                <w:b/>
                <w:color w:val="000000"/>
                <w:sz w:val="22"/>
                <w:szCs w:val="22"/>
                <w:lang w:val="ru-RU"/>
              </w:rPr>
            </w:pPr>
            <w:r w:rsidRPr="00FE6AC6">
              <w:rPr>
                <w:rFonts w:ascii="Times New Roman" w:hAnsi="Times New Roman"/>
                <w:b/>
                <w:color w:val="000000"/>
                <w:sz w:val="22"/>
                <w:szCs w:val="22"/>
                <w:lang w:val="ru-RU"/>
              </w:rPr>
              <w:t>(</w:t>
            </w:r>
            <w:r w:rsidRPr="00FE6AC6">
              <w:rPr>
                <w:rFonts w:ascii="Times New Roman" w:hAnsi="Times New Roman"/>
                <w:b/>
                <w:bCs/>
                <w:color w:val="000000"/>
                <w:sz w:val="22"/>
                <w:szCs w:val="22"/>
                <w:lang w:val="bg-BG"/>
              </w:rPr>
              <w:t>Честота на най-добър отговор</w:t>
            </w:r>
            <w:r w:rsidRPr="00FE6AC6">
              <w:rPr>
                <w:rFonts w:ascii="Times New Roman" w:hAnsi="Times New Roman"/>
                <w:b/>
                <w:color w:val="000000"/>
                <w:sz w:val="22"/>
                <w:szCs w:val="22"/>
                <w:lang w:val="ru-RU"/>
              </w:rPr>
              <w:t>)</w:t>
            </w:r>
          </w:p>
        </w:tc>
        <w:tc>
          <w:tcPr>
            <w:tcW w:w="2693" w:type="dxa"/>
            <w:tcBorders>
              <w:top w:val="nil"/>
              <w:bottom w:val="single" w:sz="4" w:space="0" w:color="auto"/>
            </w:tcBorders>
          </w:tcPr>
          <w:p w14:paraId="3E55037A"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3E55037B"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rPr>
              <w:t>n=553</w:t>
            </w:r>
          </w:p>
        </w:tc>
      </w:tr>
      <w:tr w:rsidR="001B628D" w:rsidRPr="00FE6AC6" w14:paraId="3E550380" w14:textId="77777777" w:rsidTr="008143B1">
        <w:trPr>
          <w:cantSplit/>
        </w:trPr>
        <w:tc>
          <w:tcPr>
            <w:tcW w:w="3794" w:type="dxa"/>
            <w:tcBorders>
              <w:top w:val="nil"/>
              <w:left w:val="single" w:sz="4" w:space="0" w:color="auto"/>
            </w:tcBorders>
          </w:tcPr>
          <w:p w14:paraId="3E55037D" w14:textId="77777777" w:rsidR="001B628D" w:rsidRPr="00FE6AC6" w:rsidRDefault="001B628D" w:rsidP="008143B1">
            <w:pPr>
              <w:pStyle w:val="Table"/>
              <w:keepLines w:val="0"/>
              <w:widowControl w:val="0"/>
              <w:spacing w:before="0" w:after="0"/>
              <w:rPr>
                <w:rFonts w:ascii="Times New Roman" w:hAnsi="Times New Roman"/>
                <w:b/>
                <w:color w:val="000000"/>
                <w:sz w:val="22"/>
                <w:szCs w:val="22"/>
                <w:lang w:val="bg-BG"/>
              </w:rPr>
            </w:pPr>
            <w:r w:rsidRPr="00FE6AC6">
              <w:rPr>
                <w:rFonts w:ascii="Times New Roman" w:hAnsi="Times New Roman"/>
                <w:b/>
                <w:color w:val="000000"/>
                <w:sz w:val="22"/>
                <w:szCs w:val="22"/>
                <w:lang w:val="bg-BG"/>
              </w:rPr>
              <w:t>Хематологичен отговор</w:t>
            </w:r>
          </w:p>
        </w:tc>
        <w:tc>
          <w:tcPr>
            <w:tcW w:w="2693" w:type="dxa"/>
            <w:tcBorders>
              <w:top w:val="nil"/>
            </w:tcBorders>
          </w:tcPr>
          <w:p w14:paraId="3E55037E" w14:textId="77777777" w:rsidR="001B628D" w:rsidRPr="00FE6AC6" w:rsidRDefault="001B628D" w:rsidP="008143B1">
            <w:pPr>
              <w:pStyle w:val="Table"/>
              <w:keepLines w:val="0"/>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3E55037F" w14:textId="77777777" w:rsidR="001B628D" w:rsidRPr="00FE6AC6" w:rsidRDefault="001B628D" w:rsidP="008143B1">
            <w:pPr>
              <w:pStyle w:val="Table"/>
              <w:keepLines w:val="0"/>
              <w:widowControl w:val="0"/>
              <w:spacing w:before="0" w:after="0"/>
              <w:jc w:val="center"/>
              <w:rPr>
                <w:rFonts w:ascii="Times New Roman" w:hAnsi="Times New Roman"/>
                <w:b/>
                <w:color w:val="000000"/>
                <w:sz w:val="22"/>
                <w:szCs w:val="22"/>
              </w:rPr>
            </w:pPr>
          </w:p>
        </w:tc>
      </w:tr>
      <w:tr w:rsidR="001B628D" w:rsidRPr="00FE6AC6" w14:paraId="3E550384" w14:textId="77777777" w:rsidTr="008143B1">
        <w:trPr>
          <w:cantSplit/>
        </w:trPr>
        <w:tc>
          <w:tcPr>
            <w:tcW w:w="3794" w:type="dxa"/>
            <w:tcBorders>
              <w:top w:val="nil"/>
              <w:left w:val="single" w:sz="4" w:space="0" w:color="auto"/>
            </w:tcBorders>
          </w:tcPr>
          <w:p w14:paraId="3E550381"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lang w:val="bg-BG"/>
              </w:rPr>
              <w:t>Честота на ПХО (</w:t>
            </w:r>
            <w:r w:rsidRPr="00FE6AC6">
              <w:rPr>
                <w:rFonts w:ascii="Times New Roman" w:hAnsi="Times New Roman"/>
                <w:color w:val="000000"/>
                <w:sz w:val="22"/>
                <w:szCs w:val="22"/>
              </w:rPr>
              <w:t>CHR</w:t>
            </w:r>
            <w:r w:rsidRPr="00FE6AC6">
              <w:rPr>
                <w:rFonts w:ascii="Times New Roman" w:hAnsi="Times New Roman"/>
                <w:color w:val="000000"/>
                <w:sz w:val="22"/>
                <w:szCs w:val="22"/>
                <w:lang w:val="bg-BG"/>
              </w:rPr>
              <w:t xml:space="preserve">) </w:t>
            </w:r>
            <w:r w:rsidRPr="00FE6AC6">
              <w:rPr>
                <w:rFonts w:ascii="Times New Roman" w:hAnsi="Times New Roman"/>
                <w:color w:val="000000"/>
                <w:sz w:val="22"/>
                <w:szCs w:val="22"/>
              </w:rPr>
              <w:t>n (%)</w:t>
            </w:r>
          </w:p>
        </w:tc>
        <w:tc>
          <w:tcPr>
            <w:tcW w:w="2693" w:type="dxa"/>
            <w:tcBorders>
              <w:top w:val="nil"/>
            </w:tcBorders>
          </w:tcPr>
          <w:p w14:paraId="3E550382"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534</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(96</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6%)*</w:t>
            </w:r>
          </w:p>
        </w:tc>
        <w:tc>
          <w:tcPr>
            <w:tcW w:w="2718" w:type="dxa"/>
            <w:tcBorders>
              <w:top w:val="nil"/>
              <w:right w:val="single" w:sz="4" w:space="0" w:color="auto"/>
            </w:tcBorders>
          </w:tcPr>
          <w:p w14:paraId="3E550383"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313</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(56</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6%)*</w:t>
            </w:r>
          </w:p>
        </w:tc>
      </w:tr>
      <w:tr w:rsidR="001B628D" w:rsidRPr="00FE6AC6" w14:paraId="3E550388" w14:textId="77777777" w:rsidTr="008143B1">
        <w:trPr>
          <w:cantSplit/>
        </w:trPr>
        <w:tc>
          <w:tcPr>
            <w:tcW w:w="3794" w:type="dxa"/>
            <w:tcBorders>
              <w:left w:val="single" w:sz="4" w:space="0" w:color="auto"/>
            </w:tcBorders>
          </w:tcPr>
          <w:p w14:paraId="3E550385"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rPr>
              <w:tab/>
              <w:t>[95% CI]]</w:t>
            </w:r>
          </w:p>
        </w:tc>
        <w:tc>
          <w:tcPr>
            <w:tcW w:w="2693" w:type="dxa"/>
          </w:tcPr>
          <w:p w14:paraId="3E550386"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[94</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7%, 97</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9%]</w:t>
            </w:r>
          </w:p>
        </w:tc>
        <w:tc>
          <w:tcPr>
            <w:tcW w:w="2718" w:type="dxa"/>
            <w:tcBorders>
              <w:right w:val="single" w:sz="4" w:space="0" w:color="auto"/>
            </w:tcBorders>
          </w:tcPr>
          <w:p w14:paraId="3E550387"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[52</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4%, 60</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8%]</w:t>
            </w:r>
          </w:p>
        </w:tc>
      </w:tr>
      <w:tr w:rsidR="001B628D" w:rsidRPr="00FE6AC6" w14:paraId="3E55038C" w14:textId="77777777" w:rsidTr="008143B1">
        <w:trPr>
          <w:cantSplit/>
        </w:trPr>
        <w:tc>
          <w:tcPr>
            <w:tcW w:w="3794" w:type="dxa"/>
            <w:tcBorders>
              <w:left w:val="single" w:sz="4" w:space="0" w:color="auto"/>
            </w:tcBorders>
          </w:tcPr>
          <w:p w14:paraId="3E550389"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p>
        </w:tc>
        <w:tc>
          <w:tcPr>
            <w:tcW w:w="2693" w:type="dxa"/>
          </w:tcPr>
          <w:p w14:paraId="3E55038A"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3E55038B"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p>
        </w:tc>
      </w:tr>
      <w:tr w:rsidR="001B628D" w:rsidRPr="00FE6AC6" w14:paraId="3E550390" w14:textId="77777777" w:rsidTr="008143B1">
        <w:trPr>
          <w:cantSplit/>
        </w:trPr>
        <w:tc>
          <w:tcPr>
            <w:tcW w:w="3794" w:type="dxa"/>
            <w:tcBorders>
              <w:left w:val="single" w:sz="4" w:space="0" w:color="auto"/>
            </w:tcBorders>
          </w:tcPr>
          <w:p w14:paraId="3E55038D" w14:textId="77777777" w:rsidR="001B628D" w:rsidRPr="00FE6AC6" w:rsidRDefault="001B628D" w:rsidP="008143B1">
            <w:pPr>
              <w:pStyle w:val="Table"/>
              <w:keepLines w:val="0"/>
              <w:widowControl w:val="0"/>
              <w:spacing w:before="0" w:after="0"/>
              <w:rPr>
                <w:rFonts w:ascii="Times New Roman" w:hAnsi="Times New Roman"/>
                <w:b/>
                <w:color w:val="000000"/>
                <w:sz w:val="22"/>
                <w:szCs w:val="22"/>
              </w:rPr>
            </w:pPr>
            <w:r w:rsidRPr="00FE6AC6">
              <w:rPr>
                <w:rFonts w:ascii="Times New Roman" w:hAnsi="Times New Roman"/>
                <w:b/>
                <w:color w:val="000000"/>
                <w:sz w:val="22"/>
                <w:szCs w:val="22"/>
                <w:lang w:val="bg-BG"/>
              </w:rPr>
              <w:t>Цитогенетичен отговор</w:t>
            </w:r>
          </w:p>
        </w:tc>
        <w:tc>
          <w:tcPr>
            <w:tcW w:w="2693" w:type="dxa"/>
          </w:tcPr>
          <w:p w14:paraId="3E55038E" w14:textId="77777777" w:rsidR="001B628D" w:rsidRPr="00FE6AC6" w:rsidRDefault="001B628D" w:rsidP="008143B1">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3E55038F" w14:textId="77777777" w:rsidR="001B628D" w:rsidRPr="00FE6AC6" w:rsidRDefault="001B628D" w:rsidP="008143B1">
            <w:pPr>
              <w:pStyle w:val="Table"/>
              <w:keepLines w:val="0"/>
              <w:widowControl w:val="0"/>
              <w:spacing w:before="0" w:after="0"/>
              <w:rPr>
                <w:rFonts w:ascii="Times New Roman" w:hAnsi="Times New Roman"/>
                <w:b/>
                <w:color w:val="000000"/>
                <w:sz w:val="22"/>
                <w:szCs w:val="22"/>
              </w:rPr>
            </w:pPr>
          </w:p>
        </w:tc>
      </w:tr>
      <w:tr w:rsidR="001B628D" w:rsidRPr="00FE6AC6" w14:paraId="3E550394" w14:textId="77777777" w:rsidTr="008143B1">
        <w:trPr>
          <w:cantSplit/>
        </w:trPr>
        <w:tc>
          <w:tcPr>
            <w:tcW w:w="3794" w:type="dxa"/>
            <w:tcBorders>
              <w:left w:val="single" w:sz="4" w:space="0" w:color="auto"/>
            </w:tcBorders>
          </w:tcPr>
          <w:p w14:paraId="3E550391"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lang w:val="bg-BG"/>
              </w:rPr>
              <w:t xml:space="preserve">Голям отговор </w:t>
            </w:r>
            <w:r w:rsidRPr="00FE6AC6">
              <w:rPr>
                <w:rFonts w:ascii="Times New Roman" w:hAnsi="Times New Roman"/>
                <w:color w:val="000000"/>
                <w:sz w:val="22"/>
                <w:szCs w:val="22"/>
              </w:rPr>
              <w:t>n (%)</w:t>
            </w:r>
          </w:p>
        </w:tc>
        <w:tc>
          <w:tcPr>
            <w:tcW w:w="2693" w:type="dxa"/>
          </w:tcPr>
          <w:p w14:paraId="3E550392"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490</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(88</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6%)*</w:t>
            </w:r>
          </w:p>
        </w:tc>
        <w:tc>
          <w:tcPr>
            <w:tcW w:w="2718" w:type="dxa"/>
            <w:tcBorders>
              <w:right w:val="single" w:sz="4" w:space="0" w:color="auto"/>
            </w:tcBorders>
          </w:tcPr>
          <w:p w14:paraId="3E550393"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129</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(23</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3%)*</w:t>
            </w:r>
          </w:p>
        </w:tc>
      </w:tr>
      <w:tr w:rsidR="001B628D" w:rsidRPr="00FE6AC6" w14:paraId="3E550398" w14:textId="77777777" w:rsidTr="008143B1">
        <w:trPr>
          <w:cantSplit/>
        </w:trPr>
        <w:tc>
          <w:tcPr>
            <w:tcW w:w="3794" w:type="dxa"/>
            <w:tcBorders>
              <w:left w:val="single" w:sz="4" w:space="0" w:color="auto"/>
            </w:tcBorders>
          </w:tcPr>
          <w:p w14:paraId="3E550395"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rPr>
              <w:tab/>
              <w:t>[95% CI]]</w:t>
            </w:r>
          </w:p>
        </w:tc>
        <w:tc>
          <w:tcPr>
            <w:tcW w:w="2693" w:type="dxa"/>
          </w:tcPr>
          <w:p w14:paraId="3E550396"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[85</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7%, 91</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1%]</w:t>
            </w:r>
          </w:p>
        </w:tc>
        <w:tc>
          <w:tcPr>
            <w:tcW w:w="2718" w:type="dxa"/>
            <w:tcBorders>
              <w:right w:val="single" w:sz="4" w:space="0" w:color="auto"/>
            </w:tcBorders>
          </w:tcPr>
          <w:p w14:paraId="3E550397"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[19,9%, 27</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1%]</w:t>
            </w:r>
          </w:p>
        </w:tc>
      </w:tr>
      <w:tr w:rsidR="001B628D" w:rsidRPr="00FE6AC6" w14:paraId="3E55039C" w14:textId="77777777" w:rsidTr="008143B1">
        <w:trPr>
          <w:cantSplit/>
        </w:trPr>
        <w:tc>
          <w:tcPr>
            <w:tcW w:w="3794" w:type="dxa"/>
            <w:tcBorders>
              <w:left w:val="single" w:sz="4" w:space="0" w:color="auto"/>
            </w:tcBorders>
          </w:tcPr>
          <w:p w14:paraId="3E550399"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rPr>
              <w:tab/>
            </w:r>
            <w:r w:rsidRPr="00FE6AC6">
              <w:rPr>
                <w:rFonts w:ascii="Times New Roman" w:hAnsi="Times New Roman"/>
                <w:color w:val="000000"/>
                <w:sz w:val="22"/>
                <w:szCs w:val="22"/>
                <w:lang w:val="bg-BG"/>
              </w:rPr>
              <w:t>Пълен ЦО (</w:t>
            </w:r>
            <w:r w:rsidRPr="00FE6AC6">
              <w:rPr>
                <w:rFonts w:ascii="Times New Roman" w:hAnsi="Times New Roman"/>
                <w:color w:val="000000"/>
                <w:sz w:val="22"/>
                <w:szCs w:val="22"/>
              </w:rPr>
              <w:t>CgR</w:t>
            </w:r>
            <w:r w:rsidRPr="00FE6AC6">
              <w:rPr>
                <w:rFonts w:ascii="Times New Roman" w:hAnsi="Times New Roman"/>
                <w:color w:val="000000"/>
                <w:sz w:val="22"/>
                <w:szCs w:val="22"/>
                <w:lang w:val="bg-BG"/>
              </w:rPr>
              <w:t>)</w:t>
            </w:r>
            <w:r w:rsidRPr="00FE6AC6">
              <w:rPr>
                <w:rFonts w:ascii="Times New Roman" w:hAnsi="Times New Roman"/>
                <w:color w:val="000000"/>
                <w:sz w:val="22"/>
                <w:szCs w:val="22"/>
              </w:rPr>
              <w:t xml:space="preserve"> n (%)</w:t>
            </w:r>
          </w:p>
        </w:tc>
        <w:tc>
          <w:tcPr>
            <w:tcW w:w="2693" w:type="dxa"/>
          </w:tcPr>
          <w:p w14:paraId="3E55039A"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bg-BG"/>
              </w:rPr>
              <w:t>456(82,5%)</w:t>
            </w:r>
            <w:r w:rsidRPr="00FE6AC6">
              <w:rPr>
                <w:rFonts w:ascii="Times New Roman" w:hAnsi="Times New Roman"/>
                <w:color w:val="000000"/>
                <w:sz w:val="22"/>
                <w:szCs w:val="22"/>
                <w:lang w:val="en-GB"/>
              </w:rPr>
              <w:t>*</w:t>
            </w:r>
          </w:p>
        </w:tc>
        <w:tc>
          <w:tcPr>
            <w:tcW w:w="2718" w:type="dxa"/>
            <w:tcBorders>
              <w:right w:val="single" w:sz="4" w:space="0" w:color="auto"/>
            </w:tcBorders>
          </w:tcPr>
          <w:p w14:paraId="3E55039B"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64</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(11</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6%)*</w:t>
            </w:r>
          </w:p>
        </w:tc>
      </w:tr>
      <w:tr w:rsidR="001B628D" w:rsidRPr="00FE6AC6" w14:paraId="3E5503A0" w14:textId="77777777" w:rsidTr="008143B1">
        <w:trPr>
          <w:cantSplit/>
        </w:trPr>
        <w:tc>
          <w:tcPr>
            <w:tcW w:w="3794" w:type="dxa"/>
            <w:tcBorders>
              <w:left w:val="single" w:sz="4" w:space="0" w:color="auto"/>
            </w:tcBorders>
          </w:tcPr>
          <w:p w14:paraId="3E55039D"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color w:val="000000"/>
                <w:sz w:val="22"/>
                <w:szCs w:val="22"/>
              </w:rPr>
              <w:tab/>
            </w:r>
            <w:r w:rsidRPr="00FE6AC6">
              <w:rPr>
                <w:rFonts w:ascii="Times New Roman" w:hAnsi="Times New Roman"/>
                <w:color w:val="000000"/>
                <w:sz w:val="22"/>
                <w:szCs w:val="22"/>
                <w:lang w:val="bg-BG"/>
              </w:rPr>
              <w:t>Частичен ЦО</w:t>
            </w:r>
            <w:r w:rsidRPr="00FE6AC6">
              <w:rPr>
                <w:rFonts w:ascii="Times New Roman" w:hAnsi="Times New Roman"/>
                <w:color w:val="000000"/>
                <w:sz w:val="22"/>
                <w:szCs w:val="22"/>
              </w:rPr>
              <w:t xml:space="preserve"> </w:t>
            </w:r>
            <w:r w:rsidRPr="00FE6AC6">
              <w:rPr>
                <w:rFonts w:ascii="Times New Roman" w:hAnsi="Times New Roman"/>
                <w:color w:val="000000"/>
                <w:sz w:val="22"/>
                <w:szCs w:val="22"/>
                <w:lang w:val="bg-BG"/>
              </w:rPr>
              <w:t>(</w:t>
            </w:r>
            <w:r w:rsidRPr="00FE6AC6">
              <w:rPr>
                <w:rFonts w:ascii="Times New Roman" w:hAnsi="Times New Roman"/>
                <w:color w:val="000000"/>
                <w:sz w:val="22"/>
                <w:szCs w:val="22"/>
              </w:rPr>
              <w:t>CgR</w:t>
            </w:r>
            <w:r w:rsidRPr="00FE6AC6">
              <w:rPr>
                <w:rFonts w:ascii="Times New Roman" w:hAnsi="Times New Roman"/>
                <w:color w:val="000000"/>
                <w:sz w:val="22"/>
                <w:szCs w:val="22"/>
                <w:lang w:val="bg-BG"/>
              </w:rPr>
              <w:t>)</w:t>
            </w:r>
            <w:r w:rsidRPr="00FE6AC6">
              <w:rPr>
                <w:rFonts w:ascii="Times New Roman" w:hAnsi="Times New Roman"/>
                <w:color w:val="000000"/>
                <w:sz w:val="22"/>
                <w:szCs w:val="22"/>
              </w:rPr>
              <w:t xml:space="preserve"> n (%)</w:t>
            </w:r>
          </w:p>
        </w:tc>
        <w:tc>
          <w:tcPr>
            <w:tcW w:w="2693" w:type="dxa"/>
          </w:tcPr>
          <w:p w14:paraId="3E55039E"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34 (6,1%)</w:t>
            </w:r>
          </w:p>
        </w:tc>
        <w:tc>
          <w:tcPr>
            <w:tcW w:w="2718" w:type="dxa"/>
            <w:tcBorders>
              <w:right w:val="single" w:sz="4" w:space="0" w:color="auto"/>
            </w:tcBorders>
          </w:tcPr>
          <w:p w14:paraId="3E55039F"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rPr>
            </w:pPr>
            <w:r w:rsidRPr="00FE6AC6">
              <w:rPr>
                <w:rFonts w:ascii="Times New Roman" w:hAnsi="Times New Roman"/>
                <w:color w:val="000000"/>
                <w:sz w:val="22"/>
                <w:szCs w:val="22"/>
                <w:lang w:val="en-GB"/>
              </w:rPr>
              <w:t>65</w:t>
            </w:r>
            <w:r w:rsidRPr="00FE6AC6">
              <w:rPr>
                <w:rFonts w:ascii="Times New Roman" w:hAnsi="Times New Roman"/>
                <w:color w:val="000000"/>
                <w:sz w:val="22"/>
                <w:szCs w:val="22"/>
                <w:lang w:val="bg-BG"/>
              </w:rPr>
              <w:t> </w:t>
            </w:r>
            <w:r w:rsidRPr="00FE6AC6">
              <w:rPr>
                <w:rFonts w:ascii="Times New Roman" w:hAnsi="Times New Roman"/>
                <w:color w:val="000000"/>
                <w:sz w:val="22"/>
                <w:szCs w:val="22"/>
                <w:lang w:val="en-GB"/>
              </w:rPr>
              <w:t>(11</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en-GB"/>
              </w:rPr>
              <w:t>8%)</w:t>
            </w:r>
          </w:p>
        </w:tc>
      </w:tr>
      <w:tr w:rsidR="001B628D" w:rsidRPr="00FE6AC6" w14:paraId="3E5503A4" w14:textId="77777777" w:rsidTr="008143B1">
        <w:trPr>
          <w:cantSplit/>
        </w:trPr>
        <w:tc>
          <w:tcPr>
            <w:tcW w:w="3794" w:type="dxa"/>
            <w:tcBorders>
              <w:left w:val="single" w:sz="4" w:space="0" w:color="auto"/>
              <w:bottom w:val="nil"/>
            </w:tcBorders>
          </w:tcPr>
          <w:p w14:paraId="3E5503A1"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3E5503A2"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3E5503A3"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p>
        </w:tc>
      </w:tr>
      <w:tr w:rsidR="001B628D" w:rsidRPr="00FE6AC6" w14:paraId="3E5503A8" w14:textId="77777777" w:rsidTr="008143B1">
        <w:trPr>
          <w:cantSplit/>
        </w:trPr>
        <w:tc>
          <w:tcPr>
            <w:tcW w:w="3794" w:type="dxa"/>
            <w:tcBorders>
              <w:left w:val="single" w:sz="4" w:space="0" w:color="auto"/>
              <w:bottom w:val="nil"/>
            </w:tcBorders>
          </w:tcPr>
          <w:p w14:paraId="3E5503A5"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r w:rsidRPr="00FE6AC6">
              <w:rPr>
                <w:rFonts w:ascii="Times New Roman" w:hAnsi="Times New Roman"/>
                <w:b/>
                <w:color w:val="000000"/>
                <w:sz w:val="22"/>
                <w:szCs w:val="22"/>
                <w:lang w:val="bg-BG"/>
              </w:rPr>
              <w:t>Молекулярен отговор</w:t>
            </w:r>
            <w:r w:rsidRPr="00FE6AC6">
              <w:rPr>
                <w:rFonts w:ascii="Times New Roman" w:hAnsi="Times New Roman"/>
                <w:color w:val="000000"/>
                <w:sz w:val="22"/>
                <w:szCs w:val="22"/>
              </w:rPr>
              <w:t>**</w:t>
            </w:r>
          </w:p>
        </w:tc>
        <w:tc>
          <w:tcPr>
            <w:tcW w:w="2693" w:type="dxa"/>
            <w:tcBorders>
              <w:bottom w:val="nil"/>
            </w:tcBorders>
          </w:tcPr>
          <w:p w14:paraId="3E5503A6"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3E5503A7" w14:textId="77777777" w:rsidR="001B628D" w:rsidRPr="00FE6AC6" w:rsidRDefault="001B628D" w:rsidP="008143B1">
            <w:pPr>
              <w:pStyle w:val="Table"/>
              <w:keepLines w:val="0"/>
              <w:widowControl w:val="0"/>
              <w:spacing w:before="0" w:after="0"/>
              <w:rPr>
                <w:rFonts w:ascii="Times New Roman" w:hAnsi="Times New Roman"/>
                <w:color w:val="000000"/>
                <w:sz w:val="22"/>
                <w:szCs w:val="22"/>
              </w:rPr>
            </w:pPr>
          </w:p>
        </w:tc>
      </w:tr>
      <w:tr w:rsidR="001B628D" w:rsidRPr="00FE6AC6" w14:paraId="3E5503AC" w14:textId="77777777" w:rsidTr="008143B1">
        <w:trPr>
          <w:cantSplit/>
        </w:trPr>
        <w:tc>
          <w:tcPr>
            <w:tcW w:w="3794" w:type="dxa"/>
            <w:tcBorders>
              <w:left w:val="single" w:sz="4" w:space="0" w:color="auto"/>
              <w:bottom w:val="nil"/>
            </w:tcBorders>
          </w:tcPr>
          <w:p w14:paraId="3E5503A9" w14:textId="77777777" w:rsidR="001B628D" w:rsidRPr="00FE6AC6" w:rsidRDefault="001B628D" w:rsidP="008143B1">
            <w:pPr>
              <w:pStyle w:val="Table"/>
              <w:keepLines w:val="0"/>
              <w:widowControl w:val="0"/>
              <w:spacing w:before="0" w:after="0"/>
              <w:rPr>
                <w:rFonts w:ascii="Times New Roman" w:hAnsi="Times New Roman"/>
                <w:color w:val="000000"/>
                <w:sz w:val="22"/>
                <w:szCs w:val="22"/>
                <w:lang w:val="ru-RU"/>
              </w:rPr>
            </w:pPr>
            <w:r w:rsidRPr="00FE6AC6">
              <w:rPr>
                <w:rFonts w:ascii="Times New Roman" w:hAnsi="Times New Roman"/>
                <w:color w:val="000000"/>
                <w:sz w:val="22"/>
                <w:szCs w:val="22"/>
                <w:lang w:val="bg-BG"/>
              </w:rPr>
              <w:t xml:space="preserve">Голям отговор на </w:t>
            </w:r>
            <w:r w:rsidRPr="00FE6AC6">
              <w:rPr>
                <w:rFonts w:ascii="Times New Roman" w:hAnsi="Times New Roman"/>
                <w:color w:val="000000"/>
                <w:sz w:val="22"/>
                <w:szCs w:val="22"/>
                <w:lang w:val="ru-RU"/>
              </w:rPr>
              <w:t>1</w:t>
            </w:r>
            <w:r w:rsidRPr="00FE6AC6">
              <w:rPr>
                <w:rFonts w:ascii="Times New Roman" w:hAnsi="Times New Roman"/>
                <w:color w:val="000000"/>
                <w:sz w:val="22"/>
                <w:szCs w:val="22"/>
                <w:lang w:val="bg-BG"/>
              </w:rPr>
              <w:t>2-ия месец</w:t>
            </w:r>
            <w:r w:rsidRPr="00FE6AC6">
              <w:rPr>
                <w:rFonts w:ascii="Times New Roman" w:hAnsi="Times New Roman"/>
                <w:color w:val="000000"/>
                <w:sz w:val="22"/>
                <w:szCs w:val="22"/>
                <w:lang w:val="ru-RU"/>
              </w:rPr>
              <w:t xml:space="preserve"> (%)</w:t>
            </w:r>
          </w:p>
        </w:tc>
        <w:tc>
          <w:tcPr>
            <w:tcW w:w="2693" w:type="dxa"/>
            <w:tcBorders>
              <w:bottom w:val="nil"/>
            </w:tcBorders>
          </w:tcPr>
          <w:p w14:paraId="3E5503AA"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153/305=50,2%</w:t>
            </w:r>
          </w:p>
        </w:tc>
        <w:tc>
          <w:tcPr>
            <w:tcW w:w="2718" w:type="dxa"/>
            <w:tcBorders>
              <w:bottom w:val="nil"/>
              <w:right w:val="single" w:sz="4" w:space="0" w:color="auto"/>
            </w:tcBorders>
          </w:tcPr>
          <w:p w14:paraId="3E5503AB"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8/83=9,6%</w:t>
            </w:r>
          </w:p>
        </w:tc>
      </w:tr>
      <w:tr w:rsidR="001B628D" w:rsidRPr="00FE6AC6" w14:paraId="3E5503B0" w14:textId="77777777" w:rsidTr="008143B1">
        <w:trPr>
          <w:cantSplit/>
        </w:trPr>
        <w:tc>
          <w:tcPr>
            <w:tcW w:w="3794" w:type="dxa"/>
            <w:tcBorders>
              <w:left w:val="single" w:sz="4" w:space="0" w:color="auto"/>
              <w:bottom w:val="nil"/>
            </w:tcBorders>
          </w:tcPr>
          <w:p w14:paraId="3E5503AD" w14:textId="77777777" w:rsidR="001B628D" w:rsidRPr="00FE6AC6" w:rsidRDefault="001B628D" w:rsidP="008143B1">
            <w:pPr>
              <w:pStyle w:val="Table"/>
              <w:keepLines w:val="0"/>
              <w:widowControl w:val="0"/>
              <w:spacing w:before="0" w:after="0"/>
              <w:rPr>
                <w:rFonts w:ascii="Times New Roman" w:hAnsi="Times New Roman"/>
                <w:color w:val="000000"/>
                <w:sz w:val="22"/>
                <w:szCs w:val="22"/>
                <w:lang w:val="ru-RU"/>
              </w:rPr>
            </w:pPr>
            <w:r w:rsidRPr="00FE6AC6">
              <w:rPr>
                <w:rFonts w:ascii="Times New Roman" w:hAnsi="Times New Roman"/>
                <w:color w:val="000000"/>
                <w:sz w:val="22"/>
                <w:szCs w:val="22"/>
                <w:lang w:val="bg-BG"/>
              </w:rPr>
              <w:t xml:space="preserve">Голям отговор на </w:t>
            </w:r>
            <w:r w:rsidRPr="00FE6AC6">
              <w:rPr>
                <w:rFonts w:ascii="Times New Roman" w:hAnsi="Times New Roman"/>
                <w:color w:val="000000"/>
                <w:sz w:val="22"/>
                <w:szCs w:val="22"/>
                <w:lang w:val="ru-RU"/>
              </w:rPr>
              <w:t>2</w:t>
            </w:r>
            <w:r w:rsidRPr="00FE6AC6">
              <w:rPr>
                <w:rFonts w:ascii="Times New Roman" w:hAnsi="Times New Roman"/>
                <w:color w:val="000000"/>
                <w:sz w:val="22"/>
                <w:szCs w:val="22"/>
                <w:lang w:val="bg-BG"/>
              </w:rPr>
              <w:t>4-ия месец (%)</w:t>
            </w:r>
          </w:p>
        </w:tc>
        <w:tc>
          <w:tcPr>
            <w:tcW w:w="2693" w:type="dxa"/>
            <w:tcBorders>
              <w:bottom w:val="nil"/>
            </w:tcBorders>
          </w:tcPr>
          <w:p w14:paraId="3E5503AE"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73/104=70,2%</w:t>
            </w:r>
          </w:p>
        </w:tc>
        <w:tc>
          <w:tcPr>
            <w:tcW w:w="2718" w:type="dxa"/>
            <w:tcBorders>
              <w:bottom w:val="nil"/>
              <w:right w:val="single" w:sz="4" w:space="0" w:color="auto"/>
            </w:tcBorders>
          </w:tcPr>
          <w:p w14:paraId="3E5503AF"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3/12.25%</w:t>
            </w:r>
          </w:p>
        </w:tc>
      </w:tr>
      <w:tr w:rsidR="001B628D" w:rsidRPr="00FE6AC6" w14:paraId="3E5503B4" w14:textId="77777777" w:rsidTr="008143B1">
        <w:trPr>
          <w:cantSplit/>
        </w:trPr>
        <w:tc>
          <w:tcPr>
            <w:tcW w:w="3794" w:type="dxa"/>
            <w:tcBorders>
              <w:left w:val="single" w:sz="4" w:space="0" w:color="auto"/>
              <w:bottom w:val="nil"/>
            </w:tcBorders>
          </w:tcPr>
          <w:p w14:paraId="3E5503B1" w14:textId="77777777" w:rsidR="001B628D" w:rsidRPr="00FE6AC6" w:rsidRDefault="001B628D" w:rsidP="008143B1">
            <w:pPr>
              <w:pStyle w:val="Table"/>
              <w:keepLines w:val="0"/>
              <w:widowControl w:val="0"/>
              <w:spacing w:before="0" w:after="0"/>
              <w:rPr>
                <w:rFonts w:ascii="Times New Roman" w:hAnsi="Times New Roman"/>
                <w:color w:val="000000"/>
                <w:sz w:val="22"/>
                <w:szCs w:val="22"/>
                <w:lang w:val="bg-BG"/>
              </w:rPr>
            </w:pPr>
            <w:r w:rsidRPr="00FE6AC6">
              <w:rPr>
                <w:rFonts w:ascii="Times New Roman" w:hAnsi="Times New Roman"/>
                <w:color w:val="000000"/>
                <w:sz w:val="22"/>
                <w:szCs w:val="22"/>
                <w:lang w:val="bg-BG"/>
              </w:rPr>
              <w:t>Голям отговор на 84-ия месец (%)</w:t>
            </w:r>
          </w:p>
        </w:tc>
        <w:tc>
          <w:tcPr>
            <w:tcW w:w="2693" w:type="dxa"/>
            <w:tcBorders>
              <w:bottom w:val="nil"/>
            </w:tcBorders>
          </w:tcPr>
          <w:p w14:paraId="3E5503B2"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102/116=87,9%</w:t>
            </w:r>
          </w:p>
        </w:tc>
        <w:tc>
          <w:tcPr>
            <w:tcW w:w="2718" w:type="dxa"/>
            <w:tcBorders>
              <w:bottom w:val="nil"/>
              <w:right w:val="single" w:sz="4" w:space="0" w:color="auto"/>
            </w:tcBorders>
          </w:tcPr>
          <w:p w14:paraId="3E5503B3" w14:textId="77777777" w:rsidR="001B628D" w:rsidRPr="00FE6AC6" w:rsidRDefault="001B628D" w:rsidP="008143B1">
            <w:pPr>
              <w:pStyle w:val="Table"/>
              <w:keepLines w:val="0"/>
              <w:widowControl w:val="0"/>
              <w:spacing w:before="0" w:after="0"/>
              <w:jc w:val="center"/>
              <w:rPr>
                <w:rFonts w:ascii="Times New Roman" w:hAnsi="Times New Roman"/>
                <w:color w:val="000000"/>
                <w:sz w:val="22"/>
                <w:szCs w:val="22"/>
                <w:lang w:val="bg-BG"/>
              </w:rPr>
            </w:pPr>
            <w:r w:rsidRPr="00FE6AC6">
              <w:rPr>
                <w:rFonts w:ascii="Times New Roman" w:hAnsi="Times New Roman"/>
                <w:color w:val="000000"/>
                <w:sz w:val="22"/>
                <w:szCs w:val="22"/>
                <w:lang w:val="bg-BG"/>
              </w:rPr>
              <w:t>3/4=75%</w:t>
            </w:r>
          </w:p>
        </w:tc>
      </w:tr>
      <w:tr w:rsidR="001B628D" w:rsidRPr="004015AA" w14:paraId="3E5503BB" w14:textId="77777777" w:rsidTr="008143B1">
        <w:trPr>
          <w:cantSplit/>
        </w:trPr>
        <w:tc>
          <w:tcPr>
            <w:tcW w:w="9205" w:type="dxa"/>
            <w:gridSpan w:val="3"/>
            <w:tcBorders>
              <w:top w:val="single" w:sz="4" w:space="0" w:color="auto"/>
              <w:left w:val="single" w:sz="4" w:space="0" w:color="auto"/>
              <w:bottom w:val="single" w:sz="4" w:space="0" w:color="auto"/>
              <w:right w:val="single" w:sz="4" w:space="0" w:color="auto"/>
            </w:tcBorders>
          </w:tcPr>
          <w:p w14:paraId="3E5503B5" w14:textId="77777777" w:rsidR="001B628D" w:rsidRPr="00FE6AC6" w:rsidRDefault="001B628D" w:rsidP="008143B1">
            <w:pPr>
              <w:pStyle w:val="Table"/>
              <w:keepNext w:val="0"/>
              <w:keepLines w:val="0"/>
              <w:widowControl w:val="0"/>
              <w:spacing w:before="0" w:after="0"/>
              <w:rPr>
                <w:rFonts w:ascii="Times New Roman" w:hAnsi="Times New Roman"/>
                <w:color w:val="000000"/>
                <w:sz w:val="22"/>
                <w:szCs w:val="22"/>
                <w:lang w:val="ru-RU"/>
              </w:rPr>
            </w:pPr>
            <w:r w:rsidRPr="00FE6AC6">
              <w:rPr>
                <w:rFonts w:ascii="Times New Roman" w:hAnsi="Times New Roman"/>
                <w:color w:val="000000"/>
                <w:sz w:val="22"/>
                <w:szCs w:val="22"/>
                <w:lang w:val="ru-RU"/>
              </w:rPr>
              <w:t xml:space="preserve">* </w:t>
            </w:r>
            <w:r w:rsidRPr="00FE6AC6">
              <w:rPr>
                <w:rFonts w:ascii="Times New Roman" w:hAnsi="Times New Roman"/>
                <w:color w:val="000000"/>
                <w:sz w:val="22"/>
                <w:szCs w:val="22"/>
              </w:rPr>
              <w:t>p</w:t>
            </w:r>
            <w:r w:rsidRPr="00FE6AC6">
              <w:rPr>
                <w:rFonts w:ascii="Times New Roman" w:hAnsi="Times New Roman"/>
                <w:color w:val="000000"/>
                <w:sz w:val="22"/>
                <w:szCs w:val="22"/>
                <w:lang w:val="ru-RU"/>
              </w:rPr>
              <w:t>&lt;0</w:t>
            </w:r>
            <w:r w:rsidRPr="00FE6AC6">
              <w:rPr>
                <w:rFonts w:ascii="Times New Roman" w:hAnsi="Times New Roman"/>
                <w:color w:val="000000"/>
                <w:sz w:val="22"/>
                <w:szCs w:val="22"/>
                <w:lang w:val="bg-BG"/>
              </w:rPr>
              <w:t>,</w:t>
            </w:r>
            <w:r w:rsidRPr="00FE6AC6">
              <w:rPr>
                <w:rFonts w:ascii="Times New Roman" w:hAnsi="Times New Roman"/>
                <w:color w:val="000000"/>
                <w:sz w:val="22"/>
                <w:szCs w:val="22"/>
                <w:lang w:val="ru-RU"/>
              </w:rPr>
              <w:t xml:space="preserve">001, </w:t>
            </w:r>
            <w:r w:rsidRPr="00FE6AC6">
              <w:rPr>
                <w:rFonts w:ascii="Times New Roman" w:hAnsi="Times New Roman"/>
                <w:color w:val="000000"/>
                <w:sz w:val="22"/>
                <w:szCs w:val="22"/>
              </w:rPr>
              <w:t>Fischer</w:t>
            </w:r>
            <w:r w:rsidRPr="00FE6AC6">
              <w:rPr>
                <w:rFonts w:ascii="Times New Roman" w:hAnsi="Times New Roman"/>
                <w:color w:val="000000"/>
                <w:sz w:val="22"/>
                <w:szCs w:val="22"/>
                <w:lang w:val="ru-RU"/>
              </w:rPr>
              <w:t xml:space="preserve"> </w:t>
            </w:r>
            <w:r w:rsidRPr="00FE6AC6">
              <w:rPr>
                <w:rFonts w:ascii="Times New Roman" w:hAnsi="Times New Roman"/>
                <w:color w:val="000000"/>
                <w:sz w:val="22"/>
                <w:szCs w:val="22"/>
              </w:rPr>
              <w:t>exact</w:t>
            </w:r>
            <w:r w:rsidRPr="00FE6AC6">
              <w:rPr>
                <w:rFonts w:ascii="Times New Roman" w:hAnsi="Times New Roman"/>
                <w:color w:val="000000"/>
                <w:sz w:val="22"/>
                <w:szCs w:val="22"/>
                <w:lang w:val="ru-RU"/>
              </w:rPr>
              <w:t xml:space="preserve"> </w:t>
            </w:r>
            <w:r w:rsidRPr="00FE6AC6">
              <w:rPr>
                <w:rFonts w:ascii="Times New Roman" w:hAnsi="Times New Roman"/>
                <w:color w:val="000000"/>
                <w:sz w:val="22"/>
                <w:szCs w:val="22"/>
              </w:rPr>
              <w:t>test</w:t>
            </w:r>
          </w:p>
          <w:p w14:paraId="3E5503B6" w14:textId="77777777" w:rsidR="001B628D" w:rsidRPr="00FE6AC6" w:rsidRDefault="001B628D" w:rsidP="008143B1">
            <w:pPr>
              <w:pStyle w:val="Table"/>
              <w:keepNext w:val="0"/>
              <w:keepLines w:val="0"/>
              <w:widowControl w:val="0"/>
              <w:spacing w:before="0" w:after="0"/>
              <w:rPr>
                <w:rFonts w:ascii="Times New Roman" w:hAnsi="Times New Roman"/>
                <w:color w:val="000000"/>
                <w:sz w:val="22"/>
                <w:szCs w:val="22"/>
                <w:lang w:val="ru-RU"/>
              </w:rPr>
            </w:pPr>
            <w:r w:rsidRPr="00FE6AC6">
              <w:rPr>
                <w:rFonts w:ascii="Times New Roman" w:hAnsi="Times New Roman"/>
                <w:color w:val="000000"/>
                <w:sz w:val="22"/>
                <w:szCs w:val="22"/>
                <w:lang w:val="ru-RU"/>
              </w:rPr>
              <w:t>** изчислените проценти на молекулярен отговор са на база на наличните проби</w:t>
            </w:r>
          </w:p>
          <w:p w14:paraId="3E5503B7" w14:textId="77777777" w:rsidR="001B628D" w:rsidRPr="00FE6AC6" w:rsidRDefault="001B628D" w:rsidP="008143B1">
            <w:pPr>
              <w:widowControl w:val="0"/>
              <w:spacing w:line="240" w:lineRule="auto"/>
              <w:rPr>
                <w:color w:val="000000"/>
                <w:szCs w:val="22"/>
                <w:lang w:val="bg-BG"/>
              </w:rPr>
            </w:pPr>
            <w:r w:rsidRPr="00FE6AC6">
              <w:rPr>
                <w:b/>
                <w:color w:val="000000"/>
                <w:szCs w:val="22"/>
                <w:lang w:val="bg-BG"/>
              </w:rPr>
              <w:t>Критерии за хематологичен отговор (всички отговори трябва да се потвърдят след ≥4 седмици):</w:t>
            </w:r>
          </w:p>
          <w:p w14:paraId="3E5503B8" w14:textId="77777777" w:rsidR="001B628D" w:rsidRPr="00FE6AC6" w:rsidRDefault="001B628D" w:rsidP="008143B1">
            <w:pPr>
              <w:widowControl w:val="0"/>
              <w:spacing w:line="240" w:lineRule="auto"/>
              <w:rPr>
                <w:color w:val="000000"/>
                <w:szCs w:val="22"/>
                <w:lang w:val="bg-BG"/>
              </w:rPr>
            </w:pPr>
            <w:r w:rsidRPr="00FE6AC6">
              <w:rPr>
                <w:color w:val="000000"/>
                <w:szCs w:val="22"/>
                <w:lang w:val="bg-BG"/>
              </w:rPr>
              <w:t>Брой левкоцити (БЛ) &lt;10</w:t>
            </w:r>
            <w:r w:rsidRPr="00FE6AC6">
              <w:rPr>
                <w:color w:val="000000"/>
                <w:szCs w:val="22"/>
                <w:lang w:val="en-US"/>
              </w:rPr>
              <w:t> </w:t>
            </w:r>
            <w:r w:rsidRPr="00FE6AC6">
              <w:rPr>
                <w:color w:val="000000"/>
                <w:szCs w:val="22"/>
                <w:lang w:val="bg-BG"/>
              </w:rPr>
              <w:t>x</w:t>
            </w:r>
            <w:r w:rsidRPr="00FE6AC6">
              <w:rPr>
                <w:color w:val="000000"/>
                <w:szCs w:val="22"/>
                <w:lang w:val="en-US"/>
              </w:rPr>
              <w:t> </w:t>
            </w:r>
            <w:r w:rsidRPr="00FE6AC6">
              <w:rPr>
                <w:color w:val="000000"/>
                <w:szCs w:val="22"/>
                <w:lang w:val="bg-BG"/>
              </w:rPr>
              <w:t>10</w:t>
            </w:r>
            <w:r w:rsidRPr="00FE6AC6">
              <w:rPr>
                <w:color w:val="000000"/>
                <w:szCs w:val="22"/>
                <w:vertAlign w:val="superscript"/>
                <w:lang w:val="bg-BG"/>
              </w:rPr>
              <w:t>9</w:t>
            </w:r>
            <w:r w:rsidRPr="00FE6AC6">
              <w:rPr>
                <w:color w:val="000000"/>
                <w:szCs w:val="22"/>
                <w:lang w:val="bg-BG"/>
              </w:rPr>
              <w:t>/l, тромбоцити &lt;450</w:t>
            </w:r>
            <w:r w:rsidRPr="00FE6AC6">
              <w:rPr>
                <w:color w:val="000000"/>
                <w:szCs w:val="22"/>
                <w:lang w:val="en-US"/>
              </w:rPr>
              <w:t> </w:t>
            </w:r>
            <w:r w:rsidRPr="00FE6AC6">
              <w:rPr>
                <w:color w:val="000000"/>
                <w:szCs w:val="22"/>
                <w:lang w:val="bg-BG"/>
              </w:rPr>
              <w:t>x</w:t>
            </w:r>
            <w:r w:rsidRPr="00FE6AC6">
              <w:rPr>
                <w:color w:val="000000"/>
                <w:szCs w:val="22"/>
                <w:lang w:val="en-US"/>
              </w:rPr>
              <w:t> </w:t>
            </w:r>
            <w:r w:rsidRPr="00FE6AC6">
              <w:rPr>
                <w:color w:val="000000"/>
                <w:szCs w:val="22"/>
                <w:lang w:val="bg-BG"/>
              </w:rPr>
              <w:t>10</w:t>
            </w:r>
            <w:r w:rsidRPr="00FE6AC6">
              <w:rPr>
                <w:color w:val="000000"/>
                <w:szCs w:val="22"/>
                <w:vertAlign w:val="superscript"/>
                <w:lang w:val="bg-BG"/>
              </w:rPr>
              <w:t>9</w:t>
            </w:r>
            <w:r w:rsidRPr="00FE6AC6">
              <w:rPr>
                <w:color w:val="000000"/>
                <w:szCs w:val="22"/>
                <w:lang w:val="bg-BG"/>
              </w:rPr>
              <w:t>/l, миелоцити + метамиелоцити &lt;5% в кръвта, без бласти и промиелоцити в кръвта, базофили &lt;20%, липса на екстрамедуларно засягане</w:t>
            </w:r>
          </w:p>
          <w:p w14:paraId="3E5503B9" w14:textId="77777777" w:rsidR="001B628D" w:rsidRPr="00FE6AC6" w:rsidRDefault="001B628D" w:rsidP="008143B1">
            <w:pPr>
              <w:widowControl w:val="0"/>
              <w:spacing w:line="240" w:lineRule="auto"/>
              <w:rPr>
                <w:color w:val="000000"/>
                <w:szCs w:val="22"/>
                <w:lang w:val="bg-BG"/>
              </w:rPr>
            </w:pPr>
            <w:r w:rsidRPr="00FE6AC6">
              <w:rPr>
                <w:b/>
                <w:color w:val="000000"/>
                <w:szCs w:val="22"/>
                <w:lang w:val="bg-BG"/>
              </w:rPr>
              <w:t xml:space="preserve">Критерии за цитогенетичен отговор: </w:t>
            </w:r>
            <w:r w:rsidRPr="00FE6AC6">
              <w:rPr>
                <w:color w:val="000000"/>
                <w:szCs w:val="22"/>
                <w:lang w:val="bg-BG"/>
              </w:rPr>
              <w:t>пълен (0% Ph+ метафазни пластинки), частичен (1</w:t>
            </w:r>
            <w:r w:rsidRPr="00FE6AC6">
              <w:rPr>
                <w:color w:val="000000"/>
                <w:szCs w:val="22"/>
                <w:lang w:val="bg-BG"/>
              </w:rPr>
              <w:noBreakHyphen/>
              <w:t>35%), малък (36</w:t>
            </w:r>
            <w:r w:rsidRPr="00FE6AC6">
              <w:rPr>
                <w:color w:val="000000"/>
                <w:szCs w:val="22"/>
                <w:lang w:val="bg-BG"/>
              </w:rPr>
              <w:noBreakHyphen/>
              <w:t>65%) или минимален (66</w:t>
            </w:r>
            <w:r w:rsidRPr="00FE6AC6">
              <w:rPr>
                <w:color w:val="000000"/>
                <w:szCs w:val="22"/>
                <w:lang w:val="bg-BG"/>
              </w:rPr>
              <w:noBreakHyphen/>
              <w:t>95%). Големият отговор (0</w:t>
            </w:r>
            <w:r w:rsidRPr="00FE6AC6">
              <w:rPr>
                <w:color w:val="000000"/>
                <w:szCs w:val="22"/>
                <w:lang w:val="bg-BG"/>
              </w:rPr>
              <w:noBreakHyphen/>
              <w:t>35%) включва пълния и частичен отговор.</w:t>
            </w:r>
          </w:p>
          <w:p w14:paraId="3E5503BA" w14:textId="77777777" w:rsidR="001B628D" w:rsidRPr="00FE6AC6" w:rsidRDefault="001B628D" w:rsidP="008143B1">
            <w:pPr>
              <w:pStyle w:val="Table"/>
              <w:keepNext w:val="0"/>
              <w:keepLines w:val="0"/>
              <w:widowControl w:val="0"/>
              <w:spacing w:before="0" w:after="0"/>
              <w:rPr>
                <w:rFonts w:ascii="Times New Roman" w:hAnsi="Times New Roman"/>
                <w:color w:val="000000"/>
                <w:sz w:val="22"/>
                <w:szCs w:val="22"/>
                <w:lang w:val="bg-BG"/>
              </w:rPr>
            </w:pPr>
            <w:r w:rsidRPr="00FE6AC6">
              <w:rPr>
                <w:rFonts w:ascii="Times New Roman" w:hAnsi="Times New Roman"/>
                <w:b/>
                <w:color w:val="000000"/>
                <w:sz w:val="22"/>
                <w:szCs w:val="22"/>
                <w:lang w:val="bg-BG"/>
              </w:rPr>
              <w:t xml:space="preserve">Критерии за голям молекулярен отговор: </w:t>
            </w:r>
            <w:r w:rsidRPr="00FE6AC6">
              <w:rPr>
                <w:rFonts w:ascii="Times New Roman" w:hAnsi="Times New Roman"/>
                <w:color w:val="000000"/>
                <w:sz w:val="22"/>
                <w:szCs w:val="22"/>
                <w:lang w:val="bg-BG"/>
              </w:rPr>
              <w:t>понижение в периферната кръв с ≥3 логаритмични единици на количеството Bcr-Abl транскрипти (измерено чрез количествен PCR с обратна транскриптаза в реално време), спрямо стандартизирано изходно ниво.</w:t>
            </w:r>
          </w:p>
        </w:tc>
      </w:tr>
    </w:tbl>
    <w:p w14:paraId="3E5503BC" w14:textId="77777777" w:rsidR="001B628D" w:rsidRPr="00FE6AC6" w:rsidRDefault="001B628D" w:rsidP="0063575E">
      <w:pPr>
        <w:pStyle w:val="EndnoteText"/>
        <w:widowControl w:val="0"/>
        <w:rPr>
          <w:color w:val="000000"/>
          <w:lang w:val="bg-BG"/>
        </w:rPr>
      </w:pPr>
    </w:p>
    <w:p w14:paraId="3E5503BD" w14:textId="77777777" w:rsidR="001B628D" w:rsidRPr="00FE6AC6" w:rsidRDefault="001B628D" w:rsidP="0063575E">
      <w:pPr>
        <w:pStyle w:val="EndnoteText"/>
        <w:widowControl w:val="0"/>
        <w:rPr>
          <w:color w:val="000000"/>
          <w:lang w:val="bg-BG"/>
        </w:rPr>
      </w:pPr>
      <w:r w:rsidRPr="00FE6AC6">
        <w:rPr>
          <w:color w:val="000000"/>
          <w:lang w:val="bg-BG"/>
        </w:rPr>
        <w:t xml:space="preserve">Степента на постигане на пълен хематологичен отговор, голям цитогенетичен отговор и пълен цитогенетичен отговор на първа линия на терапия е била оценявана по метода на </w:t>
      </w:r>
      <w:r w:rsidRPr="00FE6AC6">
        <w:rPr>
          <w:color w:val="000000"/>
        </w:rPr>
        <w:t>Kaplan</w:t>
      </w:r>
      <w:r w:rsidRPr="00FE6AC6">
        <w:rPr>
          <w:color w:val="000000"/>
          <w:lang w:val="bg-BG"/>
        </w:rPr>
        <w:t>-</w:t>
      </w:r>
      <w:r w:rsidRPr="00FE6AC6">
        <w:rPr>
          <w:color w:val="000000"/>
        </w:rPr>
        <w:t>Meier</w:t>
      </w:r>
      <w:r w:rsidRPr="00FE6AC6">
        <w:rPr>
          <w:color w:val="000000"/>
          <w:lang w:val="bg-BG"/>
        </w:rPr>
        <w:t xml:space="preserve">, при който пациентите, неотговорили на лечението са били отстранени от анализа към датата на последния преглед. Използвайки този метод, степените на кумулативен отговор на първа линия терапия с </w:t>
      </w:r>
      <w:r w:rsidRPr="00FE6AC6">
        <w:rPr>
          <w:color w:val="000000"/>
        </w:rPr>
        <w:t>Glivec</w:t>
      </w:r>
      <w:r w:rsidRPr="00FE6AC6">
        <w:rPr>
          <w:color w:val="000000"/>
          <w:szCs w:val="22"/>
          <w:lang w:val="bg-BG"/>
        </w:rPr>
        <w:t xml:space="preserve"> се подобряват от 12</w:t>
      </w:r>
      <w:r w:rsidRPr="00FE6AC6">
        <w:rPr>
          <w:color w:val="000000"/>
          <w:szCs w:val="22"/>
        </w:rPr>
        <w:t> </w:t>
      </w:r>
      <w:r w:rsidRPr="00FE6AC6">
        <w:rPr>
          <w:color w:val="000000"/>
          <w:szCs w:val="22"/>
          <w:lang w:val="bg-BG"/>
        </w:rPr>
        <w:t>месечното лечение до 84</w:t>
      </w:r>
      <w:r w:rsidRPr="00FE6AC6">
        <w:rPr>
          <w:color w:val="000000"/>
          <w:szCs w:val="22"/>
          <w:lang w:val="de-CH"/>
        </w:rPr>
        <w:t> </w:t>
      </w:r>
      <w:r w:rsidRPr="00FE6AC6">
        <w:rPr>
          <w:color w:val="000000"/>
          <w:szCs w:val="22"/>
          <w:lang w:val="bg-BG"/>
        </w:rPr>
        <w:t xml:space="preserve">месечното, както следва: </w:t>
      </w:r>
      <w:r w:rsidRPr="00FE6AC6">
        <w:rPr>
          <w:color w:val="000000"/>
          <w:szCs w:val="22"/>
        </w:rPr>
        <w:t>CHR</w:t>
      </w:r>
      <w:r w:rsidRPr="00FE6AC6">
        <w:rPr>
          <w:color w:val="000000"/>
          <w:szCs w:val="22"/>
          <w:lang w:val="bg-BG"/>
        </w:rPr>
        <w:t xml:space="preserve"> от 96,4% на 98,4% и </w:t>
      </w:r>
      <w:r w:rsidRPr="00FE6AC6">
        <w:rPr>
          <w:color w:val="000000"/>
          <w:szCs w:val="22"/>
        </w:rPr>
        <w:t>CCyR</w:t>
      </w:r>
      <w:r w:rsidRPr="00FE6AC6">
        <w:rPr>
          <w:color w:val="000000"/>
          <w:szCs w:val="22"/>
          <w:lang w:val="bg-BG"/>
        </w:rPr>
        <w:t xml:space="preserve"> от 69,5% на 87,2%, съответно</w:t>
      </w:r>
      <w:r w:rsidRPr="00FE6AC6">
        <w:rPr>
          <w:color w:val="000000"/>
          <w:lang w:val="bg-BG"/>
        </w:rPr>
        <w:t>.</w:t>
      </w:r>
    </w:p>
    <w:p w14:paraId="3E5503BE" w14:textId="77777777" w:rsidR="001B628D" w:rsidRPr="00FE6AC6" w:rsidRDefault="001B628D" w:rsidP="0063575E">
      <w:pPr>
        <w:pStyle w:val="EndnoteText"/>
        <w:widowControl w:val="0"/>
        <w:rPr>
          <w:color w:val="000000"/>
          <w:lang w:val="bg-BG"/>
        </w:rPr>
      </w:pPr>
    </w:p>
    <w:p w14:paraId="3E5503BF" w14:textId="77777777" w:rsidR="001B628D" w:rsidRPr="00FE6AC6" w:rsidRDefault="001B628D" w:rsidP="0063575E">
      <w:pPr>
        <w:pStyle w:val="EndnoteText"/>
        <w:widowControl w:val="0"/>
        <w:rPr>
          <w:color w:val="000000"/>
          <w:lang w:val="bg-BG"/>
        </w:rPr>
      </w:pPr>
      <w:r w:rsidRPr="00FE6AC6">
        <w:rPr>
          <w:color w:val="000000"/>
          <w:lang w:val="bg-BG"/>
        </w:rPr>
        <w:t xml:space="preserve">След 7-годишно проследяване, са наблюдавани 93 (16,8%) случая на прогресия в групата на </w:t>
      </w:r>
      <w:r w:rsidRPr="00FE6AC6">
        <w:rPr>
          <w:color w:val="000000"/>
        </w:rPr>
        <w:t>Glivec</w:t>
      </w:r>
      <w:r w:rsidRPr="00FE6AC6">
        <w:rPr>
          <w:color w:val="000000"/>
          <w:lang w:val="bg-BG"/>
        </w:rPr>
        <w:t xml:space="preserve">: 37 (6,7%) включващи прогресия до фаза на акцелерация/бластна криза, 31 (5,6%) загуба на </w:t>
      </w:r>
      <w:r w:rsidRPr="00FE6AC6">
        <w:rPr>
          <w:color w:val="000000"/>
        </w:rPr>
        <w:t>MCyR</w:t>
      </w:r>
      <w:r w:rsidRPr="00FE6AC6">
        <w:rPr>
          <w:color w:val="000000"/>
          <w:lang w:val="bg-BG"/>
        </w:rPr>
        <w:t xml:space="preserve">, 15 (2,7%) загуба на </w:t>
      </w:r>
      <w:r w:rsidRPr="00FE6AC6">
        <w:rPr>
          <w:color w:val="000000"/>
        </w:rPr>
        <w:t>CHR</w:t>
      </w:r>
      <w:r w:rsidRPr="00FE6AC6">
        <w:rPr>
          <w:color w:val="000000"/>
          <w:lang w:val="bg-BG"/>
        </w:rPr>
        <w:t xml:space="preserve"> или повишение на </w:t>
      </w:r>
      <w:r w:rsidRPr="00FE6AC6">
        <w:rPr>
          <w:color w:val="000000"/>
        </w:rPr>
        <w:t>WBC</w:t>
      </w:r>
      <w:r w:rsidRPr="00FE6AC6">
        <w:rPr>
          <w:color w:val="000000"/>
          <w:lang w:val="bg-BG"/>
        </w:rPr>
        <w:t xml:space="preserve"> и 10 (1,8%) несвързани с ХМЛ смъртни случая. За разлика от тях, са наблюдавани 165 (29,8%) случая в групата на </w:t>
      </w:r>
      <w:r w:rsidRPr="00FE6AC6">
        <w:rPr>
          <w:color w:val="000000"/>
        </w:rPr>
        <w:t>IFN</w:t>
      </w:r>
      <w:r w:rsidRPr="00FE6AC6">
        <w:rPr>
          <w:color w:val="000000"/>
          <w:lang w:val="bg-BG"/>
        </w:rPr>
        <w:t>+</w:t>
      </w:r>
      <w:r w:rsidRPr="00FE6AC6">
        <w:rPr>
          <w:color w:val="000000"/>
        </w:rPr>
        <w:t>Ara</w:t>
      </w:r>
      <w:r w:rsidRPr="00FE6AC6">
        <w:rPr>
          <w:color w:val="000000"/>
          <w:lang w:val="bg-BG"/>
        </w:rPr>
        <w:t>-</w:t>
      </w:r>
      <w:r w:rsidRPr="00FE6AC6">
        <w:rPr>
          <w:color w:val="000000"/>
        </w:rPr>
        <w:t>C</w:t>
      </w:r>
      <w:r w:rsidRPr="00FE6AC6">
        <w:rPr>
          <w:color w:val="000000"/>
          <w:lang w:val="bg-BG"/>
        </w:rPr>
        <w:t>, от които 130</w:t>
      </w:r>
      <w:r w:rsidRPr="00FE6AC6">
        <w:rPr>
          <w:color w:val="000000"/>
        </w:rPr>
        <w:t> </w:t>
      </w:r>
      <w:r w:rsidRPr="00FE6AC6">
        <w:rPr>
          <w:color w:val="000000"/>
          <w:lang w:val="bg-BG"/>
        </w:rPr>
        <w:t xml:space="preserve">са настъпили по време на първа линия терапия с </w:t>
      </w:r>
      <w:r w:rsidRPr="00FE6AC6">
        <w:rPr>
          <w:color w:val="000000"/>
        </w:rPr>
        <w:t>IFN</w:t>
      </w:r>
      <w:r w:rsidRPr="00FE6AC6">
        <w:rPr>
          <w:color w:val="000000"/>
          <w:lang w:val="bg-BG"/>
        </w:rPr>
        <w:t>+</w:t>
      </w:r>
      <w:r w:rsidRPr="00FE6AC6">
        <w:rPr>
          <w:color w:val="000000"/>
        </w:rPr>
        <w:t>Ara</w:t>
      </w:r>
      <w:r w:rsidRPr="00FE6AC6">
        <w:rPr>
          <w:color w:val="000000"/>
          <w:lang w:val="bg-BG"/>
        </w:rPr>
        <w:t>-</w:t>
      </w:r>
      <w:r w:rsidRPr="00FE6AC6">
        <w:rPr>
          <w:color w:val="000000"/>
        </w:rPr>
        <w:t>C</w:t>
      </w:r>
      <w:r w:rsidRPr="00FE6AC6">
        <w:rPr>
          <w:color w:val="000000"/>
          <w:lang w:val="bg-BG"/>
        </w:rPr>
        <w:t>.</w:t>
      </w:r>
    </w:p>
    <w:p w14:paraId="3E5503C0" w14:textId="77777777" w:rsidR="001B628D" w:rsidRPr="00FE6AC6" w:rsidRDefault="001B628D" w:rsidP="0063575E">
      <w:pPr>
        <w:widowControl w:val="0"/>
        <w:spacing w:line="240" w:lineRule="auto"/>
        <w:rPr>
          <w:color w:val="000000"/>
          <w:lang w:val="bg-BG"/>
        </w:rPr>
      </w:pPr>
    </w:p>
    <w:p w14:paraId="3E5503C1" w14:textId="77777777" w:rsidR="001B628D" w:rsidRPr="00FE6AC6" w:rsidRDefault="001B628D" w:rsidP="0063575E">
      <w:pPr>
        <w:pStyle w:val="EndnoteText"/>
        <w:widowControl w:val="0"/>
        <w:rPr>
          <w:color w:val="000000"/>
          <w:lang w:val="bg-BG"/>
        </w:rPr>
      </w:pPr>
      <w:r w:rsidRPr="00FE6AC6">
        <w:rPr>
          <w:color w:val="000000"/>
          <w:szCs w:val="22"/>
          <w:lang w:val="bg-BG"/>
        </w:rPr>
        <w:t xml:space="preserve">Процентът пациенти свободни от прогресия до фаза на акцелерация или бластна криза след 84 месеца е значително по-висок в групата на </w:t>
      </w:r>
      <w:r w:rsidRPr="00FE6AC6">
        <w:rPr>
          <w:color w:val="000000"/>
          <w:szCs w:val="22"/>
        </w:rPr>
        <w:t>Glivec</w:t>
      </w:r>
      <w:r w:rsidRPr="00FE6AC6">
        <w:rPr>
          <w:color w:val="000000"/>
          <w:szCs w:val="22"/>
          <w:lang w:val="bg-BG"/>
        </w:rPr>
        <w:t xml:space="preserve">, отколкото в групата на </w:t>
      </w:r>
      <w:r w:rsidRPr="00FE6AC6">
        <w:rPr>
          <w:color w:val="000000"/>
          <w:szCs w:val="22"/>
        </w:rPr>
        <w:t>IFN</w:t>
      </w:r>
      <w:r w:rsidRPr="00FE6AC6">
        <w:rPr>
          <w:color w:val="000000"/>
          <w:szCs w:val="22"/>
          <w:lang w:val="bg-BG"/>
        </w:rPr>
        <w:t xml:space="preserve"> (92,5% спрямо 85,1%, </w:t>
      </w:r>
      <w:r w:rsidRPr="00FE6AC6">
        <w:rPr>
          <w:color w:val="000000"/>
          <w:szCs w:val="22"/>
        </w:rPr>
        <w:t>p</w:t>
      </w:r>
      <w:r w:rsidRPr="00FE6AC6">
        <w:rPr>
          <w:color w:val="000000"/>
          <w:szCs w:val="22"/>
          <w:lang w:val="bg-BG"/>
        </w:rPr>
        <w:t xml:space="preserve">&lt;0,001). </w:t>
      </w:r>
      <w:r w:rsidRPr="00FE6AC6">
        <w:rPr>
          <w:color w:val="000000"/>
          <w:lang w:val="bg-BG"/>
        </w:rPr>
        <w:t xml:space="preserve">Годишният процент на прогресия до фаза на акцелерация или бластна криза намалява с времето на фона на терапията </w:t>
      </w:r>
      <w:r w:rsidRPr="00FE6AC6">
        <w:rPr>
          <w:color w:val="000000"/>
          <w:szCs w:val="22"/>
          <w:lang w:val="bg-BG"/>
        </w:rPr>
        <w:t>и е по-малко от 1% годишно на четвъртата и петата година</w:t>
      </w:r>
      <w:r w:rsidRPr="00FE6AC6">
        <w:rPr>
          <w:color w:val="000000"/>
          <w:lang w:val="bg-BG"/>
        </w:rPr>
        <w:t xml:space="preserve">. </w:t>
      </w:r>
      <w:r w:rsidRPr="00FE6AC6">
        <w:rPr>
          <w:color w:val="000000"/>
          <w:szCs w:val="22"/>
          <w:lang w:val="bg-BG"/>
        </w:rPr>
        <w:t xml:space="preserve">Процентът на преживяемостта без прогресия на 84-тия месец е 81,2% в групата на </w:t>
      </w:r>
      <w:r w:rsidRPr="00FE6AC6">
        <w:rPr>
          <w:color w:val="000000"/>
          <w:szCs w:val="22"/>
        </w:rPr>
        <w:t>Glivec</w:t>
      </w:r>
      <w:r w:rsidRPr="00FE6AC6">
        <w:rPr>
          <w:color w:val="000000"/>
          <w:szCs w:val="22"/>
          <w:lang w:val="bg-BG"/>
        </w:rPr>
        <w:t xml:space="preserve"> и 60,6% в контролната група </w:t>
      </w:r>
      <w:r w:rsidRPr="00FE6AC6">
        <w:rPr>
          <w:color w:val="000000"/>
          <w:lang w:val="bg-BG"/>
        </w:rPr>
        <w:t>(</w:t>
      </w:r>
      <w:r w:rsidRPr="00FE6AC6">
        <w:rPr>
          <w:color w:val="000000"/>
        </w:rPr>
        <w:t>p</w:t>
      </w:r>
      <w:r w:rsidRPr="00FE6AC6">
        <w:rPr>
          <w:color w:val="000000"/>
          <w:lang w:val="bg-BG"/>
        </w:rPr>
        <w:t>&lt;0,001).</w:t>
      </w:r>
      <w:r w:rsidRPr="00FE6AC6">
        <w:rPr>
          <w:rStyle w:val="EndnoteTextChar"/>
          <w:color w:val="000000"/>
          <w:lang w:val="bg-BG"/>
        </w:rPr>
        <w:t xml:space="preserve"> Годишният процент на прогресия, от какъвто и да е вид при </w:t>
      </w:r>
      <w:r w:rsidRPr="00FE6AC6">
        <w:rPr>
          <w:rStyle w:val="EndnoteTextChar"/>
          <w:color w:val="000000"/>
        </w:rPr>
        <w:t>Glivec</w:t>
      </w:r>
      <w:r w:rsidRPr="00FE6AC6">
        <w:rPr>
          <w:rStyle w:val="EndnoteTextChar"/>
          <w:color w:val="000000"/>
          <w:lang w:val="bg-BG"/>
        </w:rPr>
        <w:t xml:space="preserve"> </w:t>
      </w:r>
      <w:r w:rsidRPr="00FE6AC6">
        <w:rPr>
          <w:rStyle w:val="Char"/>
          <w:color w:val="000000"/>
          <w:szCs w:val="22"/>
          <w:lang w:val="bg-BG"/>
        </w:rPr>
        <w:t>също намалява с времето</w:t>
      </w:r>
      <w:r w:rsidRPr="00FE6AC6">
        <w:rPr>
          <w:rStyle w:val="EndnoteTextChar"/>
          <w:color w:val="000000"/>
          <w:lang w:val="bg-BG"/>
        </w:rPr>
        <w:t>.</w:t>
      </w:r>
    </w:p>
    <w:p w14:paraId="3E5503C2" w14:textId="77777777" w:rsidR="001B628D" w:rsidRPr="00FE6AC6" w:rsidRDefault="001B628D" w:rsidP="0063575E">
      <w:pPr>
        <w:pStyle w:val="EndnoteText"/>
        <w:widowControl w:val="0"/>
        <w:rPr>
          <w:color w:val="000000"/>
          <w:lang w:val="bg-BG"/>
        </w:rPr>
      </w:pPr>
    </w:p>
    <w:p w14:paraId="3E5503C3" w14:textId="77777777" w:rsidR="001B628D" w:rsidRPr="00FE6AC6" w:rsidRDefault="001B628D" w:rsidP="0063575E">
      <w:pPr>
        <w:pStyle w:val="EndnoteText"/>
        <w:widowControl w:val="0"/>
        <w:rPr>
          <w:color w:val="000000"/>
          <w:lang w:val="bg-BG"/>
        </w:rPr>
      </w:pPr>
      <w:r w:rsidRPr="00FE6AC6">
        <w:rPr>
          <w:color w:val="000000"/>
          <w:lang w:val="bg-BG"/>
        </w:rPr>
        <w:t xml:space="preserve">Общо 71 (12,8%) и 85 (15,4%) пациенти са починали съответно в групите на </w:t>
      </w:r>
      <w:r w:rsidRPr="00FE6AC6">
        <w:rPr>
          <w:color w:val="000000"/>
        </w:rPr>
        <w:t>Glivec</w:t>
      </w:r>
      <w:r w:rsidRPr="00FE6AC6">
        <w:rPr>
          <w:color w:val="000000"/>
          <w:lang w:val="bg-BG"/>
        </w:rPr>
        <w:t xml:space="preserve"> и </w:t>
      </w:r>
      <w:r w:rsidRPr="00FE6AC6">
        <w:rPr>
          <w:color w:val="000000"/>
        </w:rPr>
        <w:t>IFN</w:t>
      </w:r>
      <w:r w:rsidRPr="00FE6AC6">
        <w:rPr>
          <w:color w:val="000000"/>
          <w:lang w:val="bg-BG"/>
        </w:rPr>
        <w:t>+</w:t>
      </w:r>
      <w:r w:rsidRPr="00FE6AC6">
        <w:rPr>
          <w:color w:val="000000"/>
        </w:rPr>
        <w:t>Ara</w:t>
      </w:r>
      <w:r w:rsidRPr="00FE6AC6">
        <w:rPr>
          <w:color w:val="000000"/>
          <w:lang w:val="bg-BG"/>
        </w:rPr>
        <w:t>-</w:t>
      </w:r>
      <w:r w:rsidRPr="00FE6AC6">
        <w:rPr>
          <w:color w:val="000000"/>
        </w:rPr>
        <w:t>C</w:t>
      </w:r>
      <w:r w:rsidRPr="00FE6AC6">
        <w:rPr>
          <w:color w:val="000000"/>
          <w:lang w:val="bg-BG"/>
        </w:rPr>
        <w:t xml:space="preserve">. На 84-тия месец общата преживяемост се оценява на 86,4% (83, 90) спрямо 83,3% (80, 87) в рандомизираните групи на </w:t>
      </w:r>
      <w:r w:rsidRPr="00FE6AC6">
        <w:rPr>
          <w:color w:val="000000"/>
        </w:rPr>
        <w:t>Glivec</w:t>
      </w:r>
      <w:r w:rsidRPr="00FE6AC6">
        <w:rPr>
          <w:color w:val="000000"/>
          <w:lang w:val="bg-BG"/>
        </w:rPr>
        <w:t xml:space="preserve"> и </w:t>
      </w:r>
      <w:r w:rsidRPr="00FE6AC6">
        <w:rPr>
          <w:color w:val="000000"/>
        </w:rPr>
        <w:t>IFN</w:t>
      </w:r>
      <w:r w:rsidRPr="00FE6AC6">
        <w:rPr>
          <w:color w:val="000000"/>
          <w:lang w:val="bg-BG"/>
        </w:rPr>
        <w:t>+</w:t>
      </w:r>
      <w:r w:rsidRPr="00FE6AC6">
        <w:rPr>
          <w:color w:val="000000"/>
        </w:rPr>
        <w:t>Ara</w:t>
      </w:r>
      <w:r w:rsidRPr="00FE6AC6">
        <w:rPr>
          <w:color w:val="000000"/>
          <w:lang w:val="bg-BG"/>
        </w:rPr>
        <w:t>-</w:t>
      </w:r>
      <w:r w:rsidRPr="00FE6AC6">
        <w:rPr>
          <w:color w:val="000000"/>
        </w:rPr>
        <w:t>C</w:t>
      </w:r>
      <w:r w:rsidRPr="00FE6AC6">
        <w:rPr>
          <w:color w:val="000000"/>
          <w:lang w:val="bg-BG"/>
        </w:rPr>
        <w:t>, съответно (</w:t>
      </w:r>
      <w:r w:rsidRPr="00FE6AC6">
        <w:rPr>
          <w:color w:val="000000"/>
        </w:rPr>
        <w:t>p</w:t>
      </w:r>
      <w:r w:rsidRPr="00FE6AC6">
        <w:rPr>
          <w:color w:val="000000"/>
          <w:lang w:val="bg-BG"/>
        </w:rPr>
        <w:t xml:space="preserve">=0,073, </w:t>
      </w:r>
      <w:r w:rsidRPr="00FE6AC6">
        <w:rPr>
          <w:color w:val="000000"/>
        </w:rPr>
        <w:t>log</w:t>
      </w:r>
      <w:r w:rsidRPr="00FE6AC6">
        <w:rPr>
          <w:color w:val="000000"/>
          <w:lang w:val="bg-BG"/>
        </w:rPr>
        <w:t>-</w:t>
      </w:r>
      <w:r w:rsidRPr="00FE6AC6">
        <w:rPr>
          <w:color w:val="000000"/>
        </w:rPr>
        <w:t>rank</w:t>
      </w:r>
      <w:r w:rsidRPr="00FE6AC6">
        <w:rPr>
          <w:color w:val="000000"/>
          <w:lang w:val="bg-BG"/>
        </w:rPr>
        <w:t xml:space="preserve"> </w:t>
      </w:r>
      <w:r w:rsidRPr="00FE6AC6">
        <w:rPr>
          <w:color w:val="000000"/>
        </w:rPr>
        <w:t>test</w:t>
      </w:r>
      <w:r w:rsidRPr="00FE6AC6">
        <w:rPr>
          <w:color w:val="000000"/>
          <w:lang w:val="bg-BG"/>
        </w:rPr>
        <w:t xml:space="preserve">). Тази крайна точка на “време до събитие” е силно повлиявана от високата степен на преминаване на пациенти от рамото на </w:t>
      </w:r>
      <w:r w:rsidRPr="00FE6AC6">
        <w:rPr>
          <w:color w:val="000000"/>
        </w:rPr>
        <w:t>IFN</w:t>
      </w:r>
      <w:r w:rsidRPr="00FE6AC6">
        <w:rPr>
          <w:color w:val="000000"/>
          <w:lang w:val="bg-BG"/>
        </w:rPr>
        <w:t>+</w:t>
      </w:r>
      <w:r w:rsidRPr="00FE6AC6">
        <w:rPr>
          <w:color w:val="000000"/>
        </w:rPr>
        <w:t>Ara</w:t>
      </w:r>
      <w:r w:rsidRPr="00FE6AC6">
        <w:rPr>
          <w:color w:val="000000"/>
          <w:lang w:val="bg-BG"/>
        </w:rPr>
        <w:t>-</w:t>
      </w:r>
      <w:r w:rsidRPr="00FE6AC6">
        <w:rPr>
          <w:color w:val="000000"/>
        </w:rPr>
        <w:t>C</w:t>
      </w:r>
      <w:r w:rsidRPr="00FE6AC6">
        <w:rPr>
          <w:color w:val="000000"/>
          <w:lang w:val="bg-BG"/>
        </w:rPr>
        <w:t xml:space="preserve"> в това на </w:t>
      </w:r>
      <w:r w:rsidRPr="00FE6AC6">
        <w:rPr>
          <w:color w:val="000000"/>
        </w:rPr>
        <w:t>Glivec</w:t>
      </w:r>
      <w:r w:rsidRPr="00FE6AC6">
        <w:rPr>
          <w:color w:val="000000"/>
          <w:lang w:val="bg-BG"/>
        </w:rPr>
        <w:t xml:space="preserve">. Ефектът от лечението с </w:t>
      </w:r>
      <w:r w:rsidRPr="00FE6AC6">
        <w:rPr>
          <w:color w:val="000000"/>
        </w:rPr>
        <w:t>Glivec</w:t>
      </w:r>
      <w:r w:rsidRPr="00FE6AC6">
        <w:rPr>
          <w:color w:val="000000"/>
          <w:lang w:val="bg-BG"/>
        </w:rPr>
        <w:t xml:space="preserve"> върху преживяемостта при новодиагностицирана ХМЛ в хронична фаза е бил изследван допълнително чрез ретроспективен анализ на горе-изложените данни за </w:t>
      </w:r>
      <w:r w:rsidRPr="00FE6AC6">
        <w:rPr>
          <w:color w:val="000000"/>
        </w:rPr>
        <w:t>Glivec</w:t>
      </w:r>
      <w:r w:rsidRPr="00FE6AC6">
        <w:rPr>
          <w:color w:val="000000"/>
          <w:lang w:val="bg-BG"/>
        </w:rPr>
        <w:t xml:space="preserve"> и първичните данни от друго фаза </w:t>
      </w:r>
      <w:r w:rsidRPr="00FE6AC6">
        <w:rPr>
          <w:color w:val="000000"/>
        </w:rPr>
        <w:t>III</w:t>
      </w:r>
      <w:r w:rsidRPr="00FE6AC6">
        <w:rPr>
          <w:color w:val="000000"/>
          <w:lang w:val="bg-BG"/>
        </w:rPr>
        <w:t xml:space="preserve"> проучване, използващо </w:t>
      </w:r>
      <w:r w:rsidRPr="00FE6AC6">
        <w:rPr>
          <w:color w:val="000000"/>
        </w:rPr>
        <w:t>IFN</w:t>
      </w:r>
      <w:r w:rsidRPr="00FE6AC6">
        <w:rPr>
          <w:color w:val="000000"/>
          <w:lang w:val="bg-BG"/>
        </w:rPr>
        <w:t>+</w:t>
      </w:r>
      <w:r w:rsidRPr="00FE6AC6">
        <w:rPr>
          <w:color w:val="000000"/>
        </w:rPr>
        <w:t>Ara</w:t>
      </w:r>
      <w:r w:rsidRPr="00FE6AC6">
        <w:rPr>
          <w:color w:val="000000"/>
          <w:lang w:val="bg-BG"/>
        </w:rPr>
        <w:t>-</w:t>
      </w:r>
      <w:r w:rsidRPr="00FE6AC6">
        <w:rPr>
          <w:color w:val="000000"/>
        </w:rPr>
        <w:t>C</w:t>
      </w:r>
      <w:r w:rsidRPr="00FE6AC6">
        <w:rPr>
          <w:color w:val="000000"/>
          <w:lang w:val="bg-BG"/>
        </w:rPr>
        <w:t xml:space="preserve"> (</w:t>
      </w:r>
      <w:r w:rsidRPr="00FE6AC6">
        <w:rPr>
          <w:color w:val="000000"/>
        </w:rPr>
        <w:t>n</w:t>
      </w:r>
      <w:r w:rsidRPr="00FE6AC6">
        <w:rPr>
          <w:color w:val="000000"/>
          <w:lang w:val="bg-BG"/>
        </w:rPr>
        <w:t xml:space="preserve">=325) в същата дозировка. При този ретроспективен анализ се доказва превъзходството на </w:t>
      </w:r>
      <w:r w:rsidRPr="00FE6AC6">
        <w:rPr>
          <w:color w:val="000000"/>
        </w:rPr>
        <w:t>Glivec</w:t>
      </w:r>
      <w:r w:rsidRPr="00FE6AC6">
        <w:rPr>
          <w:color w:val="000000"/>
          <w:lang w:val="bg-BG"/>
        </w:rPr>
        <w:t xml:space="preserve"> пред </w:t>
      </w:r>
      <w:r w:rsidRPr="00FE6AC6">
        <w:rPr>
          <w:color w:val="000000"/>
        </w:rPr>
        <w:t>IFN</w:t>
      </w:r>
      <w:r w:rsidRPr="00FE6AC6">
        <w:rPr>
          <w:color w:val="000000"/>
          <w:lang w:val="bg-BG"/>
        </w:rPr>
        <w:t>+</w:t>
      </w:r>
      <w:r w:rsidRPr="00FE6AC6">
        <w:rPr>
          <w:color w:val="000000"/>
        </w:rPr>
        <w:t>Ara</w:t>
      </w:r>
      <w:r w:rsidRPr="00FE6AC6">
        <w:rPr>
          <w:color w:val="000000"/>
          <w:lang w:val="bg-BG"/>
        </w:rPr>
        <w:t>-</w:t>
      </w:r>
      <w:r w:rsidRPr="00FE6AC6">
        <w:rPr>
          <w:color w:val="000000"/>
        </w:rPr>
        <w:t>C</w:t>
      </w:r>
      <w:r w:rsidRPr="00FE6AC6">
        <w:rPr>
          <w:color w:val="000000"/>
          <w:lang w:val="bg-BG"/>
        </w:rPr>
        <w:t xml:space="preserve"> по отношение на общата преживяемост (</w:t>
      </w:r>
      <w:r w:rsidRPr="00FE6AC6">
        <w:rPr>
          <w:color w:val="000000"/>
        </w:rPr>
        <w:t>p</w:t>
      </w:r>
      <w:r w:rsidRPr="00FE6AC6">
        <w:rPr>
          <w:color w:val="000000"/>
          <w:lang w:val="bg-BG"/>
        </w:rPr>
        <w:t>&lt;0,001); за период от 42</w:t>
      </w:r>
      <w:r w:rsidRPr="00FE6AC6">
        <w:rPr>
          <w:color w:val="000000"/>
        </w:rPr>
        <w:t> </w:t>
      </w:r>
      <w:r w:rsidRPr="00FE6AC6">
        <w:rPr>
          <w:color w:val="000000"/>
          <w:lang w:val="bg-BG"/>
        </w:rPr>
        <w:t xml:space="preserve">месеца, 47 (8,5%) от пациентите на </w:t>
      </w:r>
      <w:r w:rsidRPr="00FE6AC6">
        <w:rPr>
          <w:color w:val="000000"/>
        </w:rPr>
        <w:t>Glivec</w:t>
      </w:r>
      <w:r w:rsidRPr="00FE6AC6">
        <w:rPr>
          <w:color w:val="000000"/>
          <w:lang w:val="bg-BG"/>
        </w:rPr>
        <w:t xml:space="preserve"> и 63 (19,4%) от пациентите на </w:t>
      </w:r>
      <w:r w:rsidRPr="00FE6AC6">
        <w:rPr>
          <w:color w:val="000000"/>
        </w:rPr>
        <w:t>IFN</w:t>
      </w:r>
      <w:r w:rsidRPr="00FE6AC6">
        <w:rPr>
          <w:color w:val="000000"/>
          <w:lang w:val="bg-BG"/>
        </w:rPr>
        <w:t>+</w:t>
      </w:r>
      <w:r w:rsidRPr="00FE6AC6">
        <w:rPr>
          <w:color w:val="000000"/>
        </w:rPr>
        <w:t>Ara</w:t>
      </w:r>
      <w:r w:rsidRPr="00FE6AC6">
        <w:rPr>
          <w:color w:val="000000"/>
          <w:lang w:val="bg-BG"/>
        </w:rPr>
        <w:t>-</w:t>
      </w:r>
      <w:r w:rsidRPr="00FE6AC6">
        <w:rPr>
          <w:color w:val="000000"/>
        </w:rPr>
        <w:t>C</w:t>
      </w:r>
      <w:r w:rsidRPr="00FE6AC6">
        <w:rPr>
          <w:color w:val="000000"/>
          <w:lang w:val="bg-BG"/>
        </w:rPr>
        <w:t xml:space="preserve"> са починали.</w:t>
      </w:r>
    </w:p>
    <w:p w14:paraId="3E5503C4" w14:textId="77777777" w:rsidR="001B628D" w:rsidRPr="00FE6AC6" w:rsidRDefault="001B628D" w:rsidP="0063575E">
      <w:pPr>
        <w:pStyle w:val="EndnoteText"/>
        <w:widowControl w:val="0"/>
        <w:rPr>
          <w:color w:val="000000"/>
          <w:lang w:val="bg-BG"/>
        </w:rPr>
      </w:pPr>
    </w:p>
    <w:p w14:paraId="3E5503C5" w14:textId="77777777" w:rsidR="001B628D" w:rsidRPr="00FE6AC6" w:rsidRDefault="001B628D" w:rsidP="0063575E">
      <w:pPr>
        <w:pStyle w:val="EndnoteText"/>
        <w:widowControl w:val="0"/>
        <w:rPr>
          <w:color w:val="000000"/>
          <w:lang w:val="bg-BG"/>
        </w:rPr>
      </w:pPr>
      <w:r w:rsidRPr="00FE6AC6">
        <w:rPr>
          <w:color w:val="000000"/>
          <w:lang w:val="bg-BG"/>
        </w:rPr>
        <w:t xml:space="preserve">Степента на цитогенетичен и молекулярен отговор показва отчетлив ефект върху дългосрочните резултати при пациентите на </w:t>
      </w:r>
      <w:r w:rsidRPr="00FE6AC6">
        <w:rPr>
          <w:color w:val="000000"/>
        </w:rPr>
        <w:t>Glivec</w:t>
      </w:r>
      <w:r w:rsidRPr="00FE6AC6">
        <w:rPr>
          <w:color w:val="000000"/>
          <w:lang w:val="bg-BG"/>
        </w:rPr>
        <w:t xml:space="preserve">. Докато 96% (93%) от пациентите с </w:t>
      </w:r>
      <w:r w:rsidRPr="00FE6AC6">
        <w:rPr>
          <w:color w:val="000000"/>
        </w:rPr>
        <w:t>CCyR</w:t>
      </w:r>
      <w:r w:rsidRPr="00FE6AC6">
        <w:rPr>
          <w:color w:val="000000"/>
          <w:lang w:val="bg-BG"/>
        </w:rPr>
        <w:t xml:space="preserve"> (</w:t>
      </w:r>
      <w:r w:rsidRPr="00FE6AC6">
        <w:rPr>
          <w:color w:val="000000"/>
        </w:rPr>
        <w:t>PCyR</w:t>
      </w:r>
      <w:r w:rsidRPr="00FE6AC6">
        <w:rPr>
          <w:color w:val="000000"/>
          <w:lang w:val="bg-BG"/>
        </w:rPr>
        <w:t xml:space="preserve">) на 12-тия месец са били свободни от прогресия до фаза на акцелерация/бластна криза на 84-тия месец, само 81% от пациентите без </w:t>
      </w:r>
      <w:r w:rsidRPr="00FE6AC6">
        <w:rPr>
          <w:color w:val="000000"/>
        </w:rPr>
        <w:t>MCyR</w:t>
      </w:r>
      <w:r w:rsidRPr="00FE6AC6">
        <w:rPr>
          <w:color w:val="000000"/>
          <w:lang w:val="bg-BG"/>
        </w:rPr>
        <w:t xml:space="preserve"> на 12-тия месец са били свободни от прогресия до авансирала ХМЛ на 84-тия месец (</w:t>
      </w:r>
      <w:r w:rsidRPr="00FE6AC6">
        <w:rPr>
          <w:color w:val="000000"/>
        </w:rPr>
        <w:t>p</w:t>
      </w:r>
      <w:r w:rsidRPr="00FE6AC6">
        <w:rPr>
          <w:color w:val="000000"/>
          <w:lang w:val="bg-BG"/>
        </w:rPr>
        <w:t xml:space="preserve">&lt;0,001 общо, </w:t>
      </w:r>
      <w:r w:rsidRPr="00FE6AC6">
        <w:rPr>
          <w:color w:val="000000"/>
        </w:rPr>
        <w:t>p</w:t>
      </w:r>
      <w:r w:rsidRPr="00FE6AC6">
        <w:rPr>
          <w:color w:val="000000"/>
          <w:lang w:val="bg-BG"/>
        </w:rPr>
        <w:t xml:space="preserve">=0,25 между </w:t>
      </w:r>
      <w:r w:rsidRPr="00FE6AC6">
        <w:rPr>
          <w:color w:val="000000"/>
        </w:rPr>
        <w:t>CCyR</w:t>
      </w:r>
      <w:r w:rsidRPr="00FE6AC6">
        <w:rPr>
          <w:color w:val="000000"/>
          <w:lang w:val="bg-BG"/>
        </w:rPr>
        <w:t xml:space="preserve"> и </w:t>
      </w:r>
      <w:r w:rsidRPr="00FE6AC6">
        <w:rPr>
          <w:color w:val="000000"/>
        </w:rPr>
        <w:t>PCyR</w:t>
      </w:r>
      <w:r w:rsidRPr="00FE6AC6">
        <w:rPr>
          <w:color w:val="000000"/>
          <w:lang w:val="bg-BG"/>
        </w:rPr>
        <w:t xml:space="preserve">). </w:t>
      </w:r>
      <w:r w:rsidRPr="00FE6AC6">
        <w:rPr>
          <w:color w:val="000000"/>
          <w:szCs w:val="22"/>
          <w:lang w:val="bg-BG"/>
        </w:rPr>
        <w:t xml:space="preserve">При пациентите с понижение в </w:t>
      </w:r>
      <w:r w:rsidRPr="00FE6AC6">
        <w:rPr>
          <w:color w:val="000000"/>
          <w:szCs w:val="22"/>
        </w:rPr>
        <w:t>Bcr</w:t>
      </w:r>
      <w:r w:rsidRPr="00FE6AC6">
        <w:rPr>
          <w:color w:val="000000"/>
          <w:szCs w:val="22"/>
          <w:lang w:val="bg-BG"/>
        </w:rPr>
        <w:t>-</w:t>
      </w:r>
      <w:r w:rsidRPr="00FE6AC6">
        <w:rPr>
          <w:color w:val="000000"/>
          <w:szCs w:val="22"/>
        </w:rPr>
        <w:t>Abl</w:t>
      </w:r>
      <w:r w:rsidRPr="00FE6AC6">
        <w:rPr>
          <w:color w:val="000000"/>
          <w:szCs w:val="22"/>
          <w:lang w:val="bg-BG"/>
        </w:rPr>
        <w:t xml:space="preserve"> транскриптите с поне 3</w:t>
      </w:r>
      <w:r w:rsidRPr="00FE6AC6">
        <w:rPr>
          <w:color w:val="000000"/>
          <w:szCs w:val="22"/>
        </w:rPr>
        <w:t> </w:t>
      </w:r>
      <w:r w:rsidRPr="00FE6AC6">
        <w:rPr>
          <w:color w:val="000000"/>
          <w:szCs w:val="22"/>
          <w:lang w:val="bg-BG"/>
        </w:rPr>
        <w:t>порядъка на 12-тия месец, вероятността за запазване на свободно от прогресия до фаза на акцелерация/бластна криза заболяване е била 99% на 84-тия месец. Подобни данни се установяват на базата на 18-месечен етапен анализ</w:t>
      </w:r>
      <w:r w:rsidRPr="00FE6AC6">
        <w:rPr>
          <w:color w:val="000000"/>
          <w:lang w:val="bg-BG"/>
        </w:rPr>
        <w:t>.</w:t>
      </w:r>
    </w:p>
    <w:p w14:paraId="3E5503C6" w14:textId="77777777" w:rsidR="001B628D" w:rsidRPr="00FE6AC6" w:rsidRDefault="001B628D" w:rsidP="0063575E">
      <w:pPr>
        <w:widowControl w:val="0"/>
        <w:spacing w:line="240" w:lineRule="auto"/>
        <w:rPr>
          <w:color w:val="000000"/>
          <w:lang w:val="bg-BG"/>
        </w:rPr>
      </w:pPr>
    </w:p>
    <w:p w14:paraId="3E5503C7" w14:textId="77777777" w:rsidR="001B628D" w:rsidRPr="00FE6AC6" w:rsidRDefault="001B628D" w:rsidP="0063575E">
      <w:pPr>
        <w:widowControl w:val="0"/>
        <w:spacing w:line="240" w:lineRule="auto"/>
        <w:rPr>
          <w:color w:val="000000"/>
          <w:lang w:val="bg-BG"/>
        </w:rPr>
      </w:pPr>
      <w:r w:rsidRPr="00FE6AC6">
        <w:rPr>
          <w:color w:val="000000"/>
          <w:lang w:val="bg-BG"/>
        </w:rPr>
        <w:t>При това проучване е разрешено повишаване на дозата от</w:t>
      </w:r>
      <w:r w:rsidRPr="00FE6AC6">
        <w:rPr>
          <w:color w:val="000000"/>
          <w:lang w:val="en-US"/>
        </w:rPr>
        <w:t> </w:t>
      </w:r>
      <w:r w:rsidRPr="00FE6AC6">
        <w:rPr>
          <w:color w:val="000000"/>
          <w:lang w:val="bg-BG"/>
        </w:rPr>
        <w:t>400 mg дневно на</w:t>
      </w:r>
      <w:r w:rsidRPr="00FE6AC6">
        <w:rPr>
          <w:color w:val="000000"/>
          <w:lang w:val="en-US"/>
        </w:rPr>
        <w:t> </w:t>
      </w:r>
      <w:r w:rsidRPr="00FE6AC6">
        <w:rPr>
          <w:color w:val="000000"/>
          <w:lang w:val="bg-BG"/>
        </w:rPr>
        <w:t>600 mg дневно и след това от</w:t>
      </w:r>
      <w:r w:rsidRPr="00FE6AC6">
        <w:rPr>
          <w:color w:val="000000"/>
          <w:lang w:val="en-US"/>
        </w:rPr>
        <w:t> </w:t>
      </w:r>
      <w:r w:rsidRPr="00FE6AC6">
        <w:rPr>
          <w:color w:val="000000"/>
          <w:lang w:val="bg-BG"/>
        </w:rPr>
        <w:t>600 mg дневно на</w:t>
      </w:r>
      <w:r w:rsidRPr="00FE6AC6">
        <w:rPr>
          <w:color w:val="000000"/>
          <w:lang w:val="en-US"/>
        </w:rPr>
        <w:t> </w:t>
      </w:r>
      <w:r w:rsidRPr="00FE6AC6">
        <w:rPr>
          <w:color w:val="000000"/>
          <w:lang w:val="bg-BG"/>
        </w:rPr>
        <w:t>800 mg дневно. След</w:t>
      </w:r>
      <w:r w:rsidRPr="00FE6AC6">
        <w:rPr>
          <w:color w:val="000000"/>
          <w:lang w:val="en-US"/>
        </w:rPr>
        <w:t> </w:t>
      </w:r>
      <w:r w:rsidRPr="00FE6AC6">
        <w:rPr>
          <w:color w:val="000000"/>
          <w:lang w:val="bg-BG"/>
        </w:rPr>
        <w:t>42 месечно проследяване,</w:t>
      </w:r>
      <w:r w:rsidRPr="00FE6AC6">
        <w:rPr>
          <w:color w:val="000000"/>
          <w:lang w:val="en-US"/>
        </w:rPr>
        <w:t> </w:t>
      </w:r>
      <w:r w:rsidRPr="00FE6AC6">
        <w:rPr>
          <w:color w:val="000000"/>
          <w:lang w:val="bg-BG"/>
        </w:rPr>
        <w:t>11</w:t>
      </w:r>
      <w:r w:rsidRPr="00FE6AC6">
        <w:rPr>
          <w:color w:val="000000"/>
          <w:lang w:val="en-US"/>
        </w:rPr>
        <w:t> </w:t>
      </w:r>
      <w:r w:rsidRPr="00FE6AC6">
        <w:rPr>
          <w:color w:val="000000"/>
          <w:lang w:val="bg-BG"/>
        </w:rPr>
        <w:t>от пациентите имат потвърдена загуба (в рамките на</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седмици) на цитогенетичния отговор. От тези</w:t>
      </w:r>
      <w:r w:rsidRPr="00FE6AC6">
        <w:rPr>
          <w:color w:val="000000"/>
          <w:lang w:val="en-US"/>
        </w:rPr>
        <w:t> </w:t>
      </w:r>
      <w:r w:rsidRPr="00FE6AC6">
        <w:rPr>
          <w:color w:val="000000"/>
          <w:lang w:val="bg-BG"/>
        </w:rPr>
        <w:t>11 пациента, при</w:t>
      </w:r>
      <w:r w:rsidRPr="00FE6AC6">
        <w:rPr>
          <w:color w:val="000000"/>
          <w:lang w:val="en-US"/>
        </w:rPr>
        <w:t> </w:t>
      </w:r>
      <w:r w:rsidRPr="00FE6AC6">
        <w:rPr>
          <w:color w:val="000000"/>
          <w:lang w:val="bg-BG"/>
        </w:rPr>
        <w:t>4</w:t>
      </w:r>
      <w:r w:rsidRPr="00FE6AC6">
        <w:rPr>
          <w:color w:val="000000"/>
          <w:lang w:val="en-US"/>
        </w:rPr>
        <w:t> </w:t>
      </w:r>
      <w:r w:rsidRPr="00FE6AC6">
        <w:rPr>
          <w:color w:val="000000"/>
          <w:lang w:val="bg-BG"/>
        </w:rPr>
        <w:t>дозата е била повишена до</w:t>
      </w:r>
      <w:r w:rsidRPr="00FE6AC6">
        <w:rPr>
          <w:color w:val="000000"/>
          <w:lang w:val="en-US"/>
        </w:rPr>
        <w:t> </w:t>
      </w:r>
      <w:r w:rsidRPr="00FE6AC6">
        <w:rPr>
          <w:color w:val="000000"/>
          <w:lang w:val="bg-BG"/>
        </w:rPr>
        <w:t>800 mg дневно, от които двама отново постигат цитогенетичен отговор (единият – частичен, а другият – пълен, като последният постига също молекулярен отговор), докато при</w:t>
      </w:r>
      <w:r w:rsidRPr="00FE6AC6">
        <w:rPr>
          <w:color w:val="000000"/>
          <w:lang w:val="en-US"/>
        </w:rPr>
        <w:t> </w:t>
      </w:r>
      <w:r w:rsidRPr="00FE6AC6">
        <w:rPr>
          <w:color w:val="000000"/>
          <w:lang w:val="bg-BG"/>
        </w:rPr>
        <w:t>7 пациенти, при които дозата не е повишена, само при един е постигнат пълен цитогенетичен отговор. Процентът на някои нежелани реакции е по-висок при пациентите, при които дозата е повишена на</w:t>
      </w:r>
      <w:r w:rsidRPr="00FE6AC6">
        <w:rPr>
          <w:color w:val="000000"/>
          <w:lang w:val="en-US"/>
        </w:rPr>
        <w:t> </w:t>
      </w:r>
      <w:r w:rsidRPr="00FE6AC6">
        <w:rPr>
          <w:color w:val="000000"/>
          <w:lang w:val="bg-BG"/>
        </w:rPr>
        <w:t>800 mg дневно, в сравнение с групата пациенти преди повишаването на дозата (n=551). Най-честите нежелани реакции включват гастро-интестинални кръвоизливи, конюнктивити и повишаване на трансаминазите или билирубина. Други нежелани реакции са описани с еднаква или по-ниска честота.</w:t>
      </w:r>
    </w:p>
    <w:p w14:paraId="3E5503C8" w14:textId="77777777" w:rsidR="001B628D" w:rsidRPr="00FE6AC6" w:rsidRDefault="001B628D" w:rsidP="0063575E">
      <w:pPr>
        <w:widowControl w:val="0"/>
        <w:spacing w:line="240" w:lineRule="auto"/>
        <w:rPr>
          <w:color w:val="000000"/>
          <w:lang w:val="bg-BG"/>
        </w:rPr>
      </w:pPr>
    </w:p>
    <w:p w14:paraId="3E5503C9" w14:textId="77777777" w:rsidR="001B628D" w:rsidRPr="00FE6AC6" w:rsidRDefault="001B628D" w:rsidP="0063575E">
      <w:pPr>
        <w:widowControl w:val="0"/>
        <w:spacing w:line="240" w:lineRule="auto"/>
        <w:rPr>
          <w:color w:val="000000"/>
          <w:lang w:val="bg-BG"/>
        </w:rPr>
      </w:pPr>
      <w:r w:rsidRPr="00FE6AC6">
        <w:rPr>
          <w:i/>
          <w:color w:val="000000"/>
          <w:lang w:val="bg-BG"/>
        </w:rPr>
        <w:t>Хронична фаза, неуспех от интерфероновата терапия</w:t>
      </w:r>
      <w:r w:rsidRPr="00FE6AC6">
        <w:rPr>
          <w:color w:val="000000"/>
          <w:lang w:val="bg-BG"/>
        </w:rPr>
        <w:t>: Лекувани са</w:t>
      </w:r>
      <w:r w:rsidRPr="00FE6AC6">
        <w:rPr>
          <w:color w:val="000000"/>
          <w:lang w:val="en-US"/>
        </w:rPr>
        <w:t> </w:t>
      </w:r>
      <w:r w:rsidRPr="00FE6AC6">
        <w:rPr>
          <w:color w:val="000000"/>
          <w:lang w:val="bg-BG"/>
        </w:rPr>
        <w:t>532 възрастни с начална доза от</w:t>
      </w:r>
      <w:r w:rsidRPr="00FE6AC6">
        <w:rPr>
          <w:color w:val="000000"/>
          <w:lang w:val="en-US"/>
        </w:rPr>
        <w:t> </w:t>
      </w:r>
      <w:r w:rsidRPr="00FE6AC6">
        <w:rPr>
          <w:color w:val="000000"/>
          <w:lang w:val="bg-BG"/>
        </w:rPr>
        <w:t>400 mg. Пациентите са били разделени в три основни категории: хематологичен неуспех (29%), цитогенетичен неуспех (35%) или непоносимост към интерферона (36%). Пациентите са получавали предхождаща IFN терапия с медиана на продължителност 14 месеца в доза ≥25 x</w:t>
      </w:r>
      <w:r w:rsidRPr="00FE6AC6">
        <w:rPr>
          <w:color w:val="000000"/>
          <w:lang w:val="en-US"/>
        </w:rPr>
        <w:t> </w:t>
      </w:r>
      <w:r w:rsidRPr="00FE6AC6">
        <w:rPr>
          <w:color w:val="000000"/>
          <w:lang w:val="bg-BG"/>
        </w:rPr>
        <w:t>10</w:t>
      </w:r>
      <w:r w:rsidRPr="00FE6AC6">
        <w:rPr>
          <w:color w:val="000000"/>
          <w:vertAlign w:val="superscript"/>
          <w:lang w:val="bg-BG"/>
        </w:rPr>
        <w:t>6</w:t>
      </w:r>
      <w:r w:rsidRPr="00FE6AC6">
        <w:rPr>
          <w:color w:val="000000"/>
          <w:lang w:val="bg-BG"/>
        </w:rPr>
        <w:t>IU/седмично, всички са били в късна хронична фаза, с медиана на периода след поставяне на диагнозата от</w:t>
      </w:r>
      <w:r w:rsidRPr="00FE6AC6">
        <w:rPr>
          <w:color w:val="000000"/>
          <w:lang w:val="en-US"/>
        </w:rPr>
        <w:t> </w:t>
      </w:r>
      <w:r w:rsidRPr="00FE6AC6">
        <w:rPr>
          <w:color w:val="000000"/>
          <w:lang w:val="bg-BG"/>
        </w:rPr>
        <w:t>32 месеца. Първичната крайна точка за ефикасността на проучването е честотата на голям цитогенетичен отговор (пълен плюс частичен отговор,</w:t>
      </w:r>
      <w:r w:rsidRPr="00FE6AC6">
        <w:rPr>
          <w:color w:val="000000"/>
          <w:lang w:val="en-US"/>
        </w:rPr>
        <w:t> </w:t>
      </w:r>
      <w:r w:rsidRPr="00FE6AC6">
        <w:rPr>
          <w:color w:val="000000"/>
          <w:lang w:val="bg-BG"/>
        </w:rPr>
        <w:t>0 до</w:t>
      </w:r>
      <w:r w:rsidRPr="00FE6AC6">
        <w:rPr>
          <w:color w:val="000000"/>
          <w:lang w:val="en-US"/>
        </w:rPr>
        <w:t> </w:t>
      </w:r>
      <w:r w:rsidRPr="00FE6AC6">
        <w:rPr>
          <w:color w:val="000000"/>
          <w:lang w:val="bg-BG"/>
        </w:rPr>
        <w:t>35% Ph+ метафазни пластинки в костния мозък).</w:t>
      </w:r>
    </w:p>
    <w:p w14:paraId="3E5503CA" w14:textId="77777777" w:rsidR="001B628D" w:rsidRPr="00FE6AC6" w:rsidRDefault="001B628D" w:rsidP="0063575E">
      <w:pPr>
        <w:widowControl w:val="0"/>
        <w:spacing w:line="240" w:lineRule="auto"/>
        <w:rPr>
          <w:color w:val="000000"/>
          <w:lang w:val="bg-BG"/>
        </w:rPr>
      </w:pPr>
    </w:p>
    <w:p w14:paraId="3E5503CB" w14:textId="77777777" w:rsidR="001B628D" w:rsidRPr="00FE6AC6" w:rsidRDefault="001B628D" w:rsidP="0063575E">
      <w:pPr>
        <w:widowControl w:val="0"/>
        <w:spacing w:line="240" w:lineRule="auto"/>
        <w:rPr>
          <w:color w:val="000000"/>
          <w:lang w:val="bg-BG"/>
        </w:rPr>
      </w:pPr>
      <w:r w:rsidRPr="00FE6AC6">
        <w:rPr>
          <w:color w:val="000000"/>
          <w:lang w:val="bg-BG"/>
        </w:rPr>
        <w:t>При това проучване</w:t>
      </w:r>
      <w:r w:rsidRPr="00FE6AC6">
        <w:rPr>
          <w:color w:val="000000"/>
          <w:lang w:val="en-US"/>
        </w:rPr>
        <w:t> </w:t>
      </w:r>
      <w:r w:rsidRPr="00FE6AC6">
        <w:rPr>
          <w:color w:val="000000"/>
          <w:lang w:val="bg-BG"/>
        </w:rPr>
        <w:t>65% от пациентите постигат голям цитогенетичен отговор, който е пълен при</w:t>
      </w:r>
      <w:r w:rsidRPr="00FE6AC6">
        <w:rPr>
          <w:color w:val="000000"/>
          <w:lang w:val="en-US"/>
        </w:rPr>
        <w:t> </w:t>
      </w:r>
      <w:r w:rsidRPr="00FE6AC6">
        <w:rPr>
          <w:color w:val="000000"/>
          <w:lang w:val="bg-BG"/>
        </w:rPr>
        <w:t>53% (потвърден в</w:t>
      </w:r>
      <w:r w:rsidRPr="00FE6AC6">
        <w:rPr>
          <w:color w:val="000000"/>
          <w:lang w:val="en-US"/>
        </w:rPr>
        <w:t> </w:t>
      </w:r>
      <w:r w:rsidRPr="00FE6AC6">
        <w:rPr>
          <w:color w:val="000000"/>
          <w:lang w:val="bg-BG"/>
        </w:rPr>
        <w:t>43%) от пациентите (Таблица</w:t>
      </w:r>
      <w:r w:rsidRPr="00FE6AC6">
        <w:rPr>
          <w:color w:val="000000"/>
          <w:lang w:val="en-US"/>
        </w:rPr>
        <w:t> </w:t>
      </w:r>
      <w:r w:rsidR="00E35121" w:rsidRPr="00FE6AC6">
        <w:rPr>
          <w:color w:val="000000"/>
          <w:lang w:val="bg-BG"/>
        </w:rPr>
        <w:t>3</w:t>
      </w:r>
      <w:r w:rsidRPr="00FE6AC6">
        <w:rPr>
          <w:color w:val="000000"/>
          <w:lang w:val="bg-BG"/>
        </w:rPr>
        <w:t>). Пълен хематологичен отговор е постигнат при</w:t>
      </w:r>
      <w:r w:rsidRPr="00FE6AC6">
        <w:rPr>
          <w:color w:val="000000"/>
          <w:lang w:val="en-US"/>
        </w:rPr>
        <w:t> </w:t>
      </w:r>
      <w:r w:rsidRPr="00FE6AC6">
        <w:rPr>
          <w:color w:val="000000"/>
          <w:lang w:val="bg-BG"/>
        </w:rPr>
        <w:t>95% от пациентите.</w:t>
      </w:r>
    </w:p>
    <w:p w14:paraId="3E5503CC" w14:textId="77777777" w:rsidR="001B628D" w:rsidRPr="00FE6AC6" w:rsidRDefault="001B628D" w:rsidP="0063575E">
      <w:pPr>
        <w:widowControl w:val="0"/>
        <w:spacing w:line="240" w:lineRule="auto"/>
        <w:rPr>
          <w:i/>
          <w:color w:val="000000"/>
          <w:lang w:val="bg-BG"/>
        </w:rPr>
      </w:pPr>
    </w:p>
    <w:p w14:paraId="3E5503CD" w14:textId="77777777" w:rsidR="001B628D" w:rsidRPr="00FE6AC6" w:rsidRDefault="001B628D" w:rsidP="0063575E">
      <w:pPr>
        <w:widowControl w:val="0"/>
        <w:spacing w:line="240" w:lineRule="auto"/>
        <w:rPr>
          <w:color w:val="000000"/>
          <w:lang w:val="bg-BG"/>
        </w:rPr>
      </w:pPr>
      <w:r w:rsidRPr="00FE6AC6">
        <w:rPr>
          <w:i/>
          <w:color w:val="000000"/>
          <w:lang w:val="bg-BG"/>
        </w:rPr>
        <w:t>Фаза на акцелерация:</w:t>
      </w:r>
      <w:r w:rsidRPr="00FE6AC6">
        <w:rPr>
          <w:color w:val="000000"/>
          <w:lang w:val="bg-BG"/>
        </w:rPr>
        <w:t xml:space="preserve"> Включени са</w:t>
      </w:r>
      <w:r w:rsidRPr="00FE6AC6">
        <w:rPr>
          <w:color w:val="000000"/>
          <w:lang w:val="en-US"/>
        </w:rPr>
        <w:t> </w:t>
      </w:r>
      <w:r w:rsidRPr="00FE6AC6">
        <w:rPr>
          <w:color w:val="000000"/>
          <w:lang w:val="bg-BG"/>
        </w:rPr>
        <w:t>235 възрастни пациенти със заболяване във фаза на акцелерация. При първите</w:t>
      </w:r>
      <w:r w:rsidRPr="00FE6AC6">
        <w:rPr>
          <w:color w:val="000000"/>
          <w:lang w:val="en-US"/>
        </w:rPr>
        <w:t> </w:t>
      </w:r>
      <w:r w:rsidRPr="00FE6AC6">
        <w:rPr>
          <w:color w:val="000000"/>
          <w:lang w:val="bg-BG"/>
        </w:rPr>
        <w:t>77 пациенти лечението е започнато с</w:t>
      </w:r>
      <w:r w:rsidRPr="00FE6AC6">
        <w:rPr>
          <w:color w:val="000000"/>
          <w:lang w:val="en-US"/>
        </w:rPr>
        <w:t> </w:t>
      </w:r>
      <w:r w:rsidRPr="00FE6AC6">
        <w:rPr>
          <w:color w:val="000000"/>
          <w:lang w:val="bg-BG"/>
        </w:rPr>
        <w:t>400 mg, като впоследствие протоколът е променен, като се позволят по-високи дози, така че при останалите</w:t>
      </w:r>
      <w:r w:rsidRPr="00FE6AC6">
        <w:rPr>
          <w:color w:val="000000"/>
          <w:lang w:val="en-US"/>
        </w:rPr>
        <w:t> </w:t>
      </w:r>
      <w:r w:rsidRPr="00FE6AC6">
        <w:rPr>
          <w:color w:val="000000"/>
          <w:lang w:val="bg-BG"/>
        </w:rPr>
        <w:t>158 пациенти лечението е започнато с</w:t>
      </w:r>
      <w:r w:rsidRPr="00FE6AC6">
        <w:rPr>
          <w:color w:val="000000"/>
          <w:lang w:val="en-US"/>
        </w:rPr>
        <w:t> </w:t>
      </w:r>
      <w:r w:rsidRPr="00FE6AC6">
        <w:rPr>
          <w:color w:val="000000"/>
          <w:lang w:val="bg-BG"/>
        </w:rPr>
        <w:t>600 mg.</w:t>
      </w:r>
    </w:p>
    <w:p w14:paraId="3E5503CE" w14:textId="77777777" w:rsidR="001B628D" w:rsidRPr="00FE6AC6" w:rsidRDefault="001B628D" w:rsidP="0063575E">
      <w:pPr>
        <w:widowControl w:val="0"/>
        <w:spacing w:line="240" w:lineRule="auto"/>
        <w:rPr>
          <w:color w:val="000000"/>
          <w:lang w:val="bg-BG"/>
        </w:rPr>
      </w:pPr>
    </w:p>
    <w:p w14:paraId="3E5503CF" w14:textId="77777777" w:rsidR="001B628D" w:rsidRPr="00FE6AC6" w:rsidRDefault="001B628D" w:rsidP="0063575E">
      <w:pPr>
        <w:widowControl w:val="0"/>
        <w:spacing w:line="240" w:lineRule="auto"/>
        <w:rPr>
          <w:color w:val="000000"/>
          <w:lang w:val="bg-BG"/>
        </w:rPr>
      </w:pPr>
      <w:r w:rsidRPr="00FE6AC6">
        <w:rPr>
          <w:color w:val="000000"/>
          <w:lang w:val="bg-BG"/>
        </w:rPr>
        <w:t>Първичната крайна точка за ефикасността е била честотата на хематологичен отговор, докладвана или като пълен хематологичен отговор, без данни за левкемия (т.е. изчистване на костния мозък и кръвта от бласти, но без пълно възстановяване нa периферната кръв както при пълния отговор) или преминаване отново в хроничната фаза на ХМЛ. Потвърден хематологичен отговор е постигнат при</w:t>
      </w:r>
      <w:r w:rsidRPr="00FE6AC6">
        <w:rPr>
          <w:color w:val="000000"/>
          <w:lang w:val="en-US"/>
        </w:rPr>
        <w:t> </w:t>
      </w:r>
      <w:r w:rsidRPr="00FE6AC6">
        <w:rPr>
          <w:color w:val="000000"/>
          <w:lang w:val="bg-BG"/>
        </w:rPr>
        <w:t>71,5% от пациентите (Таблица</w:t>
      </w:r>
      <w:r w:rsidRPr="00FE6AC6">
        <w:rPr>
          <w:color w:val="000000"/>
          <w:lang w:val="en-US"/>
        </w:rPr>
        <w:t> </w:t>
      </w:r>
      <w:r w:rsidR="00E35121" w:rsidRPr="00FE6AC6">
        <w:rPr>
          <w:color w:val="000000"/>
          <w:lang w:val="bg-BG"/>
        </w:rPr>
        <w:t>3</w:t>
      </w:r>
      <w:r w:rsidRPr="00FE6AC6">
        <w:rPr>
          <w:color w:val="000000"/>
          <w:lang w:val="bg-BG"/>
        </w:rPr>
        <w:t>). Важно е да се отбележи, че</w:t>
      </w:r>
      <w:r w:rsidRPr="00FE6AC6">
        <w:rPr>
          <w:color w:val="000000"/>
          <w:lang w:val="en-US"/>
        </w:rPr>
        <w:t> </w:t>
      </w:r>
      <w:r w:rsidRPr="00FE6AC6">
        <w:rPr>
          <w:color w:val="000000"/>
          <w:lang w:val="bg-BG"/>
        </w:rPr>
        <w:t>27,7% от пациенти също постигат голям цитогенетичен отговор, който е бил пълен при</w:t>
      </w:r>
      <w:r w:rsidRPr="00FE6AC6">
        <w:rPr>
          <w:color w:val="000000"/>
          <w:lang w:val="en-US"/>
        </w:rPr>
        <w:t> </w:t>
      </w:r>
      <w:r w:rsidRPr="00FE6AC6">
        <w:rPr>
          <w:color w:val="000000"/>
          <w:lang w:val="bg-BG"/>
        </w:rPr>
        <w:t>20,4% (потвърден при</w:t>
      </w:r>
      <w:r w:rsidRPr="00FE6AC6">
        <w:rPr>
          <w:color w:val="000000"/>
          <w:lang w:val="en-US"/>
        </w:rPr>
        <w:t> </w:t>
      </w:r>
      <w:r w:rsidRPr="00FE6AC6">
        <w:rPr>
          <w:color w:val="000000"/>
          <w:lang w:val="bg-BG"/>
        </w:rPr>
        <w:t>16%) от пациентите. За пациентите лекувани с</w:t>
      </w:r>
      <w:r w:rsidRPr="00FE6AC6">
        <w:rPr>
          <w:color w:val="000000"/>
          <w:lang w:val="en-US"/>
        </w:rPr>
        <w:t> </w:t>
      </w:r>
      <w:r w:rsidRPr="00FE6AC6">
        <w:rPr>
          <w:color w:val="000000"/>
          <w:lang w:val="bg-BG"/>
        </w:rPr>
        <w:t>600 mg, текущите оценки за медианата на преживяемост без прогресия и обща преживяемост са 22,9 и</w:t>
      </w:r>
      <w:r w:rsidRPr="00FE6AC6">
        <w:rPr>
          <w:color w:val="000000"/>
          <w:lang w:val="en-US"/>
        </w:rPr>
        <w:t> </w:t>
      </w:r>
      <w:r w:rsidRPr="00FE6AC6">
        <w:rPr>
          <w:color w:val="000000"/>
          <w:lang w:val="bg-BG"/>
        </w:rPr>
        <w:t>42,5 месеца, съответно.</w:t>
      </w:r>
    </w:p>
    <w:p w14:paraId="3E5503D0" w14:textId="77777777" w:rsidR="001B628D" w:rsidRPr="00FE6AC6" w:rsidRDefault="001B628D" w:rsidP="0063575E">
      <w:pPr>
        <w:widowControl w:val="0"/>
        <w:spacing w:line="240" w:lineRule="auto"/>
        <w:rPr>
          <w:color w:val="000000"/>
          <w:lang w:val="bg-BG"/>
        </w:rPr>
      </w:pPr>
    </w:p>
    <w:p w14:paraId="3E5503D1" w14:textId="77777777" w:rsidR="001B628D" w:rsidRPr="00FE6AC6" w:rsidRDefault="001B628D" w:rsidP="0063575E">
      <w:pPr>
        <w:widowControl w:val="0"/>
        <w:spacing w:line="240" w:lineRule="auto"/>
        <w:rPr>
          <w:color w:val="000000"/>
          <w:lang w:val="bg-BG"/>
        </w:rPr>
      </w:pPr>
      <w:r w:rsidRPr="00FE6AC6">
        <w:rPr>
          <w:i/>
          <w:color w:val="000000"/>
          <w:lang w:val="bg-BG"/>
        </w:rPr>
        <w:t>Миелоидна бластна криза:</w:t>
      </w:r>
      <w:r w:rsidRPr="00FE6AC6">
        <w:rPr>
          <w:color w:val="000000"/>
          <w:lang w:val="bg-BG"/>
        </w:rPr>
        <w:t xml:space="preserve"> Включени са</w:t>
      </w:r>
      <w:r w:rsidRPr="00FE6AC6">
        <w:rPr>
          <w:color w:val="000000"/>
          <w:lang w:val="en-US"/>
        </w:rPr>
        <w:t> </w:t>
      </w:r>
      <w:r w:rsidRPr="00FE6AC6">
        <w:rPr>
          <w:color w:val="000000"/>
          <w:lang w:val="bg-BG"/>
        </w:rPr>
        <w:t>260 пациенти с миелоидна бластна криза.</w:t>
      </w:r>
      <w:r w:rsidRPr="00FE6AC6">
        <w:rPr>
          <w:color w:val="000000"/>
          <w:lang w:val="en-US"/>
        </w:rPr>
        <w:t> </w:t>
      </w:r>
      <w:r w:rsidRPr="00FE6AC6">
        <w:rPr>
          <w:color w:val="000000"/>
          <w:lang w:val="ru-RU"/>
        </w:rPr>
        <w:t>9</w:t>
      </w:r>
      <w:r w:rsidRPr="00FE6AC6">
        <w:rPr>
          <w:color w:val="000000"/>
          <w:lang w:val="bg-BG"/>
        </w:rPr>
        <w:t>5 (37%) пациенти са получавали предхождаща химиотерапия за лечение на фаза на акцелерация или бластна криза (“предварително лекувани пациенти”), докато останалите</w:t>
      </w:r>
      <w:r w:rsidRPr="00FE6AC6">
        <w:rPr>
          <w:color w:val="000000"/>
          <w:lang w:val="en-US"/>
        </w:rPr>
        <w:t> </w:t>
      </w:r>
      <w:r w:rsidRPr="00FE6AC6">
        <w:rPr>
          <w:color w:val="000000"/>
          <w:lang w:val="ru-RU"/>
        </w:rPr>
        <w:t>1</w:t>
      </w:r>
      <w:r w:rsidRPr="00FE6AC6">
        <w:rPr>
          <w:color w:val="000000"/>
          <w:lang w:val="bg-BG"/>
        </w:rPr>
        <w:t>65 (63%) не са получавали (“нелекувани пациенти”) лечение. Първите</w:t>
      </w:r>
      <w:r w:rsidRPr="00FE6AC6">
        <w:rPr>
          <w:color w:val="000000"/>
          <w:lang w:val="en-US"/>
        </w:rPr>
        <w:t> </w:t>
      </w:r>
      <w:r w:rsidRPr="00FE6AC6">
        <w:rPr>
          <w:color w:val="000000"/>
          <w:lang w:val="bg-BG"/>
        </w:rPr>
        <w:t>37 пациенти започват лечението</w:t>
      </w:r>
      <w:r w:rsidRPr="00FE6AC6">
        <w:rPr>
          <w:color w:val="000000"/>
          <w:lang w:val="en-US"/>
        </w:rPr>
        <w:t> </w:t>
      </w:r>
      <w:r w:rsidRPr="00FE6AC6">
        <w:rPr>
          <w:color w:val="000000"/>
          <w:lang w:val="bg-BG"/>
        </w:rPr>
        <w:t>400 mg, като впоследствие протоколът е променен, така че да се позволят по-високи дози и при останалите</w:t>
      </w:r>
      <w:r w:rsidRPr="00FE6AC6">
        <w:rPr>
          <w:color w:val="000000"/>
          <w:lang w:val="en-US"/>
        </w:rPr>
        <w:t> </w:t>
      </w:r>
      <w:r w:rsidRPr="00FE6AC6">
        <w:rPr>
          <w:color w:val="000000"/>
          <w:lang w:val="bg-BG"/>
        </w:rPr>
        <w:t>223 пациенти лечението е започнато с 600 mg.</w:t>
      </w:r>
    </w:p>
    <w:p w14:paraId="3E5503D2" w14:textId="77777777" w:rsidR="001B628D" w:rsidRPr="00FE6AC6" w:rsidRDefault="001B628D" w:rsidP="0063575E">
      <w:pPr>
        <w:widowControl w:val="0"/>
        <w:spacing w:line="240" w:lineRule="auto"/>
        <w:rPr>
          <w:color w:val="000000"/>
          <w:lang w:val="bg-BG"/>
        </w:rPr>
      </w:pPr>
    </w:p>
    <w:p w14:paraId="3E5503D3" w14:textId="77777777" w:rsidR="001B628D" w:rsidRPr="00FE6AC6" w:rsidRDefault="001B628D" w:rsidP="0063575E">
      <w:pPr>
        <w:widowControl w:val="0"/>
        <w:spacing w:line="240" w:lineRule="auto"/>
        <w:rPr>
          <w:color w:val="000000"/>
          <w:lang w:val="bg-BG"/>
        </w:rPr>
      </w:pPr>
      <w:r w:rsidRPr="00FE6AC6">
        <w:rPr>
          <w:color w:val="000000"/>
          <w:lang w:val="bg-BG"/>
        </w:rPr>
        <w:t>Първичната крайна точка за ефикасността е била честотата на хематологичен отговор, докладван или като пълен хематологичен отговор, без данни за левкемия или преминаване отново в хроничната фаза на ХМЛ, като се използват същите критерии, както при проучването във фазата на акцелерация. При това проучване 31% от пациентите постигат хематологичен отговор (36% от “предварително нелекуваните пациенти” и 22% от “предварително лекуваните пациенти”). Честотата на отговор е била по-висока при пациентите, лекувани с 600 mg (33%), в сравнение с тези, които са лекувани с 400 mg (16%, p=0,0220). Текущата оценка за медианата на преживяемост на “предварително нелекуваните” и “предварително лекуваните” пациенти е съответно 7,7 и 4,7 месеца.</w:t>
      </w:r>
    </w:p>
    <w:p w14:paraId="3E5503D4" w14:textId="77777777" w:rsidR="001B628D" w:rsidRPr="00FE6AC6" w:rsidRDefault="001B628D" w:rsidP="0063575E">
      <w:pPr>
        <w:widowControl w:val="0"/>
        <w:spacing w:line="240" w:lineRule="auto"/>
        <w:rPr>
          <w:color w:val="000000"/>
          <w:lang w:val="bg-BG"/>
        </w:rPr>
      </w:pPr>
    </w:p>
    <w:p w14:paraId="3E5503D5" w14:textId="77777777" w:rsidR="001B628D" w:rsidRPr="00FE6AC6" w:rsidRDefault="001B628D" w:rsidP="0063575E">
      <w:pPr>
        <w:widowControl w:val="0"/>
        <w:spacing w:line="240" w:lineRule="auto"/>
        <w:rPr>
          <w:color w:val="000000"/>
          <w:lang w:val="bg-BG"/>
        </w:rPr>
      </w:pPr>
      <w:r w:rsidRPr="00FE6AC6">
        <w:rPr>
          <w:i/>
          <w:color w:val="000000"/>
          <w:lang w:val="bg-BG"/>
        </w:rPr>
        <w:t>Лимфобластна криза:</w:t>
      </w:r>
      <w:r w:rsidRPr="00FE6AC6">
        <w:rPr>
          <w:color w:val="000000"/>
          <w:lang w:val="bg-BG"/>
        </w:rPr>
        <w:t xml:space="preserve"> Включени са малък брой пациенти във фаза I проучвания (n=10). Честотата на хематологичен отговор е била 70% с продължителност 2</w:t>
      </w:r>
      <w:r w:rsidRPr="00FE6AC6">
        <w:rPr>
          <w:color w:val="000000"/>
          <w:lang w:val="bg-BG"/>
        </w:rPr>
        <w:noBreakHyphen/>
        <w:t>3 месеца.</w:t>
      </w:r>
    </w:p>
    <w:p w14:paraId="3E5503D6" w14:textId="77777777" w:rsidR="001B628D" w:rsidRPr="00FE6AC6" w:rsidRDefault="001B628D" w:rsidP="0063575E">
      <w:pPr>
        <w:widowControl w:val="0"/>
        <w:tabs>
          <w:tab w:val="clear" w:pos="567"/>
          <w:tab w:val="left" w:pos="1276"/>
        </w:tabs>
        <w:spacing w:line="240" w:lineRule="auto"/>
        <w:rPr>
          <w:b/>
          <w:color w:val="000000"/>
          <w:lang w:val="bg-BG"/>
        </w:rPr>
      </w:pPr>
    </w:p>
    <w:p w14:paraId="3E5503D7" w14:textId="77777777" w:rsidR="001B628D" w:rsidRPr="00FE6AC6" w:rsidRDefault="001B628D" w:rsidP="008143B1">
      <w:pPr>
        <w:keepNext/>
        <w:widowControl w:val="0"/>
        <w:tabs>
          <w:tab w:val="clear" w:pos="567"/>
          <w:tab w:val="left" w:pos="1134"/>
        </w:tabs>
        <w:spacing w:line="240" w:lineRule="auto"/>
        <w:rPr>
          <w:b/>
          <w:color w:val="000000"/>
          <w:lang w:val="bg-BG"/>
        </w:rPr>
      </w:pPr>
      <w:r w:rsidRPr="00FE6AC6">
        <w:rPr>
          <w:b/>
          <w:color w:val="000000"/>
          <w:lang w:val="bg-BG"/>
        </w:rPr>
        <w:t>Таблица </w:t>
      </w:r>
      <w:r w:rsidR="00E35121" w:rsidRPr="00FE6AC6">
        <w:rPr>
          <w:b/>
          <w:color w:val="000000"/>
          <w:lang w:val="bg-BG"/>
        </w:rPr>
        <w:t>3</w:t>
      </w:r>
      <w:r w:rsidRPr="00FE6AC6">
        <w:rPr>
          <w:b/>
          <w:color w:val="000000"/>
          <w:lang w:val="bg-BG"/>
        </w:rPr>
        <w:tab/>
        <w:t>Отговори в проучвания на ХМЛ при възрастни</w:t>
      </w:r>
    </w:p>
    <w:p w14:paraId="3E5503D8" w14:textId="77777777" w:rsidR="001B628D" w:rsidRPr="00FE6AC6" w:rsidRDefault="001B628D" w:rsidP="008143B1">
      <w:pPr>
        <w:keepNext/>
        <w:widowControl w:val="0"/>
        <w:spacing w:line="240" w:lineRule="auto"/>
        <w:rPr>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1B628D" w:rsidRPr="00FE6AC6" w14:paraId="3E5503E7" w14:textId="77777777" w:rsidTr="008143B1">
        <w:trPr>
          <w:cantSplit/>
        </w:trPr>
        <w:tc>
          <w:tcPr>
            <w:tcW w:w="3227" w:type="dxa"/>
            <w:tcBorders>
              <w:bottom w:val="nil"/>
            </w:tcBorders>
          </w:tcPr>
          <w:p w14:paraId="3E5503D9" w14:textId="77777777" w:rsidR="001B628D" w:rsidRPr="00FE6AC6" w:rsidRDefault="001B628D" w:rsidP="008143B1">
            <w:pPr>
              <w:pStyle w:val="EndnoteText"/>
              <w:keepNext/>
              <w:widowControl w:val="0"/>
              <w:tabs>
                <w:tab w:val="clear" w:pos="567"/>
              </w:tabs>
              <w:rPr>
                <w:color w:val="000000"/>
                <w:lang w:val="ru-RU"/>
              </w:rPr>
            </w:pPr>
          </w:p>
        </w:tc>
        <w:tc>
          <w:tcPr>
            <w:tcW w:w="1898" w:type="dxa"/>
            <w:tcBorders>
              <w:bottom w:val="nil"/>
            </w:tcBorders>
          </w:tcPr>
          <w:p w14:paraId="3E5503DA"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Проучване 0110</w:t>
            </w:r>
          </w:p>
          <w:p w14:paraId="3E5503DB"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37-месечни данни</w:t>
            </w:r>
          </w:p>
          <w:p w14:paraId="3E5503DC"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Хронична фаза</w:t>
            </w:r>
          </w:p>
          <w:p w14:paraId="3E5503DD"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Неуспех с интерферон</w:t>
            </w:r>
          </w:p>
          <w:p w14:paraId="3E5503DE" w14:textId="77777777" w:rsidR="001B628D" w:rsidRPr="00FE6AC6" w:rsidRDefault="001B628D" w:rsidP="008143B1">
            <w:pPr>
              <w:pStyle w:val="EndnoteText"/>
              <w:keepNext/>
              <w:widowControl w:val="0"/>
              <w:tabs>
                <w:tab w:val="clear" w:pos="567"/>
              </w:tabs>
              <w:jc w:val="center"/>
              <w:rPr>
                <w:color w:val="000000"/>
                <w:lang w:val="bg-BG"/>
              </w:rPr>
            </w:pPr>
            <w:r w:rsidRPr="00FE6AC6">
              <w:rPr>
                <w:color w:val="000000"/>
                <w:lang w:val="bg-BG"/>
              </w:rPr>
              <w:t>(n=532)</w:t>
            </w:r>
          </w:p>
        </w:tc>
        <w:tc>
          <w:tcPr>
            <w:tcW w:w="1985" w:type="dxa"/>
            <w:tcBorders>
              <w:bottom w:val="nil"/>
            </w:tcBorders>
          </w:tcPr>
          <w:p w14:paraId="3E5503DF"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Проучване 0109</w:t>
            </w:r>
          </w:p>
          <w:p w14:paraId="3E5503E0"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40,5-месечни данни</w:t>
            </w:r>
          </w:p>
          <w:p w14:paraId="3E5503E1"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Фаза на акцелерация</w:t>
            </w:r>
          </w:p>
          <w:p w14:paraId="3E5503E2" w14:textId="77777777" w:rsidR="001B628D" w:rsidRPr="00FE6AC6" w:rsidRDefault="001B628D" w:rsidP="008143B1">
            <w:pPr>
              <w:pStyle w:val="EndnoteText"/>
              <w:keepNext/>
              <w:widowControl w:val="0"/>
              <w:tabs>
                <w:tab w:val="clear" w:pos="567"/>
              </w:tabs>
              <w:jc w:val="center"/>
              <w:rPr>
                <w:color w:val="000000"/>
              </w:rPr>
            </w:pPr>
            <w:r w:rsidRPr="00FE6AC6">
              <w:rPr>
                <w:color w:val="000000"/>
                <w:lang w:val="bg-BG"/>
              </w:rPr>
              <w:t>(n=235)</w:t>
            </w:r>
          </w:p>
        </w:tc>
        <w:tc>
          <w:tcPr>
            <w:tcW w:w="1929" w:type="dxa"/>
            <w:tcBorders>
              <w:bottom w:val="nil"/>
            </w:tcBorders>
          </w:tcPr>
          <w:p w14:paraId="3E5503E3"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Проучване 0102</w:t>
            </w:r>
          </w:p>
          <w:p w14:paraId="3E5503E4"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38-месечни данни</w:t>
            </w:r>
          </w:p>
          <w:p w14:paraId="3E5503E5" w14:textId="77777777" w:rsidR="001B628D" w:rsidRPr="00FE6AC6" w:rsidRDefault="001B628D" w:rsidP="008143B1">
            <w:pPr>
              <w:keepNext/>
              <w:widowControl w:val="0"/>
              <w:spacing w:line="240" w:lineRule="auto"/>
              <w:jc w:val="center"/>
              <w:rPr>
                <w:color w:val="000000"/>
                <w:lang w:val="bg-BG"/>
              </w:rPr>
            </w:pPr>
            <w:r w:rsidRPr="00FE6AC6">
              <w:rPr>
                <w:color w:val="000000"/>
                <w:lang w:val="bg-BG"/>
              </w:rPr>
              <w:t>Миелобластна криза</w:t>
            </w:r>
          </w:p>
          <w:p w14:paraId="3E5503E6" w14:textId="77777777" w:rsidR="001B628D" w:rsidRPr="00FE6AC6" w:rsidRDefault="001B628D" w:rsidP="008143B1">
            <w:pPr>
              <w:pStyle w:val="EndnoteText"/>
              <w:keepNext/>
              <w:widowControl w:val="0"/>
              <w:tabs>
                <w:tab w:val="clear" w:pos="567"/>
              </w:tabs>
              <w:jc w:val="center"/>
              <w:rPr>
                <w:color w:val="000000"/>
              </w:rPr>
            </w:pPr>
            <w:r w:rsidRPr="00FE6AC6">
              <w:rPr>
                <w:color w:val="000000"/>
                <w:lang w:val="bg-BG"/>
              </w:rPr>
              <w:t>(n=260)</w:t>
            </w:r>
          </w:p>
        </w:tc>
      </w:tr>
      <w:tr w:rsidR="001B628D" w:rsidRPr="00FE6AC6" w14:paraId="3E5503EA" w14:textId="77777777" w:rsidTr="008143B1">
        <w:trPr>
          <w:cantSplit/>
        </w:trPr>
        <w:tc>
          <w:tcPr>
            <w:tcW w:w="3227" w:type="dxa"/>
            <w:tcBorders>
              <w:bottom w:val="nil"/>
            </w:tcBorders>
          </w:tcPr>
          <w:p w14:paraId="3E5503E8" w14:textId="77777777" w:rsidR="001B628D" w:rsidRPr="00FE6AC6" w:rsidRDefault="001B628D" w:rsidP="008143B1">
            <w:pPr>
              <w:pStyle w:val="EndnoteText"/>
              <w:keepNext/>
              <w:widowControl w:val="0"/>
              <w:tabs>
                <w:tab w:val="clear" w:pos="567"/>
              </w:tabs>
              <w:rPr>
                <w:color w:val="000000"/>
              </w:rPr>
            </w:pPr>
          </w:p>
        </w:tc>
        <w:tc>
          <w:tcPr>
            <w:tcW w:w="5812" w:type="dxa"/>
            <w:gridSpan w:val="3"/>
            <w:tcBorders>
              <w:bottom w:val="nil"/>
            </w:tcBorders>
          </w:tcPr>
          <w:p w14:paraId="3E5503E9" w14:textId="77777777" w:rsidR="001B628D" w:rsidRPr="00FE6AC6" w:rsidRDefault="001B628D" w:rsidP="008143B1">
            <w:pPr>
              <w:pStyle w:val="EndnoteText"/>
              <w:keepNext/>
              <w:widowControl w:val="0"/>
              <w:tabs>
                <w:tab w:val="clear" w:pos="567"/>
              </w:tabs>
              <w:jc w:val="center"/>
              <w:rPr>
                <w:color w:val="000000"/>
                <w:lang w:val="bg-BG"/>
              </w:rPr>
            </w:pPr>
            <w:r w:rsidRPr="00FE6AC6">
              <w:rPr>
                <w:color w:val="000000"/>
                <w:lang w:val="bg-BG"/>
              </w:rPr>
              <w:t>% на пациентите</w:t>
            </w:r>
            <w:r w:rsidRPr="00FE6AC6">
              <w:rPr>
                <w:color w:val="000000"/>
              </w:rPr>
              <w:t xml:space="preserve"> CI</w:t>
            </w:r>
            <w:r w:rsidRPr="00FE6AC6">
              <w:rPr>
                <w:color w:val="000000"/>
                <w:vertAlign w:val="subscript"/>
              </w:rPr>
              <w:t>95%</w:t>
            </w:r>
          </w:p>
        </w:tc>
      </w:tr>
      <w:tr w:rsidR="001B628D" w:rsidRPr="00FE6AC6" w14:paraId="3E5503EF" w14:textId="77777777" w:rsidTr="008143B1">
        <w:trPr>
          <w:cantSplit/>
        </w:trPr>
        <w:tc>
          <w:tcPr>
            <w:tcW w:w="3227" w:type="dxa"/>
            <w:tcBorders>
              <w:bottom w:val="nil"/>
            </w:tcBorders>
          </w:tcPr>
          <w:p w14:paraId="3E5503EB" w14:textId="77777777" w:rsidR="001B628D" w:rsidRPr="00FE6AC6" w:rsidRDefault="001B628D" w:rsidP="008143B1">
            <w:pPr>
              <w:pStyle w:val="EndnoteText"/>
              <w:keepNext/>
              <w:widowControl w:val="0"/>
              <w:tabs>
                <w:tab w:val="clear" w:pos="567"/>
              </w:tabs>
              <w:rPr>
                <w:color w:val="000000"/>
              </w:rPr>
            </w:pPr>
            <w:r w:rsidRPr="00FE6AC6">
              <w:rPr>
                <w:color w:val="000000"/>
                <w:lang w:val="bg-BG"/>
              </w:rPr>
              <w:t>Хематологичен отговор¹</w:t>
            </w:r>
          </w:p>
        </w:tc>
        <w:tc>
          <w:tcPr>
            <w:tcW w:w="1898" w:type="dxa"/>
            <w:tcBorders>
              <w:bottom w:val="nil"/>
            </w:tcBorders>
          </w:tcPr>
          <w:p w14:paraId="3E5503EC"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95% (92</w:t>
            </w:r>
            <w:r w:rsidRPr="00FE6AC6">
              <w:rPr>
                <w:color w:val="000000"/>
                <w:lang w:val="bg-BG"/>
              </w:rPr>
              <w:t>,</w:t>
            </w:r>
            <w:r w:rsidRPr="00FE6AC6">
              <w:rPr>
                <w:color w:val="000000"/>
              </w:rPr>
              <w:t>3–96</w:t>
            </w:r>
            <w:r w:rsidRPr="00FE6AC6">
              <w:rPr>
                <w:color w:val="000000"/>
                <w:lang w:val="bg-BG"/>
              </w:rPr>
              <w:t>,</w:t>
            </w:r>
            <w:r w:rsidRPr="00FE6AC6">
              <w:rPr>
                <w:color w:val="000000"/>
              </w:rPr>
              <w:t>3)</w:t>
            </w:r>
          </w:p>
        </w:tc>
        <w:tc>
          <w:tcPr>
            <w:tcW w:w="1985" w:type="dxa"/>
            <w:tcBorders>
              <w:bottom w:val="nil"/>
            </w:tcBorders>
          </w:tcPr>
          <w:p w14:paraId="3E5503ED"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71% (65</w:t>
            </w:r>
            <w:r w:rsidRPr="00FE6AC6">
              <w:rPr>
                <w:color w:val="000000"/>
                <w:lang w:val="bg-BG"/>
              </w:rPr>
              <w:t>,</w:t>
            </w:r>
            <w:r w:rsidRPr="00FE6AC6">
              <w:rPr>
                <w:color w:val="000000"/>
              </w:rPr>
              <w:t>3–77</w:t>
            </w:r>
            <w:r w:rsidRPr="00FE6AC6">
              <w:rPr>
                <w:color w:val="000000"/>
                <w:lang w:val="bg-BG"/>
              </w:rPr>
              <w:t>,</w:t>
            </w:r>
            <w:r w:rsidRPr="00FE6AC6">
              <w:rPr>
                <w:color w:val="000000"/>
              </w:rPr>
              <w:t>2)</w:t>
            </w:r>
          </w:p>
        </w:tc>
        <w:tc>
          <w:tcPr>
            <w:tcW w:w="1929" w:type="dxa"/>
            <w:tcBorders>
              <w:bottom w:val="nil"/>
            </w:tcBorders>
          </w:tcPr>
          <w:p w14:paraId="3E5503EE"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31% (25</w:t>
            </w:r>
            <w:r w:rsidRPr="00FE6AC6">
              <w:rPr>
                <w:color w:val="000000"/>
                <w:lang w:val="bg-BG"/>
              </w:rPr>
              <w:t>,</w:t>
            </w:r>
            <w:r w:rsidRPr="00FE6AC6">
              <w:rPr>
                <w:color w:val="000000"/>
              </w:rPr>
              <w:t>2–36</w:t>
            </w:r>
            <w:r w:rsidRPr="00FE6AC6">
              <w:rPr>
                <w:color w:val="000000"/>
                <w:lang w:val="bg-BG"/>
              </w:rPr>
              <w:t>,</w:t>
            </w:r>
            <w:r w:rsidRPr="00FE6AC6">
              <w:rPr>
                <w:color w:val="000000"/>
              </w:rPr>
              <w:t>8)</w:t>
            </w:r>
          </w:p>
        </w:tc>
      </w:tr>
      <w:tr w:rsidR="001B628D" w:rsidRPr="00FE6AC6" w14:paraId="3E5503F5" w14:textId="77777777" w:rsidTr="008143B1">
        <w:trPr>
          <w:cantSplit/>
        </w:trPr>
        <w:tc>
          <w:tcPr>
            <w:tcW w:w="3227" w:type="dxa"/>
            <w:tcBorders>
              <w:top w:val="nil"/>
              <w:bottom w:val="nil"/>
            </w:tcBorders>
          </w:tcPr>
          <w:p w14:paraId="3E5503F0" w14:textId="77777777" w:rsidR="001B628D" w:rsidRPr="00FE6AC6" w:rsidRDefault="001B628D" w:rsidP="008143B1">
            <w:pPr>
              <w:keepNext/>
              <w:widowControl w:val="0"/>
              <w:spacing w:line="240" w:lineRule="auto"/>
              <w:ind w:left="284"/>
              <w:rPr>
                <w:color w:val="000000"/>
                <w:lang w:val="bg-BG"/>
              </w:rPr>
            </w:pPr>
            <w:r w:rsidRPr="00FE6AC6">
              <w:rPr>
                <w:color w:val="000000"/>
                <w:lang w:val="bg-BG"/>
              </w:rPr>
              <w:t>Пълен хематологичен</w:t>
            </w:r>
          </w:p>
          <w:p w14:paraId="3E5503F1" w14:textId="77777777" w:rsidR="001B628D" w:rsidRPr="00FE6AC6" w:rsidRDefault="001B628D" w:rsidP="008143B1">
            <w:pPr>
              <w:pStyle w:val="EndnoteText"/>
              <w:keepNext/>
              <w:widowControl w:val="0"/>
              <w:tabs>
                <w:tab w:val="clear" w:pos="567"/>
              </w:tabs>
              <w:ind w:left="284"/>
              <w:rPr>
                <w:color w:val="000000"/>
              </w:rPr>
            </w:pPr>
            <w:r w:rsidRPr="00FE6AC6">
              <w:rPr>
                <w:color w:val="000000"/>
                <w:lang w:val="bg-BG"/>
              </w:rPr>
              <w:t>отговор - ПХО(CHR)</w:t>
            </w:r>
          </w:p>
        </w:tc>
        <w:tc>
          <w:tcPr>
            <w:tcW w:w="1898" w:type="dxa"/>
            <w:tcBorders>
              <w:top w:val="nil"/>
              <w:bottom w:val="nil"/>
            </w:tcBorders>
          </w:tcPr>
          <w:p w14:paraId="3E5503F2"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95%</w:t>
            </w:r>
          </w:p>
        </w:tc>
        <w:tc>
          <w:tcPr>
            <w:tcW w:w="1985" w:type="dxa"/>
            <w:tcBorders>
              <w:top w:val="nil"/>
              <w:bottom w:val="nil"/>
            </w:tcBorders>
          </w:tcPr>
          <w:p w14:paraId="3E5503F3"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42%</w:t>
            </w:r>
          </w:p>
        </w:tc>
        <w:tc>
          <w:tcPr>
            <w:tcW w:w="1929" w:type="dxa"/>
            <w:tcBorders>
              <w:top w:val="nil"/>
              <w:bottom w:val="nil"/>
            </w:tcBorders>
          </w:tcPr>
          <w:p w14:paraId="3E5503F4"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8%</w:t>
            </w:r>
          </w:p>
        </w:tc>
      </w:tr>
      <w:tr w:rsidR="001B628D" w:rsidRPr="00FE6AC6" w14:paraId="3E5503FA" w14:textId="77777777" w:rsidTr="008143B1">
        <w:trPr>
          <w:cantSplit/>
        </w:trPr>
        <w:tc>
          <w:tcPr>
            <w:tcW w:w="3227" w:type="dxa"/>
            <w:tcBorders>
              <w:top w:val="nil"/>
              <w:bottom w:val="nil"/>
            </w:tcBorders>
          </w:tcPr>
          <w:p w14:paraId="3E5503F6" w14:textId="77777777" w:rsidR="001B628D" w:rsidRPr="00FE6AC6" w:rsidRDefault="001B628D" w:rsidP="008143B1">
            <w:pPr>
              <w:keepNext/>
              <w:widowControl w:val="0"/>
              <w:spacing w:line="240" w:lineRule="auto"/>
              <w:ind w:left="284"/>
              <w:rPr>
                <w:color w:val="000000"/>
                <w:lang w:val="bg-BG"/>
              </w:rPr>
            </w:pPr>
            <w:r w:rsidRPr="00FE6AC6">
              <w:rPr>
                <w:color w:val="000000"/>
                <w:lang w:val="bg-BG"/>
              </w:rPr>
              <w:t>Без данни за левкемия БДЛ (</w:t>
            </w:r>
            <w:r w:rsidRPr="00FE6AC6">
              <w:rPr>
                <w:color w:val="000000"/>
                <w:lang w:val="en-US"/>
              </w:rPr>
              <w:t>NEL</w:t>
            </w:r>
            <w:r w:rsidRPr="00FE6AC6">
              <w:rPr>
                <w:color w:val="000000"/>
                <w:lang w:val="bg-BG"/>
              </w:rPr>
              <w:t>)</w:t>
            </w:r>
          </w:p>
        </w:tc>
        <w:tc>
          <w:tcPr>
            <w:tcW w:w="1898" w:type="dxa"/>
            <w:tcBorders>
              <w:top w:val="nil"/>
              <w:bottom w:val="nil"/>
            </w:tcBorders>
          </w:tcPr>
          <w:p w14:paraId="3E5503F7" w14:textId="77777777" w:rsidR="001B628D" w:rsidRPr="00FE6AC6" w:rsidRDefault="001B628D" w:rsidP="008143B1">
            <w:pPr>
              <w:pStyle w:val="EndnoteText"/>
              <w:keepNext/>
              <w:widowControl w:val="0"/>
              <w:tabs>
                <w:tab w:val="clear" w:pos="567"/>
              </w:tabs>
              <w:jc w:val="center"/>
              <w:rPr>
                <w:color w:val="000000"/>
              </w:rPr>
            </w:pPr>
            <w:r w:rsidRPr="00FE6AC6">
              <w:rPr>
                <w:color w:val="000000"/>
                <w:lang w:val="bg-BG"/>
              </w:rPr>
              <w:t>Не е приложимо</w:t>
            </w:r>
          </w:p>
        </w:tc>
        <w:tc>
          <w:tcPr>
            <w:tcW w:w="1985" w:type="dxa"/>
            <w:tcBorders>
              <w:top w:val="nil"/>
              <w:bottom w:val="nil"/>
            </w:tcBorders>
          </w:tcPr>
          <w:p w14:paraId="3E5503F8"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12%</w:t>
            </w:r>
          </w:p>
        </w:tc>
        <w:tc>
          <w:tcPr>
            <w:tcW w:w="1929" w:type="dxa"/>
            <w:tcBorders>
              <w:top w:val="nil"/>
              <w:bottom w:val="nil"/>
            </w:tcBorders>
          </w:tcPr>
          <w:p w14:paraId="3E5503F9"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5%</w:t>
            </w:r>
          </w:p>
        </w:tc>
      </w:tr>
      <w:tr w:rsidR="001B628D" w:rsidRPr="00FE6AC6" w14:paraId="3E5503FF" w14:textId="77777777" w:rsidTr="008143B1">
        <w:trPr>
          <w:cantSplit/>
        </w:trPr>
        <w:tc>
          <w:tcPr>
            <w:tcW w:w="3227" w:type="dxa"/>
            <w:tcBorders>
              <w:top w:val="nil"/>
              <w:bottom w:val="nil"/>
            </w:tcBorders>
          </w:tcPr>
          <w:p w14:paraId="3E5503FB" w14:textId="77777777" w:rsidR="001B628D" w:rsidRPr="00FE6AC6" w:rsidRDefault="001B628D" w:rsidP="008143B1">
            <w:pPr>
              <w:pStyle w:val="EndnoteText"/>
              <w:keepNext/>
              <w:widowControl w:val="0"/>
              <w:tabs>
                <w:tab w:val="clear" w:pos="567"/>
              </w:tabs>
              <w:ind w:left="284"/>
              <w:rPr>
                <w:color w:val="000000"/>
                <w:lang w:val="ru-RU"/>
              </w:rPr>
            </w:pPr>
            <w:r w:rsidRPr="00FE6AC6">
              <w:rPr>
                <w:color w:val="000000"/>
                <w:lang w:val="bg-BG"/>
              </w:rPr>
              <w:t xml:space="preserve">Връщане към хронична фаза </w:t>
            </w:r>
            <w:r w:rsidRPr="00FE6AC6">
              <w:rPr>
                <w:color w:val="000000"/>
                <w:lang w:val="en-US"/>
              </w:rPr>
              <w:t xml:space="preserve">– </w:t>
            </w:r>
            <w:r w:rsidRPr="00FE6AC6">
              <w:rPr>
                <w:color w:val="000000"/>
                <w:lang w:val="bg-BG"/>
              </w:rPr>
              <w:t>ВХФ (</w:t>
            </w:r>
            <w:r w:rsidRPr="00FE6AC6">
              <w:rPr>
                <w:color w:val="000000"/>
                <w:lang w:val="en-US"/>
              </w:rPr>
              <w:t>RTC</w:t>
            </w:r>
            <w:r w:rsidRPr="00FE6AC6">
              <w:rPr>
                <w:color w:val="000000"/>
                <w:lang w:val="bg-BG"/>
              </w:rPr>
              <w:t>)</w:t>
            </w:r>
          </w:p>
        </w:tc>
        <w:tc>
          <w:tcPr>
            <w:tcW w:w="1898" w:type="dxa"/>
            <w:tcBorders>
              <w:top w:val="nil"/>
              <w:bottom w:val="nil"/>
            </w:tcBorders>
          </w:tcPr>
          <w:p w14:paraId="3E5503FC" w14:textId="77777777" w:rsidR="001B628D" w:rsidRPr="00FE6AC6" w:rsidRDefault="001B628D" w:rsidP="008143B1">
            <w:pPr>
              <w:pStyle w:val="EndnoteText"/>
              <w:keepNext/>
              <w:widowControl w:val="0"/>
              <w:tabs>
                <w:tab w:val="clear" w:pos="567"/>
              </w:tabs>
              <w:jc w:val="center"/>
              <w:rPr>
                <w:color w:val="000000"/>
              </w:rPr>
            </w:pPr>
            <w:r w:rsidRPr="00FE6AC6">
              <w:rPr>
                <w:color w:val="000000"/>
                <w:lang w:val="bg-BG"/>
              </w:rPr>
              <w:t>Не е приложимо</w:t>
            </w:r>
          </w:p>
        </w:tc>
        <w:tc>
          <w:tcPr>
            <w:tcW w:w="1985" w:type="dxa"/>
            <w:tcBorders>
              <w:top w:val="nil"/>
              <w:bottom w:val="nil"/>
            </w:tcBorders>
          </w:tcPr>
          <w:p w14:paraId="3E5503FD"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17%</w:t>
            </w:r>
          </w:p>
        </w:tc>
        <w:tc>
          <w:tcPr>
            <w:tcW w:w="1929" w:type="dxa"/>
            <w:tcBorders>
              <w:top w:val="nil"/>
              <w:bottom w:val="nil"/>
            </w:tcBorders>
          </w:tcPr>
          <w:p w14:paraId="3E5503FE"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18%</w:t>
            </w:r>
          </w:p>
        </w:tc>
      </w:tr>
      <w:tr w:rsidR="001B628D" w:rsidRPr="00FE6AC6" w14:paraId="3E550404" w14:textId="77777777" w:rsidTr="008143B1">
        <w:trPr>
          <w:cantSplit/>
        </w:trPr>
        <w:tc>
          <w:tcPr>
            <w:tcW w:w="3227" w:type="dxa"/>
            <w:tcBorders>
              <w:bottom w:val="nil"/>
            </w:tcBorders>
          </w:tcPr>
          <w:p w14:paraId="3E550400" w14:textId="77777777" w:rsidR="001B628D" w:rsidRPr="00FE6AC6" w:rsidRDefault="001B628D" w:rsidP="008143B1">
            <w:pPr>
              <w:pStyle w:val="EndnoteText"/>
              <w:keepNext/>
              <w:widowControl w:val="0"/>
              <w:tabs>
                <w:tab w:val="clear" w:pos="567"/>
              </w:tabs>
              <w:rPr>
                <w:color w:val="000000"/>
              </w:rPr>
            </w:pPr>
            <w:r w:rsidRPr="00FE6AC6">
              <w:rPr>
                <w:color w:val="000000"/>
                <w:lang w:val="bg-BG"/>
              </w:rPr>
              <w:t>Голям цитогенетичен отговор²</w:t>
            </w:r>
          </w:p>
        </w:tc>
        <w:tc>
          <w:tcPr>
            <w:tcW w:w="1898" w:type="dxa"/>
            <w:tcBorders>
              <w:bottom w:val="nil"/>
            </w:tcBorders>
          </w:tcPr>
          <w:p w14:paraId="3E550401"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65% (61</w:t>
            </w:r>
            <w:r w:rsidRPr="00FE6AC6">
              <w:rPr>
                <w:color w:val="000000"/>
                <w:lang w:val="bg-BG"/>
              </w:rPr>
              <w:t>,</w:t>
            </w:r>
            <w:r w:rsidRPr="00FE6AC6">
              <w:rPr>
                <w:color w:val="000000"/>
              </w:rPr>
              <w:t>2–69</w:t>
            </w:r>
            <w:r w:rsidRPr="00FE6AC6">
              <w:rPr>
                <w:color w:val="000000"/>
                <w:lang w:val="bg-BG"/>
              </w:rPr>
              <w:t>,</w:t>
            </w:r>
            <w:r w:rsidRPr="00FE6AC6">
              <w:rPr>
                <w:color w:val="000000"/>
              </w:rPr>
              <w:t>5)</w:t>
            </w:r>
          </w:p>
        </w:tc>
        <w:tc>
          <w:tcPr>
            <w:tcW w:w="1985" w:type="dxa"/>
            <w:tcBorders>
              <w:bottom w:val="nil"/>
            </w:tcBorders>
          </w:tcPr>
          <w:p w14:paraId="3E550402"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28% (22</w:t>
            </w:r>
            <w:r w:rsidRPr="00FE6AC6">
              <w:rPr>
                <w:color w:val="000000"/>
                <w:lang w:val="bg-BG"/>
              </w:rPr>
              <w:t>,</w:t>
            </w:r>
            <w:r w:rsidRPr="00FE6AC6">
              <w:rPr>
                <w:color w:val="000000"/>
              </w:rPr>
              <w:t>0–33</w:t>
            </w:r>
            <w:r w:rsidRPr="00FE6AC6">
              <w:rPr>
                <w:color w:val="000000"/>
                <w:lang w:val="bg-BG"/>
              </w:rPr>
              <w:t>,</w:t>
            </w:r>
            <w:r w:rsidRPr="00FE6AC6">
              <w:rPr>
                <w:color w:val="000000"/>
              </w:rPr>
              <w:t>9)</w:t>
            </w:r>
          </w:p>
        </w:tc>
        <w:tc>
          <w:tcPr>
            <w:tcW w:w="1929" w:type="dxa"/>
            <w:tcBorders>
              <w:bottom w:val="nil"/>
            </w:tcBorders>
          </w:tcPr>
          <w:p w14:paraId="3E550403"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15% (11</w:t>
            </w:r>
            <w:r w:rsidRPr="00FE6AC6">
              <w:rPr>
                <w:color w:val="000000"/>
                <w:lang w:val="bg-BG"/>
              </w:rPr>
              <w:t>,</w:t>
            </w:r>
            <w:r w:rsidRPr="00FE6AC6">
              <w:rPr>
                <w:color w:val="000000"/>
              </w:rPr>
              <w:t>2–20</w:t>
            </w:r>
            <w:r w:rsidRPr="00FE6AC6">
              <w:rPr>
                <w:color w:val="000000"/>
                <w:lang w:val="bg-BG"/>
              </w:rPr>
              <w:t>,</w:t>
            </w:r>
            <w:r w:rsidRPr="00FE6AC6">
              <w:rPr>
                <w:color w:val="000000"/>
              </w:rPr>
              <w:t>4)</w:t>
            </w:r>
          </w:p>
        </w:tc>
      </w:tr>
      <w:tr w:rsidR="001B628D" w:rsidRPr="00FE6AC6" w14:paraId="3E550409" w14:textId="77777777" w:rsidTr="008143B1">
        <w:trPr>
          <w:cantSplit/>
        </w:trPr>
        <w:tc>
          <w:tcPr>
            <w:tcW w:w="3227" w:type="dxa"/>
            <w:tcBorders>
              <w:top w:val="nil"/>
              <w:bottom w:val="nil"/>
            </w:tcBorders>
          </w:tcPr>
          <w:p w14:paraId="3E550405" w14:textId="77777777" w:rsidR="001B628D" w:rsidRPr="00FE6AC6" w:rsidRDefault="001B628D" w:rsidP="008143B1">
            <w:pPr>
              <w:pStyle w:val="EndnoteText"/>
              <w:keepNext/>
              <w:widowControl w:val="0"/>
              <w:tabs>
                <w:tab w:val="clear" w:pos="567"/>
              </w:tabs>
              <w:ind w:left="284"/>
              <w:rPr>
                <w:color w:val="000000"/>
                <w:lang w:val="bg-BG"/>
              </w:rPr>
            </w:pPr>
            <w:r w:rsidRPr="00FE6AC6">
              <w:rPr>
                <w:color w:val="000000"/>
                <w:lang w:val="bg-BG"/>
              </w:rPr>
              <w:t>Пълен</w:t>
            </w:r>
          </w:p>
        </w:tc>
        <w:tc>
          <w:tcPr>
            <w:tcW w:w="1898" w:type="dxa"/>
            <w:tcBorders>
              <w:top w:val="nil"/>
              <w:bottom w:val="nil"/>
            </w:tcBorders>
          </w:tcPr>
          <w:p w14:paraId="3E550406"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53%</w:t>
            </w:r>
          </w:p>
        </w:tc>
        <w:tc>
          <w:tcPr>
            <w:tcW w:w="1985" w:type="dxa"/>
            <w:tcBorders>
              <w:top w:val="nil"/>
              <w:bottom w:val="nil"/>
            </w:tcBorders>
          </w:tcPr>
          <w:p w14:paraId="3E550407"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20%</w:t>
            </w:r>
          </w:p>
        </w:tc>
        <w:tc>
          <w:tcPr>
            <w:tcW w:w="1929" w:type="dxa"/>
            <w:tcBorders>
              <w:top w:val="nil"/>
              <w:bottom w:val="nil"/>
            </w:tcBorders>
          </w:tcPr>
          <w:p w14:paraId="3E550408"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7%</w:t>
            </w:r>
          </w:p>
        </w:tc>
      </w:tr>
      <w:tr w:rsidR="001B628D" w:rsidRPr="00FE6AC6" w14:paraId="3E55040E" w14:textId="77777777" w:rsidTr="008143B1">
        <w:trPr>
          <w:cantSplit/>
        </w:trPr>
        <w:tc>
          <w:tcPr>
            <w:tcW w:w="3227" w:type="dxa"/>
            <w:tcBorders>
              <w:top w:val="nil"/>
              <w:bottom w:val="nil"/>
            </w:tcBorders>
          </w:tcPr>
          <w:p w14:paraId="3E55040A" w14:textId="77777777" w:rsidR="001B628D" w:rsidRPr="00FE6AC6" w:rsidRDefault="001B628D" w:rsidP="008143B1">
            <w:pPr>
              <w:pStyle w:val="EndnoteText"/>
              <w:keepNext/>
              <w:widowControl w:val="0"/>
              <w:tabs>
                <w:tab w:val="clear" w:pos="567"/>
              </w:tabs>
              <w:ind w:left="284"/>
              <w:rPr>
                <w:color w:val="000000"/>
              </w:rPr>
            </w:pPr>
            <w:r w:rsidRPr="00FE6AC6">
              <w:rPr>
                <w:color w:val="000000"/>
                <w:lang w:val="bg-BG"/>
              </w:rPr>
              <w:t>(Потвърден³)</w:t>
            </w:r>
            <w:r w:rsidRPr="00FE6AC6">
              <w:rPr>
                <w:color w:val="000000"/>
              </w:rPr>
              <w:t xml:space="preserve"> [95% </w:t>
            </w:r>
            <w:r w:rsidRPr="00FE6AC6">
              <w:rPr>
                <w:color w:val="000000"/>
                <w:lang w:val="en-US"/>
              </w:rPr>
              <w:t>CI</w:t>
            </w:r>
            <w:r w:rsidRPr="00FE6AC6">
              <w:rPr>
                <w:color w:val="000000"/>
              </w:rPr>
              <w:t>]</w:t>
            </w:r>
          </w:p>
        </w:tc>
        <w:tc>
          <w:tcPr>
            <w:tcW w:w="1898" w:type="dxa"/>
            <w:tcBorders>
              <w:top w:val="nil"/>
              <w:bottom w:val="nil"/>
            </w:tcBorders>
          </w:tcPr>
          <w:p w14:paraId="3E55040B"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(43%) [38</w:t>
            </w:r>
            <w:r w:rsidRPr="00FE6AC6">
              <w:rPr>
                <w:color w:val="000000"/>
                <w:lang w:val="bg-BG"/>
              </w:rPr>
              <w:t>,</w:t>
            </w:r>
            <w:r w:rsidRPr="00FE6AC6">
              <w:rPr>
                <w:color w:val="000000"/>
              </w:rPr>
              <w:t>6–47</w:t>
            </w:r>
            <w:r w:rsidRPr="00FE6AC6">
              <w:rPr>
                <w:color w:val="000000"/>
                <w:lang w:val="bg-BG"/>
              </w:rPr>
              <w:t>,</w:t>
            </w:r>
            <w:r w:rsidRPr="00FE6AC6">
              <w:rPr>
                <w:color w:val="000000"/>
              </w:rPr>
              <w:t>2]</w:t>
            </w:r>
          </w:p>
        </w:tc>
        <w:tc>
          <w:tcPr>
            <w:tcW w:w="1985" w:type="dxa"/>
            <w:tcBorders>
              <w:top w:val="nil"/>
              <w:bottom w:val="nil"/>
            </w:tcBorders>
          </w:tcPr>
          <w:p w14:paraId="3E55040C"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(16%) [11</w:t>
            </w:r>
            <w:r w:rsidRPr="00FE6AC6">
              <w:rPr>
                <w:color w:val="000000"/>
                <w:lang w:val="bg-BG"/>
              </w:rPr>
              <w:t>,</w:t>
            </w:r>
            <w:r w:rsidRPr="00FE6AC6">
              <w:rPr>
                <w:color w:val="000000"/>
              </w:rPr>
              <w:t>3–21</w:t>
            </w:r>
            <w:r w:rsidRPr="00FE6AC6">
              <w:rPr>
                <w:color w:val="000000"/>
                <w:lang w:val="bg-BG"/>
              </w:rPr>
              <w:t>,</w:t>
            </w:r>
            <w:r w:rsidRPr="00FE6AC6">
              <w:rPr>
                <w:color w:val="000000"/>
              </w:rPr>
              <w:t>0]</w:t>
            </w:r>
          </w:p>
        </w:tc>
        <w:tc>
          <w:tcPr>
            <w:tcW w:w="1929" w:type="dxa"/>
            <w:tcBorders>
              <w:top w:val="nil"/>
              <w:bottom w:val="nil"/>
            </w:tcBorders>
          </w:tcPr>
          <w:p w14:paraId="3E55040D"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(2%) [0</w:t>
            </w:r>
            <w:r w:rsidRPr="00FE6AC6">
              <w:rPr>
                <w:color w:val="000000"/>
                <w:lang w:val="bg-BG"/>
              </w:rPr>
              <w:t>,</w:t>
            </w:r>
            <w:r w:rsidRPr="00FE6AC6">
              <w:rPr>
                <w:color w:val="000000"/>
              </w:rPr>
              <w:t>6–4</w:t>
            </w:r>
            <w:r w:rsidRPr="00FE6AC6">
              <w:rPr>
                <w:color w:val="000000"/>
                <w:lang w:val="bg-BG"/>
              </w:rPr>
              <w:t>,</w:t>
            </w:r>
            <w:r w:rsidRPr="00FE6AC6">
              <w:rPr>
                <w:color w:val="000000"/>
              </w:rPr>
              <w:t>4]</w:t>
            </w:r>
          </w:p>
        </w:tc>
      </w:tr>
      <w:tr w:rsidR="001B628D" w:rsidRPr="00FE6AC6" w14:paraId="3E550413" w14:textId="77777777" w:rsidTr="008143B1">
        <w:trPr>
          <w:cantSplit/>
        </w:trPr>
        <w:tc>
          <w:tcPr>
            <w:tcW w:w="3227" w:type="dxa"/>
            <w:tcBorders>
              <w:top w:val="nil"/>
              <w:bottom w:val="nil"/>
            </w:tcBorders>
          </w:tcPr>
          <w:p w14:paraId="3E55040F" w14:textId="77777777" w:rsidR="001B628D" w:rsidRPr="00FE6AC6" w:rsidRDefault="001B628D" w:rsidP="008143B1">
            <w:pPr>
              <w:pStyle w:val="EndnoteText"/>
              <w:keepNext/>
              <w:widowControl w:val="0"/>
              <w:tabs>
                <w:tab w:val="clear" w:pos="567"/>
              </w:tabs>
              <w:ind w:left="284"/>
              <w:rPr>
                <w:color w:val="000000"/>
              </w:rPr>
            </w:pPr>
            <w:r w:rsidRPr="00FE6AC6">
              <w:rPr>
                <w:color w:val="000000"/>
                <w:lang w:val="bg-BG"/>
              </w:rPr>
              <w:t>Частичен</w:t>
            </w:r>
          </w:p>
        </w:tc>
        <w:tc>
          <w:tcPr>
            <w:tcW w:w="1898" w:type="dxa"/>
            <w:tcBorders>
              <w:top w:val="nil"/>
              <w:bottom w:val="nil"/>
            </w:tcBorders>
          </w:tcPr>
          <w:p w14:paraId="3E550410"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12%</w:t>
            </w:r>
          </w:p>
        </w:tc>
        <w:tc>
          <w:tcPr>
            <w:tcW w:w="1985" w:type="dxa"/>
            <w:tcBorders>
              <w:top w:val="nil"/>
              <w:bottom w:val="nil"/>
            </w:tcBorders>
          </w:tcPr>
          <w:p w14:paraId="3E550411"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7%</w:t>
            </w:r>
          </w:p>
        </w:tc>
        <w:tc>
          <w:tcPr>
            <w:tcW w:w="1929" w:type="dxa"/>
            <w:tcBorders>
              <w:top w:val="nil"/>
              <w:bottom w:val="nil"/>
            </w:tcBorders>
          </w:tcPr>
          <w:p w14:paraId="3E550412" w14:textId="77777777" w:rsidR="001B628D" w:rsidRPr="00FE6AC6" w:rsidRDefault="001B628D" w:rsidP="008143B1">
            <w:pPr>
              <w:pStyle w:val="EndnoteText"/>
              <w:keepNext/>
              <w:widowControl w:val="0"/>
              <w:tabs>
                <w:tab w:val="clear" w:pos="567"/>
              </w:tabs>
              <w:jc w:val="center"/>
              <w:rPr>
                <w:color w:val="000000"/>
              </w:rPr>
            </w:pPr>
            <w:r w:rsidRPr="00FE6AC6">
              <w:rPr>
                <w:color w:val="000000"/>
              </w:rPr>
              <w:t>8%</w:t>
            </w:r>
          </w:p>
        </w:tc>
      </w:tr>
      <w:tr w:rsidR="001B628D" w:rsidRPr="004015AA" w14:paraId="3E55041C" w14:textId="77777777" w:rsidTr="008143B1">
        <w:trPr>
          <w:cantSplit/>
        </w:trPr>
        <w:tc>
          <w:tcPr>
            <w:tcW w:w="9039" w:type="dxa"/>
            <w:gridSpan w:val="4"/>
            <w:tcBorders>
              <w:top w:val="single" w:sz="4" w:space="0" w:color="auto"/>
              <w:bottom w:val="single" w:sz="4" w:space="0" w:color="auto"/>
            </w:tcBorders>
          </w:tcPr>
          <w:p w14:paraId="3E550414" w14:textId="77777777" w:rsidR="001B628D" w:rsidRPr="00FE6AC6" w:rsidRDefault="001B628D" w:rsidP="008143B1">
            <w:pPr>
              <w:widowControl w:val="0"/>
              <w:spacing w:line="240" w:lineRule="auto"/>
              <w:rPr>
                <w:color w:val="000000"/>
                <w:lang w:val="bg-BG"/>
              </w:rPr>
            </w:pPr>
            <w:r w:rsidRPr="00FE6AC6">
              <w:rPr>
                <w:b/>
                <w:color w:val="000000"/>
                <w:lang w:val="bg-BG"/>
              </w:rPr>
              <w:t>¹Критерии за хематологичен отговор ( всички отговори трябва се потвърдят след ≥4 седмици):</w:t>
            </w:r>
          </w:p>
          <w:p w14:paraId="3E550415" w14:textId="77777777" w:rsidR="001B628D" w:rsidRPr="00FE6AC6" w:rsidRDefault="001B628D" w:rsidP="008143B1">
            <w:pPr>
              <w:widowControl w:val="0"/>
              <w:spacing w:line="240" w:lineRule="auto"/>
              <w:ind w:left="567" w:hanging="567"/>
              <w:rPr>
                <w:color w:val="000000"/>
                <w:lang w:val="bg-BG"/>
              </w:rPr>
            </w:pPr>
            <w:r w:rsidRPr="00FE6AC6">
              <w:rPr>
                <w:color w:val="000000"/>
                <w:lang w:val="bg-BG"/>
              </w:rPr>
              <w:t>ПХО (CHR): Проучване 0110 [брой на левкоцити &lt;10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тромбоцити &lt;450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миелоцити + метамиелоцити &lt;5% в кръвта, без бласти и промиелоцити в кръвта, базофили &lt;20%, без екстрамедуларно засягане] и в проучванията</w:t>
            </w:r>
            <w:r w:rsidRPr="00FE6AC6">
              <w:rPr>
                <w:color w:val="000000"/>
                <w:lang w:val="en-US"/>
              </w:rPr>
              <w:t> </w:t>
            </w:r>
            <w:r w:rsidRPr="00FE6AC6">
              <w:rPr>
                <w:color w:val="000000"/>
                <w:lang w:val="bg-BG"/>
              </w:rPr>
              <w:t>0102 и</w:t>
            </w:r>
            <w:r w:rsidRPr="00FE6AC6">
              <w:rPr>
                <w:color w:val="000000"/>
                <w:lang w:val="en-US"/>
              </w:rPr>
              <w:t> </w:t>
            </w:r>
            <w:r w:rsidRPr="00FE6AC6">
              <w:rPr>
                <w:color w:val="000000"/>
                <w:lang w:val="bg-BG"/>
              </w:rPr>
              <w:t>0109 [ANC ≥1,5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тромбоцити ≥100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без бласти в кръвта, бласти в КМ &lt;5% и без екстрамедуларно засягане]</w:t>
            </w:r>
          </w:p>
          <w:p w14:paraId="3E550416" w14:textId="77777777" w:rsidR="001B628D" w:rsidRPr="00FE6AC6" w:rsidRDefault="001B628D" w:rsidP="008143B1">
            <w:pPr>
              <w:widowControl w:val="0"/>
              <w:tabs>
                <w:tab w:val="clear" w:pos="567"/>
                <w:tab w:val="left" w:pos="540"/>
                <w:tab w:val="right" w:pos="9815"/>
              </w:tabs>
              <w:spacing w:line="240" w:lineRule="auto"/>
              <w:ind w:left="567" w:hanging="567"/>
              <w:rPr>
                <w:color w:val="000000"/>
                <w:lang w:val="bg-BG"/>
              </w:rPr>
            </w:pPr>
            <w:r w:rsidRPr="00FE6AC6">
              <w:rPr>
                <w:color w:val="000000"/>
                <w:lang w:val="bg-BG"/>
              </w:rPr>
              <w:t>БДЛ (NEL): Същите критерии както за CHR, но ANC ≥1,0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тромбоцити ≥20 x</w:t>
            </w:r>
            <w:r w:rsidRPr="00FE6AC6">
              <w:rPr>
                <w:color w:val="000000"/>
                <w:lang w:val="de-CH"/>
              </w:rPr>
              <w:t> </w:t>
            </w:r>
            <w:r w:rsidRPr="00FE6AC6">
              <w:rPr>
                <w:color w:val="000000"/>
                <w:lang w:val="bg-BG"/>
              </w:rPr>
              <w:t>10</w:t>
            </w:r>
            <w:r w:rsidRPr="00FE6AC6">
              <w:rPr>
                <w:color w:val="000000"/>
                <w:vertAlign w:val="superscript"/>
                <w:lang w:val="bg-BG"/>
              </w:rPr>
              <w:t>9</w:t>
            </w:r>
            <w:r w:rsidRPr="00FE6AC6">
              <w:rPr>
                <w:color w:val="000000"/>
                <w:lang w:val="bg-BG"/>
              </w:rPr>
              <w:t>/l (само за</w:t>
            </w:r>
            <w:r w:rsidRPr="00FE6AC6">
              <w:rPr>
                <w:color w:val="000000"/>
                <w:lang w:val="en-US"/>
              </w:rPr>
              <w:t> </w:t>
            </w:r>
            <w:r w:rsidRPr="00FE6AC6">
              <w:rPr>
                <w:color w:val="000000"/>
                <w:lang w:val="bg-BG"/>
              </w:rPr>
              <w:t>0102 и</w:t>
            </w:r>
            <w:r w:rsidRPr="00FE6AC6">
              <w:rPr>
                <w:color w:val="000000"/>
                <w:lang w:val="en-US"/>
              </w:rPr>
              <w:t> </w:t>
            </w:r>
            <w:r w:rsidRPr="00FE6AC6">
              <w:rPr>
                <w:color w:val="000000"/>
                <w:lang w:val="bg-BG"/>
              </w:rPr>
              <w:t>0109)</w:t>
            </w:r>
          </w:p>
          <w:p w14:paraId="3E550417" w14:textId="77777777" w:rsidR="001B628D" w:rsidRPr="00FE6AC6" w:rsidRDefault="001B628D" w:rsidP="008143B1">
            <w:pPr>
              <w:widowControl w:val="0"/>
              <w:tabs>
                <w:tab w:val="right" w:pos="9815"/>
              </w:tabs>
              <w:spacing w:line="240" w:lineRule="auto"/>
              <w:ind w:left="567" w:hanging="567"/>
              <w:rPr>
                <w:color w:val="000000"/>
                <w:lang w:val="bg-BG"/>
              </w:rPr>
            </w:pPr>
            <w:r w:rsidRPr="00FE6AC6">
              <w:rPr>
                <w:color w:val="000000"/>
                <w:lang w:val="bg-BG"/>
              </w:rPr>
              <w:t>ВХФ (RTC): &lt;15% бласти в КМ и ПК, &lt;30% бласти + промиелоцити в КМ и ПК, &lt;20% базофили в ПК, без друго екстрамедуларно засягане, освен слезка и черен дроб (само за</w:t>
            </w:r>
            <w:r w:rsidRPr="00FE6AC6">
              <w:rPr>
                <w:color w:val="000000"/>
                <w:lang w:val="en-US"/>
              </w:rPr>
              <w:t> </w:t>
            </w:r>
            <w:r w:rsidRPr="00FE6AC6">
              <w:rPr>
                <w:color w:val="000000"/>
                <w:lang w:val="bg-BG"/>
              </w:rPr>
              <w:t>0102 и 0109).</w:t>
            </w:r>
          </w:p>
          <w:p w14:paraId="3E550418" w14:textId="77777777" w:rsidR="001B628D" w:rsidRPr="00FE6AC6" w:rsidRDefault="001B628D" w:rsidP="008143B1">
            <w:pPr>
              <w:widowControl w:val="0"/>
              <w:tabs>
                <w:tab w:val="right" w:pos="9815"/>
              </w:tabs>
              <w:spacing w:line="240" w:lineRule="auto"/>
              <w:rPr>
                <w:color w:val="000000"/>
                <w:lang w:val="bg-BG"/>
              </w:rPr>
            </w:pPr>
            <w:r w:rsidRPr="00FE6AC6">
              <w:rPr>
                <w:color w:val="000000"/>
                <w:lang w:val="bg-BG"/>
              </w:rPr>
              <w:t>КМ = костен мозък, ПК = периферна кръв</w:t>
            </w:r>
          </w:p>
          <w:p w14:paraId="3E550419" w14:textId="77777777" w:rsidR="001B628D" w:rsidRPr="00FE6AC6" w:rsidRDefault="001B628D" w:rsidP="008143B1">
            <w:pPr>
              <w:widowControl w:val="0"/>
              <w:tabs>
                <w:tab w:val="right" w:pos="9815"/>
              </w:tabs>
              <w:spacing w:line="240" w:lineRule="auto"/>
              <w:rPr>
                <w:b/>
                <w:color w:val="000000"/>
                <w:lang w:val="bg-BG"/>
              </w:rPr>
            </w:pPr>
            <w:r w:rsidRPr="00FE6AC6">
              <w:rPr>
                <w:b/>
                <w:color w:val="000000"/>
                <w:lang w:val="bg-BG"/>
              </w:rPr>
              <w:t>²Критерии за цитогенетичен отговор:</w:t>
            </w:r>
          </w:p>
          <w:p w14:paraId="3E55041A" w14:textId="77777777" w:rsidR="001B628D" w:rsidRPr="00FE6AC6" w:rsidRDefault="001B628D" w:rsidP="008143B1">
            <w:pPr>
              <w:widowControl w:val="0"/>
              <w:tabs>
                <w:tab w:val="right" w:pos="9815"/>
              </w:tabs>
              <w:spacing w:line="240" w:lineRule="auto"/>
              <w:rPr>
                <w:color w:val="000000"/>
                <w:lang w:val="bg-BG"/>
              </w:rPr>
            </w:pPr>
            <w:r w:rsidRPr="00FE6AC6">
              <w:rPr>
                <w:color w:val="000000"/>
                <w:lang w:val="bg-BG"/>
              </w:rPr>
              <w:t>Големият отговор включва едновременно пълния (0% Ph+ метафазни пластинки) и частичния (1</w:t>
            </w:r>
            <w:r w:rsidRPr="00FE6AC6">
              <w:rPr>
                <w:color w:val="000000"/>
                <w:lang w:val="bg-BG"/>
              </w:rPr>
              <w:noBreakHyphen/>
              <w:t>35%) отговор</w:t>
            </w:r>
          </w:p>
          <w:p w14:paraId="3E55041B" w14:textId="77777777" w:rsidR="001B628D" w:rsidRPr="00FE6AC6" w:rsidRDefault="001B628D" w:rsidP="008143B1">
            <w:pPr>
              <w:pStyle w:val="EndnoteText"/>
              <w:widowControl w:val="0"/>
              <w:tabs>
                <w:tab w:val="clear" w:pos="567"/>
              </w:tabs>
              <w:rPr>
                <w:color w:val="000000"/>
                <w:lang w:val="bg-BG"/>
              </w:rPr>
            </w:pPr>
            <w:r w:rsidRPr="00FE6AC6">
              <w:rPr>
                <w:color w:val="000000"/>
                <w:lang w:val="bg-BG"/>
              </w:rPr>
              <w:t>³Пълен цитогенетичен отговор, потвърден от второ цитогенетично изследване на костен мозък, извършено най-малко един месец след първоначалното изследване на костния мозък.</w:t>
            </w:r>
          </w:p>
        </w:tc>
      </w:tr>
    </w:tbl>
    <w:p w14:paraId="3E55041D" w14:textId="77777777" w:rsidR="001B628D" w:rsidRPr="00FE6AC6" w:rsidRDefault="001B628D" w:rsidP="0063575E">
      <w:pPr>
        <w:widowControl w:val="0"/>
        <w:spacing w:line="240" w:lineRule="auto"/>
        <w:rPr>
          <w:color w:val="000000"/>
          <w:lang w:val="bg-BG"/>
        </w:rPr>
      </w:pPr>
    </w:p>
    <w:p w14:paraId="3E55041E" w14:textId="77777777" w:rsidR="001B628D" w:rsidRPr="00FE6AC6" w:rsidRDefault="001B628D" w:rsidP="0063575E">
      <w:pPr>
        <w:widowControl w:val="0"/>
        <w:spacing w:line="240" w:lineRule="auto"/>
        <w:rPr>
          <w:color w:val="000000"/>
          <w:lang w:val="bg-BG"/>
        </w:rPr>
      </w:pPr>
      <w:r w:rsidRPr="00FE6AC6">
        <w:rPr>
          <w:i/>
          <w:color w:val="000000"/>
          <w:lang w:val="bg-BG"/>
        </w:rPr>
        <w:t>Педиатрични пациенти:</w:t>
      </w:r>
      <w:r w:rsidRPr="00FE6AC6">
        <w:rPr>
          <w:color w:val="000000"/>
          <w:lang w:val="bg-BG"/>
        </w:rPr>
        <w:t xml:space="preserve"> Общо 26 пациенти на възраст &lt;18 години в хронична фаза на ХМЛ (n=11) или ХМЛ в бластна криза или с остри Ph+ левкемии (n=15) са били включени във фаза I проучване с ескалация на дозата. Това са били пациенти, претърпели интензивна предхождаща терапия, като 46% от тях са били подложени преди това на костно-мозъчна трансплантация (КМТ), а 73% са били на полихимиотерапия. Пациентите са лекувани с дози на Glivec от 260 mg/m²/ден (n=5), 340 mg/m²/ден (n=9), 440 mg/m²/ден (n=7) и 570 mg/m²/ден (n=5). От 9 пациента с хронична фаза на ХМЛ с налична цитогенетика, 4 (44%) и 3 (33%) постигат съответно пълен и частичен цитогенетичен отговор, с честота на ГЦО (MСyR)</w:t>
      </w:r>
      <w:r w:rsidRPr="00FE6AC6" w:rsidDel="00597A88">
        <w:rPr>
          <w:color w:val="000000"/>
          <w:lang w:val="bg-BG"/>
        </w:rPr>
        <w:t xml:space="preserve"> </w:t>
      </w:r>
      <w:r w:rsidRPr="00FE6AC6">
        <w:rPr>
          <w:color w:val="000000"/>
          <w:lang w:val="bg-BG"/>
        </w:rPr>
        <w:t>от 77%.</w:t>
      </w:r>
    </w:p>
    <w:p w14:paraId="3E55041F" w14:textId="77777777" w:rsidR="001B628D" w:rsidRPr="00FE6AC6" w:rsidRDefault="001B628D" w:rsidP="0063575E">
      <w:pPr>
        <w:widowControl w:val="0"/>
        <w:spacing w:line="240" w:lineRule="auto"/>
        <w:rPr>
          <w:color w:val="000000"/>
          <w:lang w:val="bg-BG"/>
        </w:rPr>
      </w:pPr>
    </w:p>
    <w:p w14:paraId="3E550420" w14:textId="77777777" w:rsidR="001B628D" w:rsidRPr="00FE6AC6" w:rsidRDefault="001B628D" w:rsidP="0063575E">
      <w:pPr>
        <w:widowControl w:val="0"/>
        <w:spacing w:line="240" w:lineRule="auto"/>
        <w:rPr>
          <w:color w:val="000000"/>
          <w:lang w:val="bg-BG"/>
        </w:rPr>
      </w:pPr>
      <w:r w:rsidRPr="00FE6AC6">
        <w:rPr>
          <w:color w:val="000000"/>
          <w:lang w:val="bg-BG"/>
        </w:rPr>
        <w:t>Общо 51 пациента в детска възраст с новодиагностицирана и нелекувана ХМЛ в хронична фаза, са включени в отворено, мултицентрово, с едно терапевтично рамо проучване във фаза </w:t>
      </w:r>
      <w:r w:rsidRPr="00FE6AC6">
        <w:rPr>
          <w:color w:val="000000"/>
          <w:lang w:val="de-CH"/>
        </w:rPr>
        <w:t>II</w:t>
      </w:r>
      <w:r w:rsidRPr="00FE6AC6">
        <w:rPr>
          <w:color w:val="000000"/>
          <w:lang w:val="bg-BG"/>
        </w:rPr>
        <w:t xml:space="preserve">. Пациентите са лекувани с </w:t>
      </w:r>
      <w:r w:rsidRPr="00FE6AC6">
        <w:rPr>
          <w:color w:val="000000"/>
          <w:lang w:val="en-US"/>
        </w:rPr>
        <w:t>Glivec</w:t>
      </w:r>
      <w:r w:rsidRPr="00FE6AC6">
        <w:rPr>
          <w:color w:val="000000"/>
          <w:lang w:val="bg-BG"/>
        </w:rPr>
        <w:t> 340 </w:t>
      </w:r>
      <w:r w:rsidRPr="00FE6AC6">
        <w:rPr>
          <w:color w:val="000000"/>
        </w:rPr>
        <w:t>mg</w:t>
      </w:r>
      <w:r w:rsidRPr="00FE6AC6">
        <w:rPr>
          <w:color w:val="000000"/>
          <w:lang w:val="ru-RU"/>
        </w:rPr>
        <w:t>/</w:t>
      </w:r>
      <w:r w:rsidRPr="00FE6AC6">
        <w:rPr>
          <w:color w:val="000000"/>
        </w:rPr>
        <w:t>m</w:t>
      </w:r>
      <w:r w:rsidRPr="00FE6AC6">
        <w:rPr>
          <w:color w:val="000000"/>
          <w:vertAlign w:val="superscript"/>
          <w:lang w:val="ru-RU"/>
        </w:rPr>
        <w:t>2</w:t>
      </w:r>
      <w:r w:rsidRPr="00FE6AC6">
        <w:rPr>
          <w:color w:val="000000"/>
          <w:lang w:val="ru-RU"/>
        </w:rPr>
        <w:t>/</w:t>
      </w:r>
      <w:r w:rsidRPr="00FE6AC6">
        <w:rPr>
          <w:color w:val="000000"/>
          <w:lang w:val="bg-BG"/>
        </w:rPr>
        <w:t xml:space="preserve">ден без прекъсване, при липса на дозо-лимитираща токсичност. Лечението с </w:t>
      </w:r>
      <w:r w:rsidRPr="00FE6AC6">
        <w:rPr>
          <w:color w:val="000000"/>
          <w:lang w:val="en-US"/>
        </w:rPr>
        <w:t>Glivec</w:t>
      </w:r>
      <w:r w:rsidRPr="00FE6AC6">
        <w:rPr>
          <w:color w:val="000000"/>
          <w:lang w:val="bg-BG"/>
        </w:rPr>
        <w:t xml:space="preserve"> води до бърз отговор при новодиагностицирани педиатрични пациенти с ХМЛ, с ПХО (CHR) от 78% след 8 седмици лечение. Високата честота на ПХО (CHR) е съпроводена с достигане на пълен цитогенетичен отговор ПЦО (</w:t>
      </w:r>
      <w:r w:rsidRPr="00FE6AC6">
        <w:rPr>
          <w:color w:val="000000"/>
          <w:lang w:val="en-US"/>
        </w:rPr>
        <w:t>CCgR</w:t>
      </w:r>
      <w:r w:rsidRPr="00FE6AC6">
        <w:rPr>
          <w:color w:val="000000"/>
          <w:lang w:val="bg-BG"/>
        </w:rPr>
        <w:t xml:space="preserve">) от 65%, който е сравним с резултатите, наблюдавани при възрастни. В допълнение, частичен цитогенетичен отговор ЧЦО (PСyR) е наблюдаван при 16% при честота на големия цитогенетичен отговор ГЦО (MСyR) от 81%. По-голяма част от пациентите, които постигат ПЦО (CCgR), го достигат между 3 и 10 месец, с медиана на време до отговора от 5,6 месеца, основано на изчисление по </w:t>
      </w:r>
      <w:r w:rsidRPr="00FE6AC6">
        <w:rPr>
          <w:color w:val="000000"/>
        </w:rPr>
        <w:t>Kaplan</w:t>
      </w:r>
      <w:r w:rsidRPr="00FE6AC6">
        <w:rPr>
          <w:color w:val="000000"/>
          <w:lang w:val="ru-RU"/>
        </w:rPr>
        <w:t>-</w:t>
      </w:r>
      <w:r w:rsidRPr="00FE6AC6">
        <w:rPr>
          <w:color w:val="000000"/>
        </w:rPr>
        <w:t>Meier</w:t>
      </w:r>
      <w:r w:rsidRPr="00FE6AC6">
        <w:rPr>
          <w:color w:val="000000"/>
          <w:lang w:val="bg-BG"/>
        </w:rPr>
        <w:t>.</w:t>
      </w:r>
    </w:p>
    <w:p w14:paraId="3E550421" w14:textId="77777777" w:rsidR="001B628D" w:rsidRPr="00FE6AC6" w:rsidRDefault="001B628D" w:rsidP="0063575E">
      <w:pPr>
        <w:widowControl w:val="0"/>
        <w:spacing w:line="240" w:lineRule="auto"/>
        <w:rPr>
          <w:rFonts w:eastAsia="SimSun"/>
          <w:szCs w:val="22"/>
          <w:lang w:val="bg-BG" w:eastAsia="zh-CN"/>
        </w:rPr>
      </w:pPr>
    </w:p>
    <w:p w14:paraId="3E550422" w14:textId="77777777" w:rsidR="001B628D" w:rsidRPr="00FE6AC6" w:rsidRDefault="001B628D" w:rsidP="0063575E">
      <w:pPr>
        <w:widowControl w:val="0"/>
        <w:spacing w:line="240" w:lineRule="auto"/>
        <w:rPr>
          <w:rFonts w:eastAsia="SimSun"/>
          <w:szCs w:val="22"/>
          <w:lang w:val="ru-RU" w:eastAsia="zh-CN"/>
        </w:rPr>
      </w:pPr>
      <w:r w:rsidRPr="00FE6AC6">
        <w:rPr>
          <w:rFonts w:eastAsia="SimSun"/>
          <w:szCs w:val="22"/>
          <w:lang w:val="bg-BG" w:eastAsia="zh-CN"/>
        </w:rPr>
        <w:t xml:space="preserve">Европейската агенция по лекарствата освобождава от задължението за предоставяне на резултатите от проучванията с </w:t>
      </w:r>
      <w:r w:rsidRPr="00FE6AC6">
        <w:rPr>
          <w:rFonts w:eastAsia="SimSun"/>
          <w:szCs w:val="22"/>
          <w:lang w:val="en-US" w:eastAsia="zh-CN"/>
        </w:rPr>
        <w:t>Glivec</w:t>
      </w:r>
      <w:r w:rsidRPr="00FE6AC6">
        <w:rPr>
          <w:rFonts w:eastAsia="SimSun"/>
          <w:szCs w:val="22"/>
          <w:lang w:val="ru-RU" w:eastAsia="zh-CN"/>
        </w:rPr>
        <w:t xml:space="preserve"> </w:t>
      </w:r>
      <w:r w:rsidRPr="00FE6AC6">
        <w:rPr>
          <w:rFonts w:eastAsia="SimSun"/>
          <w:szCs w:val="22"/>
          <w:lang w:val="bg-BG" w:eastAsia="zh-CN"/>
        </w:rPr>
        <w:t xml:space="preserve">във всички подгрупи на педиатричната популация при </w:t>
      </w:r>
      <w:r w:rsidRPr="00FE6AC6">
        <w:rPr>
          <w:color w:val="000000"/>
          <w:lang w:val="bg-BG"/>
        </w:rPr>
        <w:t>положителна за Филаделфийска хромозома (</w:t>
      </w:r>
      <w:r w:rsidRPr="00FE6AC6">
        <w:rPr>
          <w:color w:val="000000"/>
          <w:lang w:val="en-US"/>
        </w:rPr>
        <w:t>b</w:t>
      </w:r>
      <w:r w:rsidRPr="00FE6AC6">
        <w:rPr>
          <w:color w:val="000000"/>
          <w:lang w:val="bg-BG"/>
        </w:rPr>
        <w:t xml:space="preserve">cr-аbl транслокация) хронична миелоидна левкемия </w:t>
      </w:r>
      <w:r w:rsidRPr="00FE6AC6">
        <w:rPr>
          <w:rFonts w:eastAsia="SimSun"/>
          <w:szCs w:val="22"/>
          <w:lang w:val="ru-RU" w:eastAsia="zh-CN"/>
        </w:rPr>
        <w:t>(</w:t>
      </w:r>
      <w:r w:rsidRPr="00FE6AC6">
        <w:rPr>
          <w:rFonts w:eastAsia="SimSun"/>
          <w:szCs w:val="22"/>
          <w:lang w:val="bg-BG" w:eastAsia="zh-CN"/>
        </w:rPr>
        <w:t xml:space="preserve">вж. точка </w:t>
      </w:r>
      <w:r w:rsidRPr="00FE6AC6">
        <w:rPr>
          <w:rFonts w:eastAsia="SimSun"/>
          <w:szCs w:val="22"/>
          <w:lang w:val="ru-RU" w:eastAsia="zh-CN"/>
        </w:rPr>
        <w:t xml:space="preserve">4.2 </w:t>
      </w:r>
      <w:r w:rsidRPr="00FE6AC6">
        <w:rPr>
          <w:rFonts w:eastAsia="SimSun"/>
          <w:szCs w:val="22"/>
          <w:lang w:val="bg-BG" w:eastAsia="zh-CN"/>
        </w:rPr>
        <w:t>за информация относно употреба в педиатрията</w:t>
      </w:r>
      <w:r w:rsidRPr="00FE6AC6">
        <w:rPr>
          <w:rFonts w:eastAsia="SimSun"/>
          <w:szCs w:val="22"/>
          <w:lang w:val="ru-RU" w:eastAsia="zh-CN"/>
        </w:rPr>
        <w:t>).</w:t>
      </w:r>
    </w:p>
    <w:p w14:paraId="3E550423" w14:textId="77777777" w:rsidR="001B628D" w:rsidRPr="00FE6AC6" w:rsidRDefault="001B628D" w:rsidP="0063575E">
      <w:pPr>
        <w:widowControl w:val="0"/>
        <w:spacing w:line="240" w:lineRule="auto"/>
        <w:rPr>
          <w:color w:val="000000"/>
          <w:lang w:val="ru-RU"/>
        </w:rPr>
      </w:pPr>
    </w:p>
    <w:p w14:paraId="3E550424"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 xml:space="preserve">Клинични проучвания при </w:t>
      </w:r>
      <w:r w:rsidRPr="00FE6AC6">
        <w:rPr>
          <w:color w:val="000000"/>
          <w:u w:val="single"/>
          <w:lang w:val="en-US"/>
        </w:rPr>
        <w:t>Ph</w:t>
      </w:r>
      <w:r w:rsidRPr="00FE6AC6">
        <w:rPr>
          <w:color w:val="000000"/>
          <w:u w:val="single"/>
          <w:lang w:val="ru-RU"/>
        </w:rPr>
        <w:t>+</w:t>
      </w:r>
      <w:r w:rsidRPr="00FE6AC6">
        <w:rPr>
          <w:color w:val="000000"/>
          <w:u w:val="single"/>
          <w:lang w:val="bg-BG"/>
        </w:rPr>
        <w:t>ОЛЛ</w:t>
      </w:r>
    </w:p>
    <w:p w14:paraId="3E550425" w14:textId="77777777" w:rsidR="001B628D" w:rsidRPr="00FE6AC6" w:rsidRDefault="001B628D" w:rsidP="0063575E">
      <w:pPr>
        <w:widowControl w:val="0"/>
        <w:spacing w:line="240" w:lineRule="auto"/>
        <w:rPr>
          <w:color w:val="000000"/>
          <w:lang w:val="bg-BG"/>
        </w:rPr>
      </w:pPr>
      <w:r w:rsidRPr="00FE6AC6">
        <w:rPr>
          <w:i/>
          <w:color w:val="000000"/>
          <w:lang w:val="bg-BG"/>
        </w:rPr>
        <w:t xml:space="preserve">Новодиагностицирани случаи на </w:t>
      </w:r>
      <w:r w:rsidRPr="00FE6AC6">
        <w:rPr>
          <w:i/>
          <w:color w:val="000000"/>
          <w:lang w:val="en-US"/>
        </w:rPr>
        <w:t>Ph</w:t>
      </w:r>
      <w:r w:rsidRPr="00FE6AC6">
        <w:rPr>
          <w:i/>
          <w:color w:val="000000"/>
          <w:lang w:val="ru-RU"/>
        </w:rPr>
        <w:t>+</w:t>
      </w:r>
      <w:r w:rsidRPr="00FE6AC6">
        <w:rPr>
          <w:i/>
          <w:color w:val="000000"/>
          <w:lang w:val="bg-BG"/>
        </w:rPr>
        <w:t>ОЛЛ:</w:t>
      </w:r>
      <w:r w:rsidRPr="00FE6AC6">
        <w:rPr>
          <w:color w:val="000000"/>
          <w:lang w:val="bg-BG"/>
        </w:rPr>
        <w:t xml:space="preserve"> При контролирано проучване (</w:t>
      </w:r>
      <w:r w:rsidRPr="00FE6AC6">
        <w:rPr>
          <w:color w:val="000000"/>
          <w:lang w:val="en-US"/>
        </w:rPr>
        <w:t>ADE</w:t>
      </w:r>
      <w:r w:rsidRPr="00FE6AC6">
        <w:rPr>
          <w:color w:val="000000"/>
          <w:lang w:val="ru-RU"/>
        </w:rPr>
        <w:t xml:space="preserve">10) </w:t>
      </w:r>
      <w:r w:rsidRPr="00FE6AC6">
        <w:rPr>
          <w:color w:val="000000"/>
          <w:lang w:val="bg-BG"/>
        </w:rPr>
        <w:t>на</w:t>
      </w:r>
      <w:r w:rsidRPr="00FE6AC6">
        <w:rPr>
          <w:color w:val="000000"/>
          <w:lang w:val="ru-RU"/>
        </w:rPr>
        <w:t xml:space="preserve"> </w:t>
      </w:r>
      <w:r w:rsidRPr="00FE6AC6">
        <w:rPr>
          <w:color w:val="000000"/>
          <w:lang w:val="bg-BG"/>
        </w:rPr>
        <w:t>иматиниб спрямо химиотерапевтична индукция при 55 новодиагностицрани пациенти на възраст на и над 55 години, иматиниб, използван като самостоятелно средство, предизвиква значимо по-висока честота на пълен хематологичен отговор, в сравнение с химиотерапията (</w:t>
      </w:r>
      <w:r w:rsidRPr="00FE6AC6">
        <w:rPr>
          <w:color w:val="000000"/>
          <w:lang w:val="ru-RU"/>
        </w:rPr>
        <w:t xml:space="preserve">96,3% </w:t>
      </w:r>
      <w:r w:rsidRPr="00FE6AC6">
        <w:rPr>
          <w:color w:val="000000"/>
          <w:lang w:val="bg-BG"/>
        </w:rPr>
        <w:t>спр.</w:t>
      </w:r>
      <w:r w:rsidRPr="00FE6AC6">
        <w:rPr>
          <w:color w:val="000000"/>
          <w:lang w:val="ru-RU"/>
        </w:rPr>
        <w:t xml:space="preserve"> 50%; </w:t>
      </w:r>
      <w:r w:rsidRPr="00FE6AC6">
        <w:rPr>
          <w:color w:val="000000"/>
        </w:rPr>
        <w:t>p</w:t>
      </w:r>
      <w:r w:rsidRPr="00FE6AC6">
        <w:rPr>
          <w:color w:val="000000"/>
          <w:lang w:val="ru-RU"/>
        </w:rPr>
        <w:t xml:space="preserve">=0,0001). Прилагането на спасителна терапия с иматимиб при пациенти, които не са отговорили или които отговарят лошо на химиотерапията, води до постигане на пълен хематологичен отговор при 9 от 11 пациента (81,8%). Този клиничен отговор е бил свързан и с по-високата редукция на </w:t>
      </w:r>
      <w:r w:rsidRPr="00FE6AC6">
        <w:rPr>
          <w:color w:val="000000"/>
          <w:lang w:val="en-US"/>
        </w:rPr>
        <w:t>bcr</w:t>
      </w:r>
      <w:r w:rsidRPr="00FE6AC6">
        <w:rPr>
          <w:color w:val="000000"/>
          <w:lang w:val="ru-RU"/>
        </w:rPr>
        <w:t>-</w:t>
      </w:r>
      <w:r w:rsidRPr="00FE6AC6">
        <w:rPr>
          <w:color w:val="000000"/>
          <w:lang w:val="en-US"/>
        </w:rPr>
        <w:t>abl</w:t>
      </w:r>
      <w:r w:rsidRPr="00FE6AC6">
        <w:rPr>
          <w:color w:val="000000"/>
          <w:lang w:val="ru-RU"/>
        </w:rPr>
        <w:t xml:space="preserve"> транскриптите при лекуваните с иматиниб пациенти, в сравнение с тези, лекувани с химиотерапия, след 2 седмици лечение (р=0,02). Всички пациенти получават иматиниб и консолидационна химиотерапия (вж</w:t>
      </w:r>
      <w:r w:rsidRPr="00FE6AC6">
        <w:rPr>
          <w:color w:val="000000"/>
          <w:lang w:val="bg-BG"/>
        </w:rPr>
        <w:t>.</w:t>
      </w:r>
      <w:r w:rsidRPr="00FE6AC6">
        <w:rPr>
          <w:color w:val="000000"/>
          <w:lang w:val="ru-RU"/>
        </w:rPr>
        <w:t xml:space="preserve"> Таблица </w:t>
      </w:r>
      <w:r w:rsidR="00AE2ED7" w:rsidRPr="00FE6AC6">
        <w:rPr>
          <w:color w:val="000000"/>
          <w:lang w:val="ru-RU"/>
        </w:rPr>
        <w:t>4</w:t>
      </w:r>
      <w:r w:rsidRPr="00FE6AC6">
        <w:rPr>
          <w:color w:val="000000"/>
          <w:lang w:val="ru-RU"/>
        </w:rPr>
        <w:t xml:space="preserve">) след индукцията, като нивата на </w:t>
      </w:r>
      <w:r w:rsidRPr="00FE6AC6">
        <w:rPr>
          <w:color w:val="000000"/>
          <w:lang w:val="en-US"/>
        </w:rPr>
        <w:t>bcr</w:t>
      </w:r>
      <w:r w:rsidRPr="00FE6AC6">
        <w:rPr>
          <w:color w:val="000000"/>
          <w:lang w:val="ru-RU"/>
        </w:rPr>
        <w:t>-</w:t>
      </w:r>
      <w:r w:rsidRPr="00FE6AC6">
        <w:rPr>
          <w:color w:val="000000"/>
          <w:lang w:val="en-US"/>
        </w:rPr>
        <w:t>abl</w:t>
      </w:r>
      <w:r w:rsidRPr="00FE6AC6">
        <w:rPr>
          <w:color w:val="000000"/>
          <w:lang w:val="bg-BG"/>
        </w:rPr>
        <w:t xml:space="preserve"> транскриптите са идентични в двете рамена на 8</w:t>
      </w:r>
      <w:r w:rsidRPr="00FE6AC6">
        <w:rPr>
          <w:color w:val="000000"/>
          <w:lang w:val="bg-BG"/>
        </w:rPr>
        <w:noBreakHyphen/>
        <w:t>ма седмица. Както се очаква, въз основа на дизайна на проучването, не се наблюдава разлика в продължителността на ремисията, преживяемостта без заболяване и общата преживяемост, въпреки че пациентите с пълен молекулярен отговор и показващи минималната резидуална болест имат по-добър изход по отношение, както на продължителността на ремисията (р=0,01), така и на преживяемостта без заболяване (р=0,02).</w:t>
      </w:r>
    </w:p>
    <w:p w14:paraId="3E550426" w14:textId="77777777" w:rsidR="001B628D" w:rsidRPr="00FE6AC6" w:rsidRDefault="001B628D" w:rsidP="0063575E">
      <w:pPr>
        <w:widowControl w:val="0"/>
        <w:spacing w:line="240" w:lineRule="auto"/>
        <w:rPr>
          <w:color w:val="000000"/>
          <w:lang w:val="bg-BG"/>
        </w:rPr>
      </w:pPr>
    </w:p>
    <w:p w14:paraId="3E550427" w14:textId="77777777" w:rsidR="001B628D" w:rsidRPr="00FE6AC6" w:rsidRDefault="001B628D" w:rsidP="0063575E">
      <w:pPr>
        <w:widowControl w:val="0"/>
        <w:spacing w:line="240" w:lineRule="auto"/>
        <w:rPr>
          <w:color w:val="000000"/>
          <w:lang w:val="ru-RU"/>
        </w:rPr>
      </w:pPr>
      <w:r w:rsidRPr="00FE6AC6">
        <w:rPr>
          <w:color w:val="000000"/>
          <w:lang w:val="bg-BG"/>
        </w:rPr>
        <w:t xml:space="preserve">Резултатите, наблюдавани в група от 211 новодиагностицирани пациенти с </w:t>
      </w:r>
      <w:r w:rsidRPr="00FE6AC6">
        <w:rPr>
          <w:color w:val="000000"/>
          <w:lang w:val="en-US"/>
        </w:rPr>
        <w:t>Ph</w:t>
      </w:r>
      <w:r w:rsidRPr="00FE6AC6">
        <w:rPr>
          <w:color w:val="000000"/>
          <w:lang w:val="ru-RU"/>
        </w:rPr>
        <w:t>+ОЛЛ</w:t>
      </w:r>
      <w:r w:rsidRPr="00FE6AC6">
        <w:rPr>
          <w:color w:val="000000"/>
          <w:lang w:val="bg-BG"/>
        </w:rPr>
        <w:t xml:space="preserve"> в четири неконтролирани клинични проучвания </w:t>
      </w:r>
      <w:r w:rsidRPr="00FE6AC6">
        <w:rPr>
          <w:color w:val="000000"/>
          <w:lang w:val="ru-RU"/>
        </w:rPr>
        <w:t>(</w:t>
      </w:r>
      <w:r w:rsidRPr="00FE6AC6">
        <w:rPr>
          <w:color w:val="000000"/>
        </w:rPr>
        <w:t>AAU</w:t>
      </w:r>
      <w:r w:rsidRPr="00FE6AC6">
        <w:rPr>
          <w:color w:val="000000"/>
          <w:lang w:val="ru-RU"/>
        </w:rPr>
        <w:t xml:space="preserve">02, </w:t>
      </w:r>
      <w:r w:rsidRPr="00FE6AC6">
        <w:rPr>
          <w:color w:val="000000"/>
        </w:rPr>
        <w:t>ADE</w:t>
      </w:r>
      <w:r w:rsidRPr="00FE6AC6">
        <w:rPr>
          <w:color w:val="000000"/>
          <w:lang w:val="ru-RU"/>
        </w:rPr>
        <w:t xml:space="preserve">04, </w:t>
      </w:r>
      <w:r w:rsidRPr="00FE6AC6">
        <w:rPr>
          <w:color w:val="000000"/>
        </w:rPr>
        <w:t>AJP</w:t>
      </w:r>
      <w:r w:rsidRPr="00FE6AC6">
        <w:rPr>
          <w:color w:val="000000"/>
          <w:lang w:val="ru-RU"/>
        </w:rPr>
        <w:t>01 </w:t>
      </w:r>
      <w:r w:rsidRPr="00FE6AC6">
        <w:rPr>
          <w:color w:val="000000"/>
          <w:lang w:val="bg-BG"/>
        </w:rPr>
        <w:t xml:space="preserve">и </w:t>
      </w:r>
      <w:r w:rsidRPr="00FE6AC6">
        <w:rPr>
          <w:color w:val="000000"/>
        </w:rPr>
        <w:t>AUS</w:t>
      </w:r>
      <w:r w:rsidRPr="00FE6AC6">
        <w:rPr>
          <w:color w:val="000000"/>
          <w:lang w:val="ru-RU"/>
        </w:rPr>
        <w:t>01), отговарят на описаните по-горе резултати. Иматиниб в комбинация с химиотерапевтична индукция (вж. Таблица</w:t>
      </w:r>
      <w:r w:rsidRPr="00FE6AC6">
        <w:rPr>
          <w:color w:val="000000"/>
          <w:lang w:val="de-CH"/>
        </w:rPr>
        <w:t> </w:t>
      </w:r>
      <w:r w:rsidR="00AE2ED7" w:rsidRPr="00FE6AC6">
        <w:rPr>
          <w:color w:val="000000"/>
          <w:lang w:val="bg-BG"/>
        </w:rPr>
        <w:t>4</w:t>
      </w:r>
      <w:r w:rsidRPr="00FE6AC6">
        <w:rPr>
          <w:color w:val="000000"/>
          <w:lang w:val="ru-RU"/>
        </w:rPr>
        <w:t>) води до честота на пълен хематологичен отговор от 93% (147 от 158 оценявани пациенти) и честота на голям цитогенетичен отговор от 90% ( 19 от 21 оценявани пациенти). Честотата на пълен молекулярен отговор е 48% (49 от 102 оценявани пациенти). Преживяемостта без заболяване - (ПБЗ) (</w:t>
      </w:r>
      <w:r w:rsidRPr="00FE6AC6">
        <w:rPr>
          <w:color w:val="000000"/>
          <w:lang w:val="en-US"/>
        </w:rPr>
        <w:t>DFS</w:t>
      </w:r>
      <w:r w:rsidRPr="00FE6AC6">
        <w:rPr>
          <w:color w:val="000000"/>
          <w:lang w:val="ru-RU"/>
        </w:rPr>
        <w:t>) и общата преживяемост - (ОП) (</w:t>
      </w:r>
      <w:r w:rsidRPr="00FE6AC6">
        <w:rPr>
          <w:color w:val="000000"/>
          <w:lang w:val="en-US"/>
        </w:rPr>
        <w:t>OS</w:t>
      </w:r>
      <w:r w:rsidRPr="00FE6AC6">
        <w:rPr>
          <w:color w:val="000000"/>
          <w:lang w:val="ru-RU"/>
        </w:rPr>
        <w:t>) трайно надвишават 1 година и са по-добри, в сравнение с хистологичния контрол (</w:t>
      </w:r>
      <w:r w:rsidRPr="00FE6AC6">
        <w:rPr>
          <w:color w:val="000000"/>
          <w:lang w:val="en-US"/>
        </w:rPr>
        <w:t>DFS</w:t>
      </w:r>
      <w:r w:rsidRPr="00FE6AC6">
        <w:rPr>
          <w:color w:val="000000"/>
          <w:lang w:val="ru-RU"/>
        </w:rPr>
        <w:t xml:space="preserve"> </w:t>
      </w:r>
      <w:r w:rsidRPr="00FE6AC6">
        <w:rPr>
          <w:color w:val="000000"/>
        </w:rPr>
        <w:t>p</w:t>
      </w:r>
      <w:r w:rsidRPr="00FE6AC6">
        <w:rPr>
          <w:color w:val="000000"/>
          <w:lang w:val="ru-RU"/>
        </w:rPr>
        <w:t xml:space="preserve">&lt;0,001; </w:t>
      </w:r>
      <w:r w:rsidRPr="00FE6AC6">
        <w:rPr>
          <w:color w:val="000000"/>
        </w:rPr>
        <w:t>OS</w:t>
      </w:r>
      <w:r w:rsidRPr="00FE6AC6">
        <w:rPr>
          <w:color w:val="000000"/>
          <w:lang w:val="bg-BG"/>
        </w:rPr>
        <w:t> </w:t>
      </w:r>
      <w:r w:rsidRPr="00FE6AC6">
        <w:rPr>
          <w:color w:val="000000"/>
        </w:rPr>
        <w:t>p</w:t>
      </w:r>
      <w:r w:rsidRPr="00FE6AC6">
        <w:rPr>
          <w:color w:val="000000"/>
          <w:lang w:val="ru-RU"/>
        </w:rPr>
        <w:t>&lt;0,0001) в две проучвания (</w:t>
      </w:r>
      <w:r w:rsidRPr="00FE6AC6">
        <w:rPr>
          <w:color w:val="000000"/>
        </w:rPr>
        <w:t>AJP</w:t>
      </w:r>
      <w:r w:rsidRPr="00FE6AC6">
        <w:rPr>
          <w:color w:val="000000"/>
          <w:lang w:val="ru-RU"/>
        </w:rPr>
        <w:t>01 </w:t>
      </w:r>
      <w:r w:rsidRPr="00FE6AC6">
        <w:rPr>
          <w:color w:val="000000"/>
          <w:lang w:val="bg-BG"/>
        </w:rPr>
        <w:t xml:space="preserve">и </w:t>
      </w:r>
      <w:r w:rsidRPr="00FE6AC6">
        <w:rPr>
          <w:color w:val="000000"/>
        </w:rPr>
        <w:t>AUS</w:t>
      </w:r>
      <w:r w:rsidRPr="00FE6AC6">
        <w:rPr>
          <w:color w:val="000000"/>
          <w:lang w:val="ru-RU"/>
        </w:rPr>
        <w:t>01).</w:t>
      </w:r>
    </w:p>
    <w:p w14:paraId="3E550428" w14:textId="77777777" w:rsidR="001B628D" w:rsidRPr="00FE6AC6" w:rsidRDefault="001B628D" w:rsidP="0063575E">
      <w:pPr>
        <w:widowControl w:val="0"/>
        <w:spacing w:line="240" w:lineRule="auto"/>
        <w:rPr>
          <w:color w:val="000000"/>
          <w:lang w:val="ru-RU"/>
        </w:rPr>
      </w:pPr>
    </w:p>
    <w:p w14:paraId="3E550429" w14:textId="77777777" w:rsidR="001B628D" w:rsidRPr="00FE6AC6" w:rsidRDefault="001B628D" w:rsidP="0063575E">
      <w:pPr>
        <w:pStyle w:val="EndnoteText"/>
        <w:keepNext/>
        <w:keepLines/>
        <w:widowControl w:val="0"/>
        <w:tabs>
          <w:tab w:val="clear" w:pos="567"/>
          <w:tab w:val="left" w:pos="1134"/>
        </w:tabs>
        <w:rPr>
          <w:b/>
          <w:color w:val="000000"/>
          <w:lang w:val="ru-RU"/>
        </w:rPr>
      </w:pPr>
      <w:r w:rsidRPr="00FE6AC6">
        <w:rPr>
          <w:b/>
          <w:color w:val="000000"/>
          <w:lang w:val="bg-BG"/>
        </w:rPr>
        <w:t>Таблица</w:t>
      </w:r>
      <w:r w:rsidRPr="00FE6AC6">
        <w:rPr>
          <w:b/>
          <w:color w:val="000000"/>
        </w:rPr>
        <w:t> </w:t>
      </w:r>
      <w:r w:rsidR="00AE2ED7" w:rsidRPr="00FE6AC6">
        <w:rPr>
          <w:b/>
          <w:color w:val="000000"/>
          <w:lang w:val="bg-BG"/>
        </w:rPr>
        <w:t>4</w:t>
      </w:r>
      <w:r w:rsidRPr="00FE6AC6">
        <w:rPr>
          <w:b/>
          <w:color w:val="000000"/>
          <w:lang w:val="bg-BG"/>
        </w:rPr>
        <w:tab/>
        <w:t>Химиотерапевтична схема използвана в комбинация с иматиниб</w:t>
      </w:r>
    </w:p>
    <w:p w14:paraId="3E55042A" w14:textId="77777777" w:rsidR="001B628D" w:rsidRPr="00FE6AC6" w:rsidRDefault="001B628D" w:rsidP="0063575E">
      <w:pPr>
        <w:pStyle w:val="EndnoteText"/>
        <w:keepNext/>
        <w:keepLines/>
        <w:widowControl w:val="0"/>
        <w:rPr>
          <w:color w:val="000000"/>
          <w:lang w:val="ru-RU"/>
        </w:rPr>
      </w:pPr>
    </w:p>
    <w:tbl>
      <w:tblPr>
        <w:tblW w:w="0" w:type="auto"/>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1B628D" w:rsidRPr="00FE6AC6" w14:paraId="3E55042D" w14:textId="77777777" w:rsidTr="00EB1684">
        <w:trPr>
          <w:cantSplit/>
        </w:trPr>
        <w:tc>
          <w:tcPr>
            <w:tcW w:w="2148" w:type="dxa"/>
            <w:tcBorders>
              <w:top w:val="single" w:sz="4" w:space="0" w:color="auto"/>
              <w:bottom w:val="single" w:sz="4" w:space="0" w:color="auto"/>
            </w:tcBorders>
          </w:tcPr>
          <w:p w14:paraId="3E55042B"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b/>
                <w:color w:val="000000"/>
                <w:sz w:val="22"/>
                <w:lang w:val="bg-BG"/>
              </w:rPr>
              <w:t>Проучване</w:t>
            </w:r>
            <w:r w:rsidRPr="00FE6AC6">
              <w:rPr>
                <w:rFonts w:ascii="Times New Roman" w:hAnsi="Times New Roman"/>
                <w:b/>
                <w:color w:val="000000"/>
                <w:sz w:val="22"/>
              </w:rPr>
              <w:t xml:space="preserve"> ADE10</w:t>
            </w:r>
          </w:p>
        </w:tc>
        <w:tc>
          <w:tcPr>
            <w:tcW w:w="6732" w:type="dxa"/>
            <w:gridSpan w:val="4"/>
            <w:tcBorders>
              <w:top w:val="single" w:sz="4" w:space="0" w:color="auto"/>
              <w:bottom w:val="single" w:sz="4" w:space="0" w:color="auto"/>
            </w:tcBorders>
          </w:tcPr>
          <w:p w14:paraId="3E55042C" w14:textId="77777777" w:rsidR="001B628D" w:rsidRPr="00FE6AC6" w:rsidRDefault="001B628D" w:rsidP="00C90F9F">
            <w:pPr>
              <w:pStyle w:val="Table"/>
              <w:keepLines w:val="0"/>
              <w:widowControl w:val="0"/>
              <w:spacing w:before="0" w:after="0"/>
              <w:rPr>
                <w:rFonts w:ascii="Times New Roman" w:hAnsi="Times New Roman"/>
                <w:color w:val="000000"/>
                <w:sz w:val="22"/>
              </w:rPr>
            </w:pPr>
          </w:p>
        </w:tc>
      </w:tr>
      <w:tr w:rsidR="001B628D" w:rsidRPr="00FE6AC6" w14:paraId="3E550432" w14:textId="77777777" w:rsidTr="00EB1684">
        <w:trPr>
          <w:cantSplit/>
        </w:trPr>
        <w:tc>
          <w:tcPr>
            <w:tcW w:w="2148" w:type="dxa"/>
            <w:tcBorders>
              <w:top w:val="single" w:sz="4" w:space="0" w:color="auto"/>
              <w:bottom w:val="single" w:sz="4" w:space="0" w:color="auto"/>
            </w:tcBorders>
          </w:tcPr>
          <w:p w14:paraId="3E55042E"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Префаза</w:t>
            </w:r>
          </w:p>
        </w:tc>
        <w:tc>
          <w:tcPr>
            <w:tcW w:w="6732" w:type="dxa"/>
            <w:gridSpan w:val="4"/>
            <w:tcBorders>
              <w:top w:val="single" w:sz="4" w:space="0" w:color="auto"/>
              <w:bottom w:val="single" w:sz="4" w:space="0" w:color="auto"/>
            </w:tcBorders>
          </w:tcPr>
          <w:p w14:paraId="3E55042F"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50430"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CP 200 mg/m</w:t>
            </w:r>
            <w:r w:rsidRPr="00FE6AC6">
              <w:rPr>
                <w:rFonts w:ascii="Times New Roman" w:hAnsi="Times New Roman"/>
                <w:color w:val="000000"/>
                <w:sz w:val="22"/>
                <w:vertAlign w:val="superscript"/>
              </w:rPr>
              <w:t>2 </w:t>
            </w:r>
            <w:r w:rsidRPr="00FE6AC6">
              <w:rPr>
                <w:rFonts w:ascii="Times New Roman" w:hAnsi="Times New Roman"/>
                <w:color w:val="000000"/>
                <w:sz w:val="22"/>
              </w:rPr>
              <w:t xml:space="preserve">i.v., </w:t>
            </w:r>
            <w:r w:rsidRPr="00FE6AC6">
              <w:rPr>
                <w:rFonts w:ascii="Times New Roman" w:hAnsi="Times New Roman"/>
                <w:color w:val="000000"/>
                <w:sz w:val="22"/>
                <w:lang w:val="bg-BG"/>
              </w:rPr>
              <w:t>дни</w:t>
            </w:r>
            <w:r w:rsidRPr="00FE6AC6">
              <w:rPr>
                <w:rFonts w:ascii="Times New Roman" w:hAnsi="Times New Roman"/>
                <w:color w:val="000000"/>
                <w:sz w:val="22"/>
              </w:rPr>
              <w:t> 3, 4, 5;</w:t>
            </w:r>
          </w:p>
          <w:p w14:paraId="3E550431"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 xml:space="preserve">MTX 12 mg </w:t>
            </w:r>
            <w:r w:rsidRPr="00FE6AC6">
              <w:rPr>
                <w:rFonts w:ascii="Times New Roman" w:hAnsi="Times New Roman"/>
                <w:color w:val="000000"/>
                <w:sz w:val="22"/>
                <w:lang w:val="bg-BG"/>
              </w:rPr>
              <w:t>интратекално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ден</w:t>
            </w:r>
            <w:r w:rsidRPr="00FE6AC6">
              <w:rPr>
                <w:rFonts w:ascii="Times New Roman" w:hAnsi="Times New Roman"/>
                <w:color w:val="000000"/>
                <w:sz w:val="22"/>
              </w:rPr>
              <w:t> 1</w:t>
            </w:r>
          </w:p>
        </w:tc>
      </w:tr>
      <w:tr w:rsidR="001B628D" w:rsidRPr="00FE6AC6" w14:paraId="3E550439" w14:textId="77777777" w:rsidTr="00EB1684">
        <w:trPr>
          <w:cantSplit/>
        </w:trPr>
        <w:tc>
          <w:tcPr>
            <w:tcW w:w="2148" w:type="dxa"/>
            <w:tcBorders>
              <w:top w:val="single" w:sz="4" w:space="0" w:color="auto"/>
              <w:bottom w:val="single" w:sz="4" w:space="0" w:color="auto"/>
            </w:tcBorders>
          </w:tcPr>
          <w:p w14:paraId="3E550433"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Индукция на ремисията</w:t>
            </w:r>
          </w:p>
        </w:tc>
        <w:tc>
          <w:tcPr>
            <w:tcW w:w="6732" w:type="dxa"/>
            <w:gridSpan w:val="4"/>
            <w:tcBorders>
              <w:top w:val="single" w:sz="4" w:space="0" w:color="auto"/>
              <w:bottom w:val="single" w:sz="4" w:space="0" w:color="auto"/>
            </w:tcBorders>
          </w:tcPr>
          <w:p w14:paraId="3E550434"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6-7, 13-16;</w:t>
            </w:r>
          </w:p>
          <w:p w14:paraId="3E550435"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 xml:space="preserve">VCR 1 mg i.v., </w:t>
            </w:r>
            <w:r w:rsidRPr="00FE6AC6">
              <w:rPr>
                <w:rFonts w:ascii="Times New Roman" w:hAnsi="Times New Roman"/>
                <w:color w:val="000000"/>
                <w:sz w:val="22"/>
                <w:lang w:val="bg-BG"/>
              </w:rPr>
              <w:t>дни</w:t>
            </w:r>
            <w:r w:rsidRPr="00FE6AC6">
              <w:rPr>
                <w:rFonts w:ascii="Times New Roman" w:hAnsi="Times New Roman"/>
                <w:color w:val="000000"/>
                <w:sz w:val="22"/>
              </w:rPr>
              <w:t> 7, 14;</w:t>
            </w:r>
          </w:p>
          <w:p w14:paraId="3E550436"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IDA 8 mg/m</w:t>
            </w:r>
            <w:r w:rsidRPr="00FE6AC6">
              <w:rPr>
                <w:rFonts w:ascii="Times New Roman" w:hAnsi="Times New Roman"/>
                <w:color w:val="000000"/>
                <w:sz w:val="22"/>
                <w:vertAlign w:val="superscript"/>
              </w:rPr>
              <w:t>2 </w:t>
            </w:r>
            <w:r w:rsidRPr="00FE6AC6">
              <w:rPr>
                <w:rFonts w:ascii="Times New Roman" w:hAnsi="Times New Roman"/>
                <w:color w:val="000000"/>
                <w:sz w:val="22"/>
              </w:rPr>
              <w:t>i.v. (0</w:t>
            </w:r>
            <w:r w:rsidRPr="00FE6AC6">
              <w:rPr>
                <w:rFonts w:ascii="Times New Roman" w:hAnsi="Times New Roman"/>
                <w:color w:val="000000"/>
                <w:sz w:val="22"/>
                <w:lang w:val="bg-BG"/>
              </w:rPr>
              <w:t>,</w:t>
            </w:r>
            <w:r w:rsidRPr="00FE6AC6">
              <w:rPr>
                <w:rFonts w:ascii="Times New Roman" w:hAnsi="Times New Roman"/>
                <w:color w:val="000000"/>
                <w:sz w:val="22"/>
              </w:rPr>
              <w:t>5 </w:t>
            </w:r>
            <w:r w:rsidRPr="00FE6AC6">
              <w:rPr>
                <w:rFonts w:ascii="Times New Roman" w:hAnsi="Times New Roman"/>
                <w:color w:val="000000"/>
                <w:sz w:val="22"/>
                <w:lang w:val="bg-BG"/>
              </w:rPr>
              <w:t>часа</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7, 8, 14, 15;</w:t>
            </w:r>
          </w:p>
          <w:p w14:paraId="3E550437"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CP 500 mg/m</w:t>
            </w:r>
            <w:r w:rsidRPr="00FE6AC6">
              <w:rPr>
                <w:rFonts w:ascii="Times New Roman" w:hAnsi="Times New Roman"/>
                <w:color w:val="000000"/>
                <w:sz w:val="22"/>
                <w:vertAlign w:val="superscript"/>
              </w:rPr>
              <w:t>2 </w:t>
            </w:r>
            <w:r w:rsidRPr="00FE6AC6">
              <w:rPr>
                <w:rFonts w:ascii="Times New Roman" w:hAnsi="Times New Roman"/>
                <w:color w:val="000000"/>
                <w:sz w:val="22"/>
              </w:rPr>
              <w:t>i.v.(1 </w:t>
            </w:r>
            <w:r w:rsidRPr="00FE6AC6">
              <w:rPr>
                <w:rFonts w:ascii="Times New Roman" w:hAnsi="Times New Roman"/>
                <w:color w:val="000000"/>
                <w:sz w:val="22"/>
                <w:lang w:val="bg-BG"/>
              </w:rPr>
              <w:t>час)</w:t>
            </w:r>
            <w:r w:rsidRPr="00FE6AC6">
              <w:rPr>
                <w:rFonts w:ascii="Times New Roman" w:hAnsi="Times New Roman"/>
                <w:color w:val="000000"/>
                <w:sz w:val="22"/>
              </w:rPr>
              <w:t xml:space="preserve"> </w:t>
            </w:r>
            <w:r w:rsidRPr="00FE6AC6">
              <w:rPr>
                <w:rFonts w:ascii="Times New Roman" w:hAnsi="Times New Roman"/>
                <w:color w:val="000000"/>
                <w:sz w:val="22"/>
                <w:lang w:val="bg-BG"/>
              </w:rPr>
              <w:t>ден</w:t>
            </w:r>
            <w:r w:rsidRPr="00FE6AC6">
              <w:rPr>
                <w:rFonts w:ascii="Times New Roman" w:hAnsi="Times New Roman"/>
                <w:color w:val="000000"/>
                <w:sz w:val="22"/>
              </w:rPr>
              <w:t> 1;</w:t>
            </w:r>
          </w:p>
          <w:p w14:paraId="3E550438"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rPr>
              <w:t>Ara-C 60 mg/m</w:t>
            </w:r>
            <w:r w:rsidRPr="00FE6AC6">
              <w:rPr>
                <w:rFonts w:ascii="Times New Roman" w:hAnsi="Times New Roman"/>
                <w:color w:val="000000"/>
                <w:sz w:val="22"/>
                <w:vertAlign w:val="superscript"/>
              </w:rPr>
              <w:t>2 </w:t>
            </w:r>
            <w:r w:rsidRPr="00FE6AC6">
              <w:rPr>
                <w:rFonts w:ascii="Times New Roman" w:hAnsi="Times New Roman"/>
                <w:color w:val="000000"/>
                <w:sz w:val="22"/>
              </w:rPr>
              <w:t xml:space="preserve">i.v., </w:t>
            </w:r>
            <w:r w:rsidRPr="00FE6AC6">
              <w:rPr>
                <w:rFonts w:ascii="Times New Roman" w:hAnsi="Times New Roman"/>
                <w:color w:val="000000"/>
                <w:sz w:val="22"/>
                <w:lang w:val="bg-BG"/>
              </w:rPr>
              <w:t>дни</w:t>
            </w:r>
            <w:r w:rsidRPr="00FE6AC6">
              <w:rPr>
                <w:rFonts w:ascii="Times New Roman" w:hAnsi="Times New Roman"/>
                <w:color w:val="000000"/>
                <w:sz w:val="22"/>
              </w:rPr>
              <w:t> 22-25, 29-32</w:t>
            </w:r>
          </w:p>
        </w:tc>
      </w:tr>
      <w:tr w:rsidR="001B628D" w:rsidRPr="004015AA" w14:paraId="3E55043D" w14:textId="77777777" w:rsidTr="00EB1684">
        <w:trPr>
          <w:cantSplit/>
        </w:trPr>
        <w:tc>
          <w:tcPr>
            <w:tcW w:w="2148" w:type="dxa"/>
            <w:tcBorders>
              <w:top w:val="single" w:sz="4" w:space="0" w:color="auto"/>
              <w:bottom w:val="single" w:sz="4" w:space="0" w:color="auto"/>
            </w:tcBorders>
          </w:tcPr>
          <w:p w14:paraId="3E55043A"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Консолидационна терапия</w:t>
            </w:r>
            <w:r w:rsidRPr="00FE6AC6">
              <w:rPr>
                <w:rFonts w:ascii="Times New Roman" w:hAnsi="Times New Roman"/>
                <w:color w:val="000000"/>
                <w:sz w:val="22"/>
                <w:lang w:val="ru-RU"/>
              </w:rPr>
              <w:t xml:space="preserve"> </w:t>
            </w:r>
            <w:r w:rsidRPr="00FE6AC6">
              <w:rPr>
                <w:rFonts w:ascii="Times New Roman" w:hAnsi="Times New Roman"/>
                <w:color w:val="000000"/>
                <w:sz w:val="22"/>
              </w:rPr>
              <w:t>I</w:t>
            </w:r>
            <w:r w:rsidRPr="00FE6AC6">
              <w:rPr>
                <w:rFonts w:ascii="Times New Roman" w:hAnsi="Times New Roman"/>
                <w:color w:val="000000"/>
                <w:sz w:val="22"/>
                <w:lang w:val="ru-RU"/>
              </w:rPr>
              <w:t xml:space="preserve">, </w:t>
            </w:r>
            <w:r w:rsidRPr="00FE6AC6">
              <w:rPr>
                <w:rFonts w:ascii="Times New Roman" w:hAnsi="Times New Roman"/>
                <w:color w:val="000000"/>
                <w:sz w:val="22"/>
              </w:rPr>
              <w:t>III</w:t>
            </w:r>
            <w:r w:rsidRPr="00FE6AC6">
              <w:rPr>
                <w:rFonts w:ascii="Times New Roman" w:hAnsi="Times New Roman"/>
                <w:color w:val="000000"/>
                <w:sz w:val="22"/>
                <w:lang w:val="ru-RU"/>
              </w:rPr>
              <w:t xml:space="preserve">, </w:t>
            </w:r>
            <w:r w:rsidRPr="00FE6AC6">
              <w:rPr>
                <w:rFonts w:ascii="Times New Roman" w:hAnsi="Times New Roman"/>
                <w:color w:val="000000"/>
                <w:sz w:val="22"/>
              </w:rPr>
              <w:t>V</w:t>
            </w:r>
          </w:p>
        </w:tc>
        <w:tc>
          <w:tcPr>
            <w:tcW w:w="6732" w:type="dxa"/>
            <w:gridSpan w:val="4"/>
            <w:tcBorders>
              <w:top w:val="single" w:sz="4" w:space="0" w:color="auto"/>
              <w:bottom w:val="single" w:sz="4" w:space="0" w:color="auto"/>
            </w:tcBorders>
          </w:tcPr>
          <w:p w14:paraId="3E55043B"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MTX</w:t>
            </w:r>
            <w:r w:rsidRPr="00FE6AC6">
              <w:rPr>
                <w:rFonts w:ascii="Times New Roman" w:hAnsi="Times New Roman"/>
                <w:color w:val="000000"/>
                <w:sz w:val="22"/>
                <w:lang w:val="ru-RU"/>
              </w:rPr>
              <w:t> 500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(24 </w:t>
            </w:r>
            <w:r w:rsidRPr="00FE6AC6">
              <w:rPr>
                <w:rFonts w:ascii="Times New Roman" w:hAnsi="Times New Roman"/>
                <w:color w:val="000000"/>
                <w:sz w:val="22"/>
                <w:lang w:val="bg-BG"/>
              </w:rPr>
              <w:t>часа</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w:t>
            </w:r>
            <w:r w:rsidRPr="00FE6AC6">
              <w:rPr>
                <w:rFonts w:ascii="Times New Roman" w:hAnsi="Times New Roman"/>
                <w:color w:val="000000"/>
                <w:sz w:val="22"/>
                <w:lang w:val="ru-RU"/>
              </w:rPr>
              <w:t>1, 15;</w:t>
            </w:r>
          </w:p>
          <w:p w14:paraId="3E55043C"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ru-RU"/>
              </w:rPr>
              <w:t>6-</w:t>
            </w:r>
            <w:r w:rsidRPr="00FE6AC6">
              <w:rPr>
                <w:rFonts w:ascii="Times New Roman" w:hAnsi="Times New Roman"/>
                <w:color w:val="000000"/>
                <w:sz w:val="22"/>
              </w:rPr>
              <w:t>MP</w:t>
            </w:r>
            <w:r w:rsidRPr="00FE6AC6">
              <w:rPr>
                <w:rFonts w:ascii="Times New Roman" w:hAnsi="Times New Roman"/>
                <w:color w:val="000000"/>
                <w:sz w:val="22"/>
                <w:lang w:val="ru-RU"/>
              </w:rPr>
              <w:t> 25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lang w:val="bg-BG"/>
              </w:rPr>
              <w:t>перорално</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w:t>
            </w:r>
            <w:r w:rsidRPr="00FE6AC6">
              <w:rPr>
                <w:rFonts w:ascii="Times New Roman" w:hAnsi="Times New Roman"/>
                <w:color w:val="000000"/>
                <w:sz w:val="22"/>
                <w:lang w:val="ru-RU"/>
              </w:rPr>
              <w:t>1-20</w:t>
            </w:r>
          </w:p>
        </w:tc>
      </w:tr>
      <w:tr w:rsidR="001B628D" w:rsidRPr="00FE6AC6" w14:paraId="3E550441" w14:textId="77777777" w:rsidTr="00EB1684">
        <w:trPr>
          <w:cantSplit/>
        </w:trPr>
        <w:tc>
          <w:tcPr>
            <w:tcW w:w="2148" w:type="dxa"/>
            <w:tcBorders>
              <w:top w:val="single" w:sz="4" w:space="0" w:color="auto"/>
              <w:bottom w:val="single" w:sz="4" w:space="0" w:color="auto"/>
            </w:tcBorders>
          </w:tcPr>
          <w:p w14:paraId="3E55043E" w14:textId="77777777" w:rsidR="001B628D" w:rsidRPr="00FE6AC6" w:rsidRDefault="001B628D" w:rsidP="00C90F9F">
            <w:pPr>
              <w:pStyle w:val="Table"/>
              <w:keepNext w:val="0"/>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Консолидационна терапия</w:t>
            </w:r>
            <w:r w:rsidRPr="00FE6AC6">
              <w:rPr>
                <w:rFonts w:ascii="Times New Roman" w:hAnsi="Times New Roman"/>
                <w:color w:val="000000"/>
                <w:sz w:val="22"/>
              </w:rPr>
              <w:t xml:space="preserve"> II, IV</w:t>
            </w:r>
          </w:p>
        </w:tc>
        <w:tc>
          <w:tcPr>
            <w:tcW w:w="6732" w:type="dxa"/>
            <w:gridSpan w:val="4"/>
            <w:tcBorders>
              <w:top w:val="single" w:sz="4" w:space="0" w:color="auto"/>
              <w:bottom w:val="single" w:sz="4" w:space="0" w:color="auto"/>
            </w:tcBorders>
          </w:tcPr>
          <w:p w14:paraId="3E55043F" w14:textId="77777777" w:rsidR="001B628D" w:rsidRPr="00FE6AC6" w:rsidRDefault="001B628D" w:rsidP="00C90F9F">
            <w:pPr>
              <w:pStyle w:val="Table"/>
              <w:keepNext w:val="0"/>
              <w:keepLines w:val="0"/>
              <w:widowControl w:val="0"/>
              <w:spacing w:before="0" w:after="0"/>
              <w:rPr>
                <w:rFonts w:ascii="Times New Roman" w:hAnsi="Times New Roman"/>
                <w:color w:val="000000"/>
                <w:sz w:val="22"/>
              </w:rPr>
            </w:pPr>
            <w:r w:rsidRPr="00FE6AC6">
              <w:rPr>
                <w:rFonts w:ascii="Times New Roman" w:hAnsi="Times New Roman"/>
                <w:color w:val="000000"/>
                <w:sz w:val="22"/>
              </w:rPr>
              <w:t>Ara-C 75 mg/m</w:t>
            </w:r>
            <w:r w:rsidRPr="00FE6AC6">
              <w:rPr>
                <w:rFonts w:ascii="Times New Roman" w:hAnsi="Times New Roman"/>
                <w:color w:val="000000"/>
                <w:sz w:val="22"/>
                <w:vertAlign w:val="superscript"/>
              </w:rPr>
              <w:t>2 </w:t>
            </w:r>
            <w:r w:rsidRPr="00FE6AC6">
              <w:rPr>
                <w:rFonts w:ascii="Times New Roman" w:hAnsi="Times New Roman"/>
                <w:color w:val="000000"/>
                <w:sz w:val="22"/>
              </w:rPr>
              <w:t>i.v. (1 </w:t>
            </w:r>
            <w:r w:rsidRPr="00FE6AC6">
              <w:rPr>
                <w:rFonts w:ascii="Times New Roman" w:hAnsi="Times New Roman"/>
                <w:color w:val="000000"/>
                <w:sz w:val="22"/>
                <w:lang w:val="bg-BG"/>
              </w:rPr>
              <w:t>час)</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50440" w14:textId="77777777" w:rsidR="001B628D" w:rsidRPr="00FE6AC6" w:rsidRDefault="001B628D" w:rsidP="00C90F9F">
            <w:pPr>
              <w:pStyle w:val="Table"/>
              <w:keepNext w:val="0"/>
              <w:keepLines w:val="0"/>
              <w:widowControl w:val="0"/>
              <w:spacing w:before="0" w:after="0"/>
              <w:rPr>
                <w:rFonts w:ascii="Times New Roman" w:hAnsi="Times New Roman"/>
                <w:color w:val="000000"/>
                <w:sz w:val="22"/>
              </w:rPr>
            </w:pPr>
            <w:r w:rsidRPr="00FE6AC6">
              <w:rPr>
                <w:rFonts w:ascii="Times New Roman" w:hAnsi="Times New Roman"/>
                <w:color w:val="000000"/>
                <w:sz w:val="22"/>
              </w:rPr>
              <w:t>VM26 60 mg/m</w:t>
            </w:r>
            <w:r w:rsidRPr="00FE6AC6">
              <w:rPr>
                <w:rFonts w:ascii="Times New Roman" w:hAnsi="Times New Roman"/>
                <w:color w:val="000000"/>
                <w:sz w:val="22"/>
                <w:vertAlign w:val="superscript"/>
              </w:rPr>
              <w:t>2 </w:t>
            </w:r>
            <w:r w:rsidRPr="00FE6AC6">
              <w:rPr>
                <w:rFonts w:ascii="Times New Roman" w:hAnsi="Times New Roman"/>
                <w:color w:val="000000"/>
                <w:sz w:val="22"/>
              </w:rPr>
              <w:t>i.v. (1 </w:t>
            </w:r>
            <w:r w:rsidRPr="00FE6AC6">
              <w:rPr>
                <w:rFonts w:ascii="Times New Roman" w:hAnsi="Times New Roman"/>
                <w:color w:val="000000"/>
                <w:sz w:val="22"/>
                <w:lang w:val="bg-BG"/>
              </w:rPr>
              <w:t>час</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tc>
      </w:tr>
      <w:tr w:rsidR="001B628D" w:rsidRPr="00FE6AC6" w14:paraId="3E550447" w14:textId="77777777" w:rsidTr="00EB1684">
        <w:trPr>
          <w:cantSplit/>
        </w:trPr>
        <w:tc>
          <w:tcPr>
            <w:tcW w:w="2148" w:type="dxa"/>
            <w:tcBorders>
              <w:top w:val="single" w:sz="4" w:space="0" w:color="auto"/>
              <w:bottom w:val="single" w:sz="4" w:space="0" w:color="auto"/>
            </w:tcBorders>
          </w:tcPr>
          <w:p w14:paraId="3E550442" w14:textId="77777777" w:rsidR="001B628D" w:rsidRPr="00FE6AC6" w:rsidRDefault="001B628D" w:rsidP="00C90F9F">
            <w:pPr>
              <w:pStyle w:val="Table"/>
              <w:keepLines w:val="0"/>
              <w:widowControl w:val="0"/>
              <w:spacing w:before="0" w:after="0"/>
              <w:rPr>
                <w:rFonts w:ascii="Times New Roman" w:hAnsi="Times New Roman"/>
                <w:b/>
                <w:color w:val="000000"/>
                <w:sz w:val="22"/>
              </w:rPr>
            </w:pPr>
            <w:r w:rsidRPr="00FE6AC6">
              <w:rPr>
                <w:rFonts w:ascii="Times New Roman" w:hAnsi="Times New Roman"/>
                <w:b/>
                <w:color w:val="000000"/>
                <w:sz w:val="22"/>
                <w:lang w:val="bg-BG"/>
              </w:rPr>
              <w:t>Проучване</w:t>
            </w:r>
            <w:r w:rsidRPr="00FE6AC6">
              <w:rPr>
                <w:rFonts w:ascii="Times New Roman" w:hAnsi="Times New Roman"/>
                <w:b/>
                <w:color w:val="000000"/>
                <w:sz w:val="22"/>
              </w:rPr>
              <w:t xml:space="preserve"> AAU02</w:t>
            </w:r>
          </w:p>
        </w:tc>
        <w:tc>
          <w:tcPr>
            <w:tcW w:w="2652" w:type="dxa"/>
            <w:tcBorders>
              <w:top w:val="single" w:sz="4" w:space="0" w:color="auto"/>
              <w:bottom w:val="single" w:sz="4" w:space="0" w:color="auto"/>
            </w:tcBorders>
          </w:tcPr>
          <w:p w14:paraId="3E550443" w14:textId="77777777" w:rsidR="001B628D" w:rsidRPr="00FE6AC6" w:rsidRDefault="001B628D" w:rsidP="00C90F9F">
            <w:pPr>
              <w:pStyle w:val="Table"/>
              <w:keepLines w:val="0"/>
              <w:widowControl w:val="0"/>
              <w:spacing w:before="0" w:after="0"/>
              <w:rPr>
                <w:rFonts w:ascii="Times New Roman" w:hAnsi="Times New Roman"/>
                <w:color w:val="000000"/>
                <w:sz w:val="22"/>
              </w:rPr>
            </w:pPr>
          </w:p>
        </w:tc>
        <w:tc>
          <w:tcPr>
            <w:tcW w:w="1080" w:type="dxa"/>
            <w:tcBorders>
              <w:top w:val="single" w:sz="4" w:space="0" w:color="auto"/>
              <w:bottom w:val="single" w:sz="4" w:space="0" w:color="auto"/>
            </w:tcBorders>
          </w:tcPr>
          <w:p w14:paraId="3E550444" w14:textId="77777777" w:rsidR="001B628D" w:rsidRPr="00FE6AC6" w:rsidRDefault="001B628D" w:rsidP="00C90F9F">
            <w:pPr>
              <w:pStyle w:val="Table"/>
              <w:keepLines w:val="0"/>
              <w:widowControl w:val="0"/>
              <w:spacing w:before="0" w:after="0"/>
              <w:rPr>
                <w:rFonts w:ascii="Times New Roman" w:hAnsi="Times New Roman"/>
                <w:color w:val="000000"/>
                <w:sz w:val="22"/>
              </w:rPr>
            </w:pPr>
          </w:p>
        </w:tc>
        <w:tc>
          <w:tcPr>
            <w:tcW w:w="1380" w:type="dxa"/>
            <w:tcBorders>
              <w:top w:val="single" w:sz="4" w:space="0" w:color="auto"/>
              <w:bottom w:val="single" w:sz="4" w:space="0" w:color="auto"/>
            </w:tcBorders>
          </w:tcPr>
          <w:p w14:paraId="3E550445" w14:textId="77777777" w:rsidR="001B628D" w:rsidRPr="00FE6AC6" w:rsidRDefault="001B628D" w:rsidP="00C90F9F">
            <w:pPr>
              <w:pStyle w:val="Table"/>
              <w:keepLines w:val="0"/>
              <w:widowControl w:val="0"/>
              <w:spacing w:before="0" w:after="0"/>
              <w:rPr>
                <w:rFonts w:ascii="Times New Roman" w:hAnsi="Times New Roman"/>
                <w:color w:val="000000"/>
                <w:sz w:val="22"/>
              </w:rPr>
            </w:pPr>
          </w:p>
        </w:tc>
        <w:tc>
          <w:tcPr>
            <w:tcW w:w="1620" w:type="dxa"/>
            <w:tcBorders>
              <w:top w:val="single" w:sz="4" w:space="0" w:color="auto"/>
              <w:bottom w:val="single" w:sz="4" w:space="0" w:color="auto"/>
            </w:tcBorders>
          </w:tcPr>
          <w:p w14:paraId="3E550446" w14:textId="77777777" w:rsidR="001B628D" w:rsidRPr="00FE6AC6" w:rsidRDefault="001B628D" w:rsidP="00C90F9F">
            <w:pPr>
              <w:pStyle w:val="Table"/>
              <w:keepLines w:val="0"/>
              <w:widowControl w:val="0"/>
              <w:spacing w:before="0" w:after="0"/>
              <w:rPr>
                <w:rFonts w:ascii="Times New Roman" w:hAnsi="Times New Roman"/>
                <w:color w:val="000000"/>
                <w:sz w:val="22"/>
              </w:rPr>
            </w:pPr>
          </w:p>
        </w:tc>
      </w:tr>
      <w:tr w:rsidR="001B628D" w:rsidRPr="00FE6AC6" w14:paraId="3E550451" w14:textId="77777777" w:rsidTr="00EB1684">
        <w:trPr>
          <w:cantSplit/>
        </w:trPr>
        <w:tc>
          <w:tcPr>
            <w:tcW w:w="2148" w:type="dxa"/>
            <w:tcBorders>
              <w:top w:val="single" w:sz="4" w:space="0" w:color="auto"/>
              <w:bottom w:val="single" w:sz="4" w:space="0" w:color="auto"/>
            </w:tcBorders>
          </w:tcPr>
          <w:p w14:paraId="3E550448"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Индукционна терапия</w:t>
            </w:r>
            <w:r w:rsidRPr="00FE6AC6">
              <w:rPr>
                <w:rFonts w:ascii="Times New Roman" w:hAnsi="Times New Roman"/>
                <w:color w:val="000000"/>
                <w:sz w:val="22"/>
                <w:lang w:val="ru-RU"/>
              </w:rPr>
              <w:t xml:space="preserve"> (</w:t>
            </w:r>
            <w:r w:rsidRPr="00FE6AC6">
              <w:rPr>
                <w:rFonts w:ascii="Times New Roman" w:hAnsi="Times New Roman"/>
                <w:i/>
                <w:color w:val="000000"/>
                <w:sz w:val="22"/>
              </w:rPr>
              <w:t>de</w:t>
            </w:r>
            <w:r w:rsidRPr="00FE6AC6">
              <w:rPr>
                <w:rFonts w:ascii="Times New Roman" w:hAnsi="Times New Roman"/>
                <w:i/>
                <w:color w:val="000000"/>
                <w:sz w:val="22"/>
                <w:lang w:val="ru-RU"/>
              </w:rPr>
              <w:t xml:space="preserve"> </w:t>
            </w:r>
            <w:r w:rsidRPr="00FE6AC6">
              <w:rPr>
                <w:rFonts w:ascii="Times New Roman" w:hAnsi="Times New Roman"/>
                <w:i/>
                <w:color w:val="000000"/>
                <w:sz w:val="22"/>
              </w:rPr>
              <w:t>novo</w:t>
            </w:r>
            <w:r w:rsidRPr="00FE6AC6">
              <w:rPr>
                <w:rFonts w:ascii="Times New Roman" w:hAnsi="Times New Roman"/>
                <w:color w:val="000000"/>
                <w:sz w:val="22"/>
                <w:lang w:val="ru-RU"/>
              </w:rPr>
              <w:t xml:space="preserve"> </w:t>
            </w:r>
            <w:r w:rsidRPr="00FE6AC6">
              <w:rPr>
                <w:rFonts w:ascii="Times New Roman" w:hAnsi="Times New Roman"/>
                <w:color w:val="000000"/>
                <w:sz w:val="22"/>
              </w:rPr>
              <w:t>Ph</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ОЛЛ</w:t>
            </w:r>
            <w:r w:rsidRPr="00FE6AC6">
              <w:rPr>
                <w:rFonts w:ascii="Times New Roman" w:hAnsi="Times New Roman"/>
                <w:color w:val="000000"/>
                <w:sz w:val="22"/>
                <w:lang w:val="ru-RU"/>
              </w:rPr>
              <w:t>)</w:t>
            </w:r>
          </w:p>
        </w:tc>
        <w:tc>
          <w:tcPr>
            <w:tcW w:w="6732" w:type="dxa"/>
            <w:gridSpan w:val="4"/>
            <w:tcBorders>
              <w:top w:val="single" w:sz="4" w:space="0" w:color="auto"/>
              <w:bottom w:val="single" w:sz="4" w:space="0" w:color="auto"/>
            </w:tcBorders>
          </w:tcPr>
          <w:p w14:paraId="3E550449"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Даунорубицин</w:t>
            </w:r>
            <w:r w:rsidRPr="00FE6AC6">
              <w:rPr>
                <w:rFonts w:ascii="Times New Roman" w:hAnsi="Times New Roman"/>
                <w:color w:val="000000"/>
                <w:sz w:val="22"/>
                <w:lang w:val="ru-RU"/>
              </w:rPr>
              <w:t> 30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w:t>
            </w:r>
            <w:r w:rsidRPr="00FE6AC6">
              <w:rPr>
                <w:rFonts w:ascii="Times New Roman" w:hAnsi="Times New Roman"/>
                <w:color w:val="000000"/>
                <w:sz w:val="22"/>
                <w:lang w:val="ru-RU"/>
              </w:rPr>
              <w:t>1-3, 15-16;</w:t>
            </w:r>
          </w:p>
          <w:p w14:paraId="3E55044A"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VCR</w:t>
            </w:r>
            <w:r w:rsidRPr="00FE6AC6">
              <w:rPr>
                <w:rFonts w:ascii="Times New Roman" w:hAnsi="Times New Roman"/>
                <w:color w:val="000000"/>
                <w:sz w:val="22"/>
                <w:lang w:val="ru-RU"/>
              </w:rPr>
              <w:t> 2 </w:t>
            </w:r>
            <w:r w:rsidRPr="00FE6AC6">
              <w:rPr>
                <w:rFonts w:ascii="Times New Roman" w:hAnsi="Times New Roman"/>
                <w:color w:val="000000"/>
                <w:sz w:val="22"/>
              </w:rPr>
              <w:t>mg</w:t>
            </w:r>
            <w:r w:rsidRPr="00FE6AC6">
              <w:rPr>
                <w:rFonts w:ascii="Times New Roman" w:hAnsi="Times New Roman"/>
                <w:color w:val="000000"/>
                <w:sz w:val="22"/>
                <w:lang w:val="ru-RU"/>
              </w:rPr>
              <w:t xml:space="preserve"> обща доза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дни</w:t>
            </w:r>
            <w:r w:rsidRPr="00FE6AC6">
              <w:rPr>
                <w:rFonts w:ascii="Times New Roman" w:hAnsi="Times New Roman"/>
                <w:color w:val="000000"/>
                <w:sz w:val="22"/>
              </w:rPr>
              <w:t> </w:t>
            </w:r>
            <w:r w:rsidRPr="00FE6AC6">
              <w:rPr>
                <w:rFonts w:ascii="Times New Roman" w:hAnsi="Times New Roman"/>
                <w:color w:val="000000"/>
                <w:sz w:val="22"/>
                <w:lang w:val="ru-RU"/>
              </w:rPr>
              <w:t>1, 8, 15, 22;</w:t>
            </w:r>
          </w:p>
          <w:p w14:paraId="3E55044B"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CP</w:t>
            </w:r>
            <w:r w:rsidRPr="00FE6AC6">
              <w:rPr>
                <w:rFonts w:ascii="Times New Roman" w:hAnsi="Times New Roman"/>
                <w:color w:val="000000"/>
                <w:sz w:val="22"/>
                <w:lang w:val="ru-RU"/>
              </w:rPr>
              <w:t> 750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дни</w:t>
            </w:r>
            <w:r w:rsidRPr="00FE6AC6">
              <w:rPr>
                <w:rFonts w:ascii="Times New Roman" w:hAnsi="Times New Roman"/>
                <w:color w:val="000000"/>
                <w:sz w:val="22"/>
              </w:rPr>
              <w:t> </w:t>
            </w:r>
            <w:r w:rsidRPr="00FE6AC6">
              <w:rPr>
                <w:rFonts w:ascii="Times New Roman" w:hAnsi="Times New Roman"/>
                <w:color w:val="000000"/>
                <w:sz w:val="22"/>
                <w:lang w:val="ru-RU"/>
              </w:rPr>
              <w:t>1, 8;</w:t>
            </w:r>
          </w:p>
          <w:p w14:paraId="3E55044C"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П</w:t>
            </w:r>
            <w:r w:rsidRPr="00FE6AC6">
              <w:rPr>
                <w:rFonts w:ascii="Times New Roman" w:hAnsi="Times New Roman"/>
                <w:color w:val="000000"/>
                <w:sz w:val="22"/>
                <w:lang w:val="ru-RU"/>
              </w:rPr>
              <w:t>реднизон 60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lang w:val="ru-RU"/>
              </w:rPr>
              <w:t>перорално, дни</w:t>
            </w:r>
            <w:r w:rsidRPr="00FE6AC6">
              <w:rPr>
                <w:rFonts w:ascii="Times New Roman" w:hAnsi="Times New Roman"/>
                <w:color w:val="000000"/>
                <w:sz w:val="22"/>
              </w:rPr>
              <w:t> </w:t>
            </w:r>
            <w:r w:rsidRPr="00FE6AC6">
              <w:rPr>
                <w:rFonts w:ascii="Times New Roman" w:hAnsi="Times New Roman"/>
                <w:color w:val="000000"/>
                <w:sz w:val="22"/>
                <w:lang w:val="ru-RU"/>
              </w:rPr>
              <w:t>1-7, 15-21;</w:t>
            </w:r>
          </w:p>
          <w:p w14:paraId="3E55044D"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IDA</w:t>
            </w:r>
            <w:r w:rsidRPr="00FE6AC6">
              <w:rPr>
                <w:rFonts w:ascii="Times New Roman" w:hAnsi="Times New Roman"/>
                <w:color w:val="000000"/>
                <w:sz w:val="22"/>
                <w:lang w:val="ru-RU"/>
              </w:rPr>
              <w:t> 9 </w:t>
            </w:r>
            <w:r w:rsidRPr="00FE6AC6">
              <w:rPr>
                <w:rFonts w:ascii="Times New Roman" w:hAnsi="Times New Roman"/>
                <w:color w:val="000000"/>
                <w:sz w:val="22"/>
              </w:rPr>
              <w:t>mg</w:t>
            </w:r>
            <w:r w:rsidRPr="00FE6AC6">
              <w:rPr>
                <w:rFonts w:ascii="Times New Roman" w:hAnsi="Times New Roman"/>
                <w:color w:val="000000"/>
                <w:sz w:val="22"/>
                <w:lang w:val="ru-RU"/>
              </w:rPr>
              <w:t>/</w:t>
            </w:r>
            <w:r w:rsidRPr="00FE6AC6">
              <w:rPr>
                <w:rFonts w:ascii="Times New Roman" w:hAnsi="Times New Roman"/>
                <w:color w:val="000000"/>
                <w:sz w:val="22"/>
              </w:rPr>
              <w:t>m</w:t>
            </w:r>
            <w:r w:rsidRPr="00FE6AC6">
              <w:rPr>
                <w:rFonts w:ascii="Times New Roman" w:hAnsi="Times New Roman"/>
                <w:color w:val="000000"/>
                <w:sz w:val="22"/>
                <w:vertAlign w:val="superscript"/>
                <w:lang w:val="ru-RU"/>
              </w:rPr>
              <w:t>2 </w:t>
            </w:r>
            <w:r w:rsidRPr="00FE6AC6">
              <w:rPr>
                <w:rFonts w:ascii="Times New Roman" w:hAnsi="Times New Roman"/>
                <w:color w:val="000000"/>
                <w:sz w:val="22"/>
                <w:lang w:val="ru-RU"/>
              </w:rPr>
              <w:t>перорално, дни</w:t>
            </w:r>
            <w:r w:rsidRPr="00FE6AC6">
              <w:rPr>
                <w:rFonts w:ascii="Times New Roman" w:hAnsi="Times New Roman"/>
                <w:color w:val="000000"/>
                <w:sz w:val="22"/>
              </w:rPr>
              <w:t> </w:t>
            </w:r>
            <w:r w:rsidRPr="00FE6AC6">
              <w:rPr>
                <w:rFonts w:ascii="Times New Roman" w:hAnsi="Times New Roman"/>
                <w:color w:val="000000"/>
                <w:sz w:val="22"/>
                <w:lang w:val="ru-RU"/>
              </w:rPr>
              <w:t>1-28;</w:t>
            </w:r>
          </w:p>
          <w:p w14:paraId="3E55044E"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MTX</w:t>
            </w:r>
            <w:r w:rsidRPr="00FE6AC6">
              <w:rPr>
                <w:rFonts w:ascii="Times New Roman" w:hAnsi="Times New Roman"/>
                <w:color w:val="000000"/>
                <w:sz w:val="22"/>
                <w:lang w:val="ru-RU"/>
              </w:rPr>
              <w:t> 15 </w:t>
            </w:r>
            <w:r w:rsidRPr="00FE6AC6">
              <w:rPr>
                <w:rFonts w:ascii="Times New Roman" w:hAnsi="Times New Roman"/>
                <w:color w:val="000000"/>
                <w:sz w:val="22"/>
              </w:rPr>
              <w:t>mg</w:t>
            </w:r>
            <w:r w:rsidRPr="00FE6AC6">
              <w:rPr>
                <w:rFonts w:ascii="Times New Roman" w:hAnsi="Times New Roman"/>
                <w:color w:val="000000"/>
                <w:sz w:val="22"/>
                <w:lang w:val="ru-RU"/>
              </w:rPr>
              <w:t xml:space="preserve"> интратекално, дни</w:t>
            </w:r>
            <w:r w:rsidRPr="00FE6AC6">
              <w:rPr>
                <w:rFonts w:ascii="Times New Roman" w:hAnsi="Times New Roman"/>
                <w:color w:val="000000"/>
                <w:sz w:val="22"/>
              </w:rPr>
              <w:t> </w:t>
            </w:r>
            <w:r w:rsidRPr="00FE6AC6">
              <w:rPr>
                <w:rFonts w:ascii="Times New Roman" w:hAnsi="Times New Roman"/>
                <w:color w:val="000000"/>
                <w:sz w:val="22"/>
                <w:lang w:val="ru-RU"/>
              </w:rPr>
              <w:t>1, 8, 15, 22;</w:t>
            </w:r>
          </w:p>
          <w:p w14:paraId="3E55044F"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Ara</w:t>
            </w:r>
            <w:r w:rsidRPr="00FE6AC6">
              <w:rPr>
                <w:rFonts w:ascii="Times New Roman" w:hAnsi="Times New Roman"/>
                <w:color w:val="000000"/>
                <w:sz w:val="22"/>
                <w:lang w:val="ru-RU"/>
              </w:rPr>
              <w:t>-</w:t>
            </w:r>
            <w:r w:rsidRPr="00FE6AC6">
              <w:rPr>
                <w:rFonts w:ascii="Times New Roman" w:hAnsi="Times New Roman"/>
                <w:color w:val="000000"/>
                <w:sz w:val="22"/>
              </w:rPr>
              <w:t>C</w:t>
            </w:r>
            <w:r w:rsidRPr="00FE6AC6">
              <w:rPr>
                <w:rFonts w:ascii="Times New Roman" w:hAnsi="Times New Roman"/>
                <w:color w:val="000000"/>
                <w:sz w:val="22"/>
                <w:lang w:val="ru-RU"/>
              </w:rPr>
              <w:t> 40 </w:t>
            </w:r>
            <w:r w:rsidRPr="00FE6AC6">
              <w:rPr>
                <w:rFonts w:ascii="Times New Roman" w:hAnsi="Times New Roman"/>
                <w:color w:val="000000"/>
                <w:sz w:val="22"/>
              </w:rPr>
              <w:t>mg</w:t>
            </w:r>
            <w:r w:rsidRPr="00FE6AC6">
              <w:rPr>
                <w:rFonts w:ascii="Times New Roman" w:hAnsi="Times New Roman"/>
                <w:color w:val="000000"/>
                <w:sz w:val="22"/>
                <w:lang w:val="ru-RU"/>
              </w:rPr>
              <w:t xml:space="preserve"> интратекално, дни</w:t>
            </w:r>
            <w:r w:rsidRPr="00FE6AC6">
              <w:rPr>
                <w:rFonts w:ascii="Times New Roman" w:hAnsi="Times New Roman"/>
                <w:color w:val="000000"/>
                <w:sz w:val="22"/>
              </w:rPr>
              <w:t> </w:t>
            </w:r>
            <w:r w:rsidRPr="00FE6AC6">
              <w:rPr>
                <w:rFonts w:ascii="Times New Roman" w:hAnsi="Times New Roman"/>
                <w:color w:val="000000"/>
                <w:sz w:val="22"/>
                <w:lang w:val="ru-RU"/>
              </w:rPr>
              <w:t>1, 8, 15, 22;</w:t>
            </w:r>
          </w:p>
          <w:p w14:paraId="3E550450"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ru-RU"/>
              </w:rPr>
              <w:t>Метилпреднизолон 40 </w:t>
            </w:r>
            <w:r w:rsidRPr="00FE6AC6">
              <w:rPr>
                <w:rFonts w:ascii="Times New Roman" w:hAnsi="Times New Roman"/>
                <w:color w:val="000000"/>
                <w:sz w:val="22"/>
              </w:rPr>
              <w:t>mg</w:t>
            </w:r>
            <w:r w:rsidRPr="00FE6AC6">
              <w:rPr>
                <w:rFonts w:ascii="Times New Roman" w:hAnsi="Times New Roman"/>
                <w:color w:val="000000"/>
                <w:sz w:val="22"/>
                <w:lang w:val="ru-RU"/>
              </w:rPr>
              <w:t xml:space="preserve"> интратекално, дни</w:t>
            </w:r>
            <w:r w:rsidRPr="00FE6AC6">
              <w:rPr>
                <w:rFonts w:ascii="Times New Roman" w:hAnsi="Times New Roman"/>
                <w:color w:val="000000"/>
                <w:sz w:val="22"/>
              </w:rPr>
              <w:t> </w:t>
            </w:r>
            <w:r w:rsidRPr="00FE6AC6">
              <w:rPr>
                <w:rFonts w:ascii="Times New Roman" w:hAnsi="Times New Roman"/>
                <w:color w:val="000000"/>
                <w:sz w:val="22"/>
                <w:lang w:val="ru-RU"/>
              </w:rPr>
              <w:t>1, 8, 15, 22</w:t>
            </w:r>
          </w:p>
        </w:tc>
      </w:tr>
      <w:tr w:rsidR="001B628D" w:rsidRPr="004015AA" w14:paraId="3E550457" w14:textId="77777777" w:rsidTr="00EB1684">
        <w:trPr>
          <w:cantSplit/>
        </w:trPr>
        <w:tc>
          <w:tcPr>
            <w:tcW w:w="2148" w:type="dxa"/>
            <w:tcBorders>
              <w:top w:val="single" w:sz="4" w:space="0" w:color="auto"/>
              <w:bottom w:val="single" w:sz="4" w:space="0" w:color="auto"/>
            </w:tcBorders>
          </w:tcPr>
          <w:p w14:paraId="3E550452"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pt-BR"/>
              </w:rPr>
            </w:pPr>
            <w:r w:rsidRPr="00FE6AC6">
              <w:rPr>
                <w:rFonts w:ascii="Times New Roman" w:hAnsi="Times New Roman"/>
                <w:color w:val="000000"/>
                <w:sz w:val="22"/>
                <w:lang w:val="bg-BG"/>
              </w:rPr>
              <w:t>Консолидация</w:t>
            </w:r>
            <w:r w:rsidRPr="00FE6AC6">
              <w:rPr>
                <w:rFonts w:ascii="Times New Roman" w:hAnsi="Times New Roman"/>
                <w:color w:val="000000"/>
                <w:sz w:val="22"/>
                <w:lang w:val="pt-BR"/>
              </w:rPr>
              <w:t xml:space="preserve"> (</w:t>
            </w:r>
            <w:r w:rsidRPr="00FE6AC6">
              <w:rPr>
                <w:rFonts w:ascii="Times New Roman" w:hAnsi="Times New Roman"/>
                <w:i/>
                <w:color w:val="000000"/>
                <w:sz w:val="22"/>
                <w:lang w:val="pt-BR"/>
              </w:rPr>
              <w:t>de novo</w:t>
            </w:r>
            <w:r w:rsidRPr="00FE6AC6">
              <w:rPr>
                <w:rFonts w:ascii="Times New Roman" w:hAnsi="Times New Roman"/>
                <w:color w:val="000000"/>
                <w:sz w:val="22"/>
                <w:lang w:val="pt-BR"/>
              </w:rPr>
              <w:t xml:space="preserve"> Ph+ </w:t>
            </w:r>
            <w:r w:rsidRPr="00FE6AC6">
              <w:rPr>
                <w:rFonts w:ascii="Times New Roman" w:hAnsi="Times New Roman"/>
                <w:color w:val="000000"/>
                <w:sz w:val="22"/>
                <w:lang w:val="bg-BG"/>
              </w:rPr>
              <w:t>ОЛЛ</w:t>
            </w:r>
            <w:r w:rsidRPr="00FE6AC6">
              <w:rPr>
                <w:rFonts w:ascii="Times New Roman" w:hAnsi="Times New Roman"/>
                <w:color w:val="000000"/>
                <w:sz w:val="22"/>
                <w:lang w:val="pt-BR"/>
              </w:rPr>
              <w:t>)</w:t>
            </w:r>
          </w:p>
        </w:tc>
        <w:tc>
          <w:tcPr>
            <w:tcW w:w="6732" w:type="dxa"/>
            <w:gridSpan w:val="4"/>
            <w:tcBorders>
              <w:top w:val="single" w:sz="4" w:space="0" w:color="auto"/>
              <w:bottom w:val="single" w:sz="4" w:space="0" w:color="auto"/>
            </w:tcBorders>
          </w:tcPr>
          <w:p w14:paraId="3E550453"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pt-BR"/>
              </w:rPr>
              <w:t>Ara-C 1</w:t>
            </w:r>
            <w:r w:rsidRPr="00FE6AC6">
              <w:rPr>
                <w:rFonts w:ascii="Times New Roman" w:hAnsi="Times New Roman"/>
                <w:color w:val="000000"/>
                <w:sz w:val="22"/>
                <w:lang w:val="bg-BG"/>
              </w:rPr>
              <w:t> </w:t>
            </w:r>
            <w:r w:rsidRPr="00FE6AC6">
              <w:rPr>
                <w:rFonts w:ascii="Times New Roman" w:hAnsi="Times New Roman"/>
                <w:color w:val="000000"/>
                <w:sz w:val="22"/>
                <w:lang w:val="pt-BR"/>
              </w:rPr>
              <w:t>000 mg/m</w:t>
            </w:r>
            <w:r w:rsidRPr="00FE6AC6">
              <w:rPr>
                <w:rFonts w:ascii="Times New Roman" w:hAnsi="Times New Roman"/>
                <w:color w:val="000000"/>
                <w:sz w:val="22"/>
                <w:vertAlign w:val="superscript"/>
                <w:lang w:val="pt-BR"/>
              </w:rPr>
              <w:t>2</w:t>
            </w:r>
            <w:r w:rsidRPr="00FE6AC6">
              <w:rPr>
                <w:rFonts w:ascii="Times New Roman" w:hAnsi="Times New Roman"/>
                <w:color w:val="000000"/>
                <w:sz w:val="22"/>
                <w:lang w:val="pt-BR"/>
              </w:rPr>
              <w:t>/12 </w:t>
            </w:r>
            <w:r w:rsidRPr="00FE6AC6">
              <w:rPr>
                <w:rFonts w:ascii="Times New Roman" w:hAnsi="Times New Roman"/>
                <w:color w:val="000000"/>
                <w:sz w:val="22"/>
                <w:lang w:val="bg-BG"/>
              </w:rPr>
              <w:t xml:space="preserve">часа </w:t>
            </w:r>
            <w:r w:rsidRPr="00FE6AC6">
              <w:rPr>
                <w:rFonts w:ascii="Times New Roman" w:hAnsi="Times New Roman"/>
                <w:color w:val="000000"/>
                <w:sz w:val="22"/>
                <w:lang w:val="pt-BR"/>
              </w:rPr>
              <w:t>i.v.(3 </w:t>
            </w:r>
            <w:r w:rsidRPr="00FE6AC6">
              <w:rPr>
                <w:rFonts w:ascii="Times New Roman" w:hAnsi="Times New Roman"/>
                <w:color w:val="000000"/>
                <w:sz w:val="22"/>
                <w:lang w:val="bg-BG"/>
              </w:rPr>
              <w:t>часа)</w:t>
            </w:r>
            <w:r w:rsidRPr="00FE6AC6">
              <w:rPr>
                <w:rFonts w:ascii="Times New Roman" w:hAnsi="Times New Roman"/>
                <w:color w:val="000000"/>
                <w:sz w:val="22"/>
                <w:lang w:val="pt-BR"/>
              </w:rPr>
              <w:t xml:space="preserve">, </w:t>
            </w:r>
            <w:r w:rsidRPr="00FE6AC6">
              <w:rPr>
                <w:rFonts w:ascii="Times New Roman" w:hAnsi="Times New Roman"/>
                <w:color w:val="000000"/>
                <w:sz w:val="22"/>
                <w:lang w:val="ru-RU"/>
              </w:rPr>
              <w:t>дни</w:t>
            </w:r>
            <w:r w:rsidRPr="00FE6AC6">
              <w:rPr>
                <w:rFonts w:ascii="Times New Roman" w:hAnsi="Times New Roman"/>
                <w:color w:val="000000"/>
                <w:sz w:val="22"/>
                <w:lang w:val="pt-BR"/>
              </w:rPr>
              <w:t> 1-4;</w:t>
            </w:r>
          </w:p>
          <w:p w14:paraId="3E550454"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М</w:t>
            </w:r>
            <w:r w:rsidRPr="00FE6AC6">
              <w:rPr>
                <w:rFonts w:ascii="Times New Roman" w:hAnsi="Times New Roman"/>
                <w:color w:val="000000"/>
                <w:sz w:val="22"/>
                <w:lang w:val="ru-RU"/>
              </w:rPr>
              <w:t>итоксантрон</w:t>
            </w:r>
            <w:r w:rsidRPr="00FE6AC6">
              <w:rPr>
                <w:rFonts w:ascii="Times New Roman" w:hAnsi="Times New Roman"/>
                <w:color w:val="000000"/>
                <w:sz w:val="22"/>
                <w:lang w:val="pt-BR"/>
              </w:rPr>
              <w:t> 10 mg/m</w:t>
            </w:r>
            <w:r w:rsidRPr="00FE6AC6">
              <w:rPr>
                <w:rFonts w:ascii="Times New Roman" w:hAnsi="Times New Roman"/>
                <w:color w:val="000000"/>
                <w:sz w:val="22"/>
                <w:vertAlign w:val="superscript"/>
                <w:lang w:val="pt-BR"/>
              </w:rPr>
              <w:t>2 </w:t>
            </w:r>
            <w:r w:rsidRPr="00FE6AC6">
              <w:rPr>
                <w:rFonts w:ascii="Times New Roman" w:hAnsi="Times New Roman"/>
                <w:color w:val="000000"/>
                <w:sz w:val="22"/>
                <w:lang w:val="pt-BR"/>
              </w:rPr>
              <w:t xml:space="preserve">i.v. </w:t>
            </w:r>
            <w:r w:rsidRPr="00FE6AC6">
              <w:rPr>
                <w:rFonts w:ascii="Times New Roman" w:hAnsi="Times New Roman"/>
                <w:color w:val="000000"/>
                <w:sz w:val="22"/>
                <w:lang w:val="ru-RU"/>
              </w:rPr>
              <w:t>дни</w:t>
            </w:r>
            <w:r w:rsidRPr="00FE6AC6">
              <w:rPr>
                <w:rFonts w:ascii="Times New Roman" w:hAnsi="Times New Roman"/>
                <w:color w:val="000000"/>
                <w:sz w:val="22"/>
                <w:lang w:val="pt-BR"/>
              </w:rPr>
              <w:t> 3-5;</w:t>
            </w:r>
          </w:p>
          <w:p w14:paraId="3E550455"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pt-BR"/>
              </w:rPr>
              <w:t xml:space="preserve">MTX 15 mg </w:t>
            </w:r>
            <w:r w:rsidRPr="00FE6AC6">
              <w:rPr>
                <w:rFonts w:ascii="Times New Roman" w:hAnsi="Times New Roman"/>
                <w:color w:val="000000"/>
                <w:sz w:val="22"/>
                <w:lang w:val="ru-RU"/>
              </w:rPr>
              <w:t>интратекално</w:t>
            </w:r>
            <w:r w:rsidRPr="00FE6AC6">
              <w:rPr>
                <w:rFonts w:ascii="Times New Roman" w:hAnsi="Times New Roman"/>
                <w:color w:val="000000"/>
                <w:sz w:val="22"/>
                <w:lang w:val="pt-BR"/>
              </w:rPr>
              <w:t xml:space="preserve">, </w:t>
            </w:r>
            <w:r w:rsidRPr="00FE6AC6">
              <w:rPr>
                <w:rFonts w:ascii="Times New Roman" w:hAnsi="Times New Roman"/>
                <w:color w:val="000000"/>
                <w:sz w:val="22"/>
                <w:lang w:val="ru-RU"/>
              </w:rPr>
              <w:t>ден</w:t>
            </w:r>
            <w:r w:rsidRPr="00FE6AC6">
              <w:rPr>
                <w:rFonts w:ascii="Times New Roman" w:hAnsi="Times New Roman"/>
                <w:color w:val="000000"/>
                <w:sz w:val="22"/>
                <w:lang w:val="pt-BR"/>
              </w:rPr>
              <w:t> 1;</w:t>
            </w:r>
          </w:p>
          <w:p w14:paraId="3E550456"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pt-BR"/>
              </w:rPr>
            </w:pPr>
            <w:r w:rsidRPr="00FE6AC6">
              <w:rPr>
                <w:rFonts w:ascii="Times New Roman" w:hAnsi="Times New Roman"/>
                <w:color w:val="000000"/>
                <w:sz w:val="22"/>
                <w:lang w:val="bg-BG"/>
              </w:rPr>
              <w:t>М</w:t>
            </w:r>
            <w:r w:rsidRPr="00FE6AC6">
              <w:rPr>
                <w:rFonts w:ascii="Times New Roman" w:hAnsi="Times New Roman"/>
                <w:color w:val="000000"/>
                <w:sz w:val="22"/>
                <w:lang w:val="ru-RU"/>
              </w:rPr>
              <w:t>етилпреднизолон</w:t>
            </w:r>
            <w:r w:rsidRPr="00FE6AC6">
              <w:rPr>
                <w:rFonts w:ascii="Times New Roman" w:hAnsi="Times New Roman"/>
                <w:color w:val="000000"/>
                <w:sz w:val="22"/>
                <w:lang w:val="pt-BR"/>
              </w:rPr>
              <w:t xml:space="preserve"> 40 mg </w:t>
            </w:r>
            <w:r w:rsidRPr="00FE6AC6">
              <w:rPr>
                <w:rFonts w:ascii="Times New Roman" w:hAnsi="Times New Roman"/>
                <w:color w:val="000000"/>
                <w:sz w:val="22"/>
                <w:lang w:val="ru-RU"/>
              </w:rPr>
              <w:t>интратекално</w:t>
            </w:r>
            <w:r w:rsidRPr="00FE6AC6">
              <w:rPr>
                <w:rFonts w:ascii="Times New Roman" w:hAnsi="Times New Roman"/>
                <w:color w:val="000000"/>
                <w:sz w:val="22"/>
                <w:lang w:val="pt-BR"/>
              </w:rPr>
              <w:t>, day 1</w:t>
            </w:r>
          </w:p>
        </w:tc>
      </w:tr>
      <w:tr w:rsidR="001B628D" w:rsidRPr="00FE6AC6" w14:paraId="3E55045C" w14:textId="77777777" w:rsidTr="00EB1684">
        <w:trPr>
          <w:cantSplit/>
        </w:trPr>
        <w:tc>
          <w:tcPr>
            <w:tcW w:w="4800" w:type="dxa"/>
            <w:gridSpan w:val="2"/>
            <w:tcBorders>
              <w:top w:val="single" w:sz="4" w:space="0" w:color="auto"/>
              <w:bottom w:val="single" w:sz="4" w:space="0" w:color="auto"/>
            </w:tcBorders>
          </w:tcPr>
          <w:p w14:paraId="3E550458" w14:textId="77777777" w:rsidR="001B628D" w:rsidRPr="00FE6AC6" w:rsidRDefault="001B628D" w:rsidP="00C90F9F">
            <w:pPr>
              <w:pStyle w:val="Table"/>
              <w:keepLines w:val="0"/>
              <w:widowControl w:val="0"/>
              <w:spacing w:before="0" w:after="0"/>
              <w:rPr>
                <w:rFonts w:ascii="Times New Roman" w:hAnsi="Times New Roman"/>
                <w:b/>
                <w:color w:val="000000"/>
                <w:sz w:val="22"/>
              </w:rPr>
            </w:pPr>
            <w:r w:rsidRPr="00FE6AC6">
              <w:rPr>
                <w:rFonts w:ascii="Times New Roman" w:hAnsi="Times New Roman"/>
                <w:b/>
                <w:color w:val="000000"/>
                <w:sz w:val="22"/>
              </w:rPr>
              <w:t>Study ADE04</w:t>
            </w:r>
          </w:p>
        </w:tc>
        <w:tc>
          <w:tcPr>
            <w:tcW w:w="1080" w:type="dxa"/>
            <w:tcBorders>
              <w:top w:val="single" w:sz="4" w:space="0" w:color="auto"/>
              <w:bottom w:val="single" w:sz="4" w:space="0" w:color="auto"/>
            </w:tcBorders>
          </w:tcPr>
          <w:p w14:paraId="3E550459" w14:textId="77777777" w:rsidR="001B628D" w:rsidRPr="00FE6AC6" w:rsidRDefault="001B628D" w:rsidP="00C90F9F">
            <w:pPr>
              <w:pStyle w:val="Table"/>
              <w:keepLines w:val="0"/>
              <w:widowControl w:val="0"/>
              <w:spacing w:before="0" w:after="0"/>
              <w:rPr>
                <w:rFonts w:ascii="Times New Roman" w:hAnsi="Times New Roman"/>
                <w:color w:val="000000"/>
                <w:sz w:val="22"/>
              </w:rPr>
            </w:pPr>
          </w:p>
        </w:tc>
        <w:tc>
          <w:tcPr>
            <w:tcW w:w="1380" w:type="dxa"/>
            <w:tcBorders>
              <w:top w:val="single" w:sz="4" w:space="0" w:color="auto"/>
              <w:bottom w:val="single" w:sz="4" w:space="0" w:color="auto"/>
            </w:tcBorders>
          </w:tcPr>
          <w:p w14:paraId="3E55045A" w14:textId="77777777" w:rsidR="001B628D" w:rsidRPr="00FE6AC6" w:rsidRDefault="001B628D" w:rsidP="00C90F9F">
            <w:pPr>
              <w:pStyle w:val="Table"/>
              <w:keepLines w:val="0"/>
              <w:widowControl w:val="0"/>
              <w:spacing w:before="0" w:after="0"/>
              <w:rPr>
                <w:rFonts w:ascii="Times New Roman" w:hAnsi="Times New Roman"/>
                <w:color w:val="000000"/>
                <w:sz w:val="22"/>
              </w:rPr>
            </w:pPr>
          </w:p>
        </w:tc>
        <w:tc>
          <w:tcPr>
            <w:tcW w:w="1620" w:type="dxa"/>
            <w:tcBorders>
              <w:top w:val="single" w:sz="4" w:space="0" w:color="auto"/>
              <w:bottom w:val="single" w:sz="4" w:space="0" w:color="auto"/>
            </w:tcBorders>
          </w:tcPr>
          <w:p w14:paraId="3E55045B" w14:textId="77777777" w:rsidR="001B628D" w:rsidRPr="00FE6AC6" w:rsidRDefault="001B628D" w:rsidP="00C90F9F">
            <w:pPr>
              <w:pStyle w:val="Table"/>
              <w:keepLines w:val="0"/>
              <w:widowControl w:val="0"/>
              <w:spacing w:before="0" w:after="0"/>
              <w:rPr>
                <w:rFonts w:ascii="Times New Roman" w:hAnsi="Times New Roman"/>
                <w:color w:val="000000"/>
                <w:sz w:val="22"/>
              </w:rPr>
            </w:pPr>
          </w:p>
        </w:tc>
      </w:tr>
      <w:tr w:rsidR="001B628D" w:rsidRPr="00FE6AC6" w14:paraId="3E550461" w14:textId="77777777" w:rsidTr="00EB1684">
        <w:trPr>
          <w:cantSplit/>
        </w:trPr>
        <w:tc>
          <w:tcPr>
            <w:tcW w:w="2148" w:type="dxa"/>
            <w:tcBorders>
              <w:top w:val="single" w:sz="4" w:space="0" w:color="auto"/>
              <w:bottom w:val="single" w:sz="4" w:space="0" w:color="auto"/>
            </w:tcBorders>
          </w:tcPr>
          <w:p w14:paraId="3E55045D"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Префаза</w:t>
            </w:r>
          </w:p>
        </w:tc>
        <w:tc>
          <w:tcPr>
            <w:tcW w:w="6732" w:type="dxa"/>
            <w:gridSpan w:val="4"/>
            <w:tcBorders>
              <w:top w:val="single" w:sz="4" w:space="0" w:color="auto"/>
              <w:bottom w:val="single" w:sz="4" w:space="0" w:color="auto"/>
            </w:tcBorders>
          </w:tcPr>
          <w:p w14:paraId="3E55045E"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5045F"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CP </w:t>
            </w:r>
            <w:r w:rsidRPr="00FE6AC6">
              <w:rPr>
                <w:rFonts w:ascii="Times New Roman" w:hAnsi="Times New Roman"/>
                <w:color w:val="000000"/>
                <w:sz w:val="22"/>
                <w:lang w:val="bg-BG"/>
              </w:rPr>
              <w:t>200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дни</w:t>
            </w:r>
            <w:r w:rsidRPr="00FE6AC6">
              <w:rPr>
                <w:rFonts w:ascii="Times New Roman" w:hAnsi="Times New Roman"/>
                <w:color w:val="000000"/>
                <w:sz w:val="22"/>
              </w:rPr>
              <w:t> </w:t>
            </w:r>
            <w:r w:rsidRPr="00FE6AC6">
              <w:rPr>
                <w:rFonts w:ascii="Times New Roman" w:hAnsi="Times New Roman"/>
                <w:color w:val="000000"/>
                <w:sz w:val="22"/>
                <w:lang w:val="bg-BG"/>
              </w:rPr>
              <w:t>3-5;</w:t>
            </w:r>
          </w:p>
          <w:p w14:paraId="3E550460"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MTX </w:t>
            </w:r>
            <w:r w:rsidRPr="00FE6AC6">
              <w:rPr>
                <w:rFonts w:ascii="Times New Roman" w:hAnsi="Times New Roman"/>
                <w:color w:val="000000"/>
                <w:sz w:val="22"/>
                <w:lang w:val="bg-BG"/>
              </w:rPr>
              <w:t>15</w:t>
            </w:r>
            <w:r w:rsidRPr="00FE6AC6">
              <w:rPr>
                <w:rFonts w:ascii="Times New Roman" w:hAnsi="Times New Roman"/>
                <w:color w:val="000000"/>
                <w:sz w:val="22"/>
              </w:rPr>
              <w:t> mg</w:t>
            </w:r>
            <w:r w:rsidRPr="00FE6AC6">
              <w:rPr>
                <w:rFonts w:ascii="Times New Roman" w:hAnsi="Times New Roman"/>
                <w:color w:val="000000"/>
                <w:sz w:val="22"/>
                <w:lang w:val="bg-BG"/>
              </w:rPr>
              <w:t xml:space="preserve"> интратекално ден 1</w:t>
            </w:r>
          </w:p>
        </w:tc>
      </w:tr>
      <w:tr w:rsidR="001B628D" w:rsidRPr="004015AA" w14:paraId="3E550466" w14:textId="77777777" w:rsidTr="00EB1684">
        <w:trPr>
          <w:cantSplit/>
        </w:trPr>
        <w:tc>
          <w:tcPr>
            <w:tcW w:w="2148" w:type="dxa"/>
            <w:tcBorders>
              <w:top w:val="single" w:sz="4" w:space="0" w:color="auto"/>
              <w:bottom w:val="single" w:sz="4" w:space="0" w:color="auto"/>
            </w:tcBorders>
          </w:tcPr>
          <w:p w14:paraId="3E550462"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Индукционна терапия</w:t>
            </w:r>
            <w:r w:rsidRPr="00FE6AC6">
              <w:rPr>
                <w:rFonts w:ascii="Times New Roman" w:hAnsi="Times New Roman"/>
                <w:color w:val="000000"/>
                <w:sz w:val="22"/>
              </w:rPr>
              <w:t xml:space="preserve"> I</w:t>
            </w:r>
          </w:p>
        </w:tc>
        <w:tc>
          <w:tcPr>
            <w:tcW w:w="6732" w:type="dxa"/>
            <w:gridSpan w:val="4"/>
            <w:tcBorders>
              <w:top w:val="single" w:sz="4" w:space="0" w:color="auto"/>
              <w:bottom w:val="single" w:sz="4" w:space="0" w:color="auto"/>
            </w:tcBorders>
          </w:tcPr>
          <w:p w14:paraId="3E550463"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50464"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VCR </w:t>
            </w:r>
            <w:r w:rsidRPr="00FE6AC6">
              <w:rPr>
                <w:rFonts w:ascii="Times New Roman" w:hAnsi="Times New Roman"/>
                <w:color w:val="000000"/>
                <w:sz w:val="22"/>
                <w:lang w:val="bg-BG"/>
              </w:rPr>
              <w:t>2</w:t>
            </w:r>
            <w:r w:rsidRPr="00FE6AC6">
              <w:rPr>
                <w:rFonts w:ascii="Times New Roman" w:hAnsi="Times New Roman"/>
                <w:color w:val="000000"/>
                <w:sz w:val="22"/>
              </w:rPr>
              <w:t> mg</w:t>
            </w:r>
            <w:r w:rsidRPr="00FE6AC6">
              <w:rPr>
                <w:rFonts w:ascii="Times New Roman" w:hAnsi="Times New Roman"/>
                <w:color w:val="000000"/>
                <w:sz w:val="22"/>
                <w:lang w:val="bg-BG"/>
              </w:rPr>
              <w:t xml:space="preserve">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дни</w:t>
            </w:r>
            <w:r w:rsidRPr="00FE6AC6">
              <w:rPr>
                <w:rFonts w:ascii="Times New Roman" w:hAnsi="Times New Roman"/>
                <w:color w:val="000000"/>
                <w:sz w:val="22"/>
              </w:rPr>
              <w:t> </w:t>
            </w:r>
            <w:r w:rsidRPr="00FE6AC6">
              <w:rPr>
                <w:rFonts w:ascii="Times New Roman" w:hAnsi="Times New Roman"/>
                <w:color w:val="000000"/>
                <w:sz w:val="22"/>
                <w:lang w:val="bg-BG"/>
              </w:rPr>
              <w:t>6,</w:t>
            </w:r>
            <w:r w:rsidRPr="00FE6AC6">
              <w:rPr>
                <w:rFonts w:ascii="Times New Roman" w:hAnsi="Times New Roman"/>
                <w:color w:val="000000"/>
                <w:sz w:val="22"/>
              </w:rPr>
              <w:t> </w:t>
            </w:r>
            <w:r w:rsidRPr="00FE6AC6">
              <w:rPr>
                <w:rFonts w:ascii="Times New Roman" w:hAnsi="Times New Roman"/>
                <w:color w:val="000000"/>
                <w:sz w:val="22"/>
                <w:lang w:val="bg-BG"/>
              </w:rPr>
              <w:t>13,</w:t>
            </w:r>
            <w:r w:rsidRPr="00FE6AC6">
              <w:rPr>
                <w:rFonts w:ascii="Times New Roman" w:hAnsi="Times New Roman"/>
                <w:color w:val="000000"/>
                <w:sz w:val="22"/>
              </w:rPr>
              <w:t> </w:t>
            </w:r>
            <w:r w:rsidRPr="00FE6AC6">
              <w:rPr>
                <w:rFonts w:ascii="Times New Roman" w:hAnsi="Times New Roman"/>
                <w:color w:val="000000"/>
                <w:sz w:val="22"/>
                <w:lang w:val="bg-BG"/>
              </w:rPr>
              <w:t>20;</w:t>
            </w:r>
          </w:p>
          <w:p w14:paraId="3E550465"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Даунорубицин</w:t>
            </w:r>
            <w:r w:rsidRPr="00FE6AC6">
              <w:rPr>
                <w:rFonts w:ascii="Times New Roman" w:hAnsi="Times New Roman"/>
                <w:color w:val="000000"/>
                <w:sz w:val="22"/>
              </w:rPr>
              <w:t> </w:t>
            </w:r>
            <w:r w:rsidRPr="00FE6AC6">
              <w:rPr>
                <w:rFonts w:ascii="Times New Roman" w:hAnsi="Times New Roman"/>
                <w:color w:val="000000"/>
                <w:sz w:val="22"/>
                <w:lang w:val="bg-BG"/>
              </w:rPr>
              <w:t>45</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дни</w:t>
            </w:r>
            <w:r w:rsidRPr="00FE6AC6">
              <w:rPr>
                <w:rFonts w:ascii="Times New Roman" w:hAnsi="Times New Roman"/>
                <w:color w:val="000000"/>
                <w:sz w:val="22"/>
              </w:rPr>
              <w:t> </w:t>
            </w:r>
            <w:r w:rsidRPr="00FE6AC6">
              <w:rPr>
                <w:rFonts w:ascii="Times New Roman" w:hAnsi="Times New Roman"/>
                <w:color w:val="000000"/>
                <w:sz w:val="22"/>
                <w:lang w:val="bg-BG"/>
              </w:rPr>
              <w:t>6-7,</w:t>
            </w:r>
            <w:r w:rsidRPr="00FE6AC6">
              <w:rPr>
                <w:rFonts w:ascii="Times New Roman" w:hAnsi="Times New Roman"/>
                <w:color w:val="000000"/>
                <w:sz w:val="22"/>
              </w:rPr>
              <w:t> </w:t>
            </w:r>
            <w:r w:rsidRPr="00FE6AC6">
              <w:rPr>
                <w:rFonts w:ascii="Times New Roman" w:hAnsi="Times New Roman"/>
                <w:color w:val="000000"/>
                <w:sz w:val="22"/>
                <w:lang w:val="bg-BG"/>
              </w:rPr>
              <w:t>13-14</w:t>
            </w:r>
          </w:p>
        </w:tc>
      </w:tr>
      <w:tr w:rsidR="001B628D" w:rsidRPr="004015AA" w14:paraId="3E55046B" w14:textId="77777777" w:rsidTr="00EB1684">
        <w:trPr>
          <w:cantSplit/>
        </w:trPr>
        <w:tc>
          <w:tcPr>
            <w:tcW w:w="2148" w:type="dxa"/>
            <w:tcBorders>
              <w:top w:val="single" w:sz="4" w:space="0" w:color="auto"/>
              <w:bottom w:val="single" w:sz="4" w:space="0" w:color="auto"/>
            </w:tcBorders>
          </w:tcPr>
          <w:p w14:paraId="3E550467"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Индукционна терапия</w:t>
            </w:r>
            <w:r w:rsidRPr="00FE6AC6">
              <w:rPr>
                <w:rFonts w:ascii="Times New Roman" w:hAnsi="Times New Roman"/>
                <w:color w:val="000000"/>
                <w:sz w:val="22"/>
              </w:rPr>
              <w:t xml:space="preserve"> II</w:t>
            </w:r>
          </w:p>
        </w:tc>
        <w:tc>
          <w:tcPr>
            <w:tcW w:w="6732" w:type="dxa"/>
            <w:gridSpan w:val="4"/>
            <w:tcBorders>
              <w:top w:val="single" w:sz="4" w:space="0" w:color="auto"/>
              <w:bottom w:val="single" w:sz="4" w:space="0" w:color="auto"/>
            </w:tcBorders>
          </w:tcPr>
          <w:p w14:paraId="3E550468"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CP 1 g/m</w:t>
            </w:r>
            <w:r w:rsidRPr="00FE6AC6">
              <w:rPr>
                <w:rFonts w:ascii="Times New Roman" w:hAnsi="Times New Roman"/>
                <w:color w:val="000000"/>
                <w:sz w:val="22"/>
                <w:vertAlign w:val="superscript"/>
              </w:rPr>
              <w:t>2 </w:t>
            </w:r>
            <w:r w:rsidRPr="00FE6AC6">
              <w:rPr>
                <w:rFonts w:ascii="Times New Roman" w:hAnsi="Times New Roman"/>
                <w:color w:val="000000"/>
                <w:sz w:val="22"/>
              </w:rPr>
              <w:t>i.v. (1 </w:t>
            </w:r>
            <w:r w:rsidRPr="00FE6AC6">
              <w:rPr>
                <w:rFonts w:ascii="Times New Roman" w:hAnsi="Times New Roman"/>
                <w:color w:val="000000"/>
                <w:sz w:val="22"/>
                <w:lang w:val="bg-BG"/>
              </w:rPr>
              <w:t>час)</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26, 46;</w:t>
            </w:r>
          </w:p>
          <w:p w14:paraId="3E550469"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Ara</w:t>
            </w:r>
            <w:r w:rsidRPr="00FE6AC6">
              <w:rPr>
                <w:rFonts w:ascii="Times New Roman" w:hAnsi="Times New Roman"/>
                <w:color w:val="000000"/>
                <w:sz w:val="22"/>
                <w:lang w:val="bg-BG"/>
              </w:rPr>
              <w:t>-</w:t>
            </w:r>
            <w:r w:rsidRPr="00FE6AC6">
              <w:rPr>
                <w:rFonts w:ascii="Times New Roman" w:hAnsi="Times New Roman"/>
                <w:color w:val="000000"/>
                <w:sz w:val="22"/>
              </w:rPr>
              <w:t>C </w:t>
            </w:r>
            <w:r w:rsidRPr="00FE6AC6">
              <w:rPr>
                <w:rFonts w:ascii="Times New Roman" w:hAnsi="Times New Roman"/>
                <w:color w:val="000000"/>
                <w:sz w:val="22"/>
                <w:lang w:val="bg-BG"/>
              </w:rPr>
              <w:t>75</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(1</w:t>
            </w:r>
            <w:r w:rsidRPr="00FE6AC6">
              <w:rPr>
                <w:rFonts w:ascii="Times New Roman" w:hAnsi="Times New Roman"/>
                <w:color w:val="000000"/>
                <w:sz w:val="22"/>
              </w:rPr>
              <w:t> </w:t>
            </w:r>
            <w:r w:rsidRPr="00FE6AC6">
              <w:rPr>
                <w:rFonts w:ascii="Times New Roman" w:hAnsi="Times New Roman"/>
                <w:color w:val="000000"/>
                <w:sz w:val="22"/>
                <w:lang w:val="bg-BG"/>
              </w:rPr>
              <w:t>час), дни</w:t>
            </w:r>
            <w:r w:rsidRPr="00FE6AC6">
              <w:rPr>
                <w:rFonts w:ascii="Times New Roman" w:hAnsi="Times New Roman"/>
                <w:color w:val="000000"/>
                <w:sz w:val="22"/>
              </w:rPr>
              <w:t> </w:t>
            </w:r>
            <w:r w:rsidRPr="00FE6AC6">
              <w:rPr>
                <w:rFonts w:ascii="Times New Roman" w:hAnsi="Times New Roman"/>
                <w:color w:val="000000"/>
                <w:sz w:val="22"/>
                <w:lang w:val="bg-BG"/>
              </w:rPr>
              <w:t>28-31,</w:t>
            </w:r>
            <w:r w:rsidRPr="00FE6AC6">
              <w:rPr>
                <w:rFonts w:ascii="Times New Roman" w:hAnsi="Times New Roman"/>
                <w:color w:val="000000"/>
                <w:sz w:val="22"/>
              </w:rPr>
              <w:t> </w:t>
            </w:r>
            <w:r w:rsidRPr="00FE6AC6">
              <w:rPr>
                <w:rFonts w:ascii="Times New Roman" w:hAnsi="Times New Roman"/>
                <w:color w:val="000000"/>
                <w:sz w:val="22"/>
                <w:lang w:val="bg-BG"/>
              </w:rPr>
              <w:t>35-38,</w:t>
            </w:r>
            <w:r w:rsidRPr="00FE6AC6">
              <w:rPr>
                <w:rFonts w:ascii="Times New Roman" w:hAnsi="Times New Roman"/>
                <w:color w:val="000000"/>
                <w:sz w:val="22"/>
              </w:rPr>
              <w:t> </w:t>
            </w:r>
            <w:r w:rsidRPr="00FE6AC6">
              <w:rPr>
                <w:rFonts w:ascii="Times New Roman" w:hAnsi="Times New Roman"/>
                <w:color w:val="000000"/>
                <w:sz w:val="22"/>
                <w:lang w:val="bg-BG"/>
              </w:rPr>
              <w:t>42-45;</w:t>
            </w:r>
          </w:p>
          <w:p w14:paraId="3E55046A"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6-</w:t>
            </w:r>
            <w:r w:rsidRPr="00FE6AC6">
              <w:rPr>
                <w:rFonts w:ascii="Times New Roman" w:hAnsi="Times New Roman"/>
                <w:color w:val="000000"/>
                <w:sz w:val="22"/>
              </w:rPr>
              <w:t>MP </w:t>
            </w:r>
            <w:r w:rsidRPr="00FE6AC6">
              <w:rPr>
                <w:rFonts w:ascii="Times New Roman" w:hAnsi="Times New Roman"/>
                <w:color w:val="000000"/>
                <w:sz w:val="22"/>
                <w:lang w:val="bg-BG"/>
              </w:rPr>
              <w:t>60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lang w:val="bg-BG"/>
              </w:rPr>
              <w:t>перорално, дни</w:t>
            </w:r>
            <w:r w:rsidRPr="00FE6AC6">
              <w:rPr>
                <w:rFonts w:ascii="Times New Roman" w:hAnsi="Times New Roman"/>
                <w:color w:val="000000"/>
                <w:sz w:val="22"/>
              </w:rPr>
              <w:t> </w:t>
            </w:r>
            <w:r w:rsidRPr="00FE6AC6">
              <w:rPr>
                <w:rFonts w:ascii="Times New Roman" w:hAnsi="Times New Roman"/>
                <w:color w:val="000000"/>
                <w:sz w:val="22"/>
                <w:lang w:val="bg-BG"/>
              </w:rPr>
              <w:t>26-46</w:t>
            </w:r>
          </w:p>
        </w:tc>
      </w:tr>
      <w:tr w:rsidR="001B628D" w:rsidRPr="004015AA" w14:paraId="3E550472" w14:textId="77777777" w:rsidTr="00EB1684">
        <w:trPr>
          <w:cantSplit/>
        </w:trPr>
        <w:tc>
          <w:tcPr>
            <w:tcW w:w="2148" w:type="dxa"/>
            <w:tcBorders>
              <w:top w:val="nil"/>
              <w:bottom w:val="single" w:sz="4" w:space="0" w:color="auto"/>
            </w:tcBorders>
          </w:tcPr>
          <w:p w14:paraId="3E55046C" w14:textId="77777777" w:rsidR="001B628D" w:rsidRPr="00FE6AC6" w:rsidRDefault="001B628D" w:rsidP="00C90F9F">
            <w:pPr>
              <w:pStyle w:val="Table"/>
              <w:keepNext w:val="0"/>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Консолидационна терапия</w:t>
            </w:r>
          </w:p>
        </w:tc>
        <w:tc>
          <w:tcPr>
            <w:tcW w:w="6732" w:type="dxa"/>
            <w:gridSpan w:val="4"/>
            <w:tcBorders>
              <w:top w:val="nil"/>
              <w:bottom w:val="single" w:sz="4" w:space="0" w:color="auto"/>
            </w:tcBorders>
          </w:tcPr>
          <w:p w14:paraId="3E55046D"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DEX 10 mg/m</w:t>
            </w:r>
            <w:r w:rsidRPr="00FE6AC6">
              <w:rPr>
                <w:rFonts w:ascii="Times New Roman" w:hAnsi="Times New Roman"/>
                <w:color w:val="000000"/>
                <w:sz w:val="22"/>
                <w:vertAlign w:val="superscript"/>
              </w:rPr>
              <w:t xml:space="preserve">2 </w:t>
            </w:r>
            <w:r w:rsidRPr="00FE6AC6">
              <w:rPr>
                <w:rFonts w:ascii="Times New Roman" w:hAnsi="Times New Roman"/>
                <w:color w:val="000000"/>
                <w:sz w:val="22"/>
                <w:lang w:val="bg-BG"/>
              </w:rPr>
              <w:t>перорално</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1-5;</w:t>
            </w:r>
          </w:p>
          <w:p w14:paraId="3E55046E"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Виндезин</w:t>
            </w:r>
            <w:r w:rsidRPr="00FE6AC6">
              <w:rPr>
                <w:rFonts w:ascii="Times New Roman" w:hAnsi="Times New Roman"/>
                <w:color w:val="000000"/>
                <w:sz w:val="22"/>
              </w:rPr>
              <w:t> </w:t>
            </w:r>
            <w:r w:rsidRPr="00FE6AC6">
              <w:rPr>
                <w:rFonts w:ascii="Times New Roman" w:hAnsi="Times New Roman"/>
                <w:color w:val="000000"/>
                <w:sz w:val="22"/>
                <w:lang w:val="bg-BG"/>
              </w:rPr>
              <w:t>3</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ден</w:t>
            </w:r>
            <w:r w:rsidRPr="00FE6AC6">
              <w:rPr>
                <w:rFonts w:ascii="Times New Roman" w:hAnsi="Times New Roman"/>
                <w:color w:val="000000"/>
                <w:sz w:val="22"/>
              </w:rPr>
              <w:t> </w:t>
            </w:r>
            <w:r w:rsidRPr="00FE6AC6">
              <w:rPr>
                <w:rFonts w:ascii="Times New Roman" w:hAnsi="Times New Roman"/>
                <w:color w:val="000000"/>
                <w:sz w:val="22"/>
                <w:lang w:val="bg-BG"/>
              </w:rPr>
              <w:t>1;</w:t>
            </w:r>
          </w:p>
          <w:p w14:paraId="3E55046F"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MTX </w:t>
            </w:r>
            <w:r w:rsidRPr="00FE6AC6">
              <w:rPr>
                <w:rFonts w:ascii="Times New Roman" w:hAnsi="Times New Roman"/>
                <w:color w:val="000000"/>
                <w:sz w:val="22"/>
                <w:lang w:val="bg-BG"/>
              </w:rPr>
              <w:t>1,5</w:t>
            </w:r>
            <w:r w:rsidRPr="00FE6AC6">
              <w:rPr>
                <w:rFonts w:ascii="Times New Roman" w:hAnsi="Times New Roman"/>
                <w:color w:val="000000"/>
                <w:sz w:val="22"/>
              </w:rPr>
              <w:t> 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(24</w:t>
            </w:r>
            <w:r w:rsidRPr="00FE6AC6">
              <w:rPr>
                <w:rFonts w:ascii="Times New Roman" w:hAnsi="Times New Roman"/>
                <w:color w:val="000000"/>
                <w:sz w:val="22"/>
              </w:rPr>
              <w:t> </w:t>
            </w:r>
            <w:r w:rsidRPr="00FE6AC6">
              <w:rPr>
                <w:rFonts w:ascii="Times New Roman" w:hAnsi="Times New Roman"/>
                <w:color w:val="000000"/>
                <w:sz w:val="22"/>
                <w:lang w:val="bg-BG"/>
              </w:rPr>
              <w:t>часа), ден</w:t>
            </w:r>
            <w:r w:rsidRPr="00FE6AC6">
              <w:rPr>
                <w:rFonts w:ascii="Times New Roman" w:hAnsi="Times New Roman"/>
                <w:color w:val="000000"/>
                <w:sz w:val="22"/>
              </w:rPr>
              <w:t> </w:t>
            </w:r>
            <w:r w:rsidRPr="00FE6AC6">
              <w:rPr>
                <w:rFonts w:ascii="Times New Roman" w:hAnsi="Times New Roman"/>
                <w:color w:val="000000"/>
                <w:sz w:val="22"/>
                <w:lang w:val="bg-BG"/>
              </w:rPr>
              <w:t>1;</w:t>
            </w:r>
          </w:p>
          <w:p w14:paraId="3E550470"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Етопозид</w:t>
            </w:r>
            <w:r w:rsidRPr="00FE6AC6">
              <w:rPr>
                <w:rFonts w:ascii="Times New Roman" w:hAnsi="Times New Roman"/>
                <w:color w:val="000000"/>
                <w:sz w:val="22"/>
              </w:rPr>
              <w:t> </w:t>
            </w:r>
            <w:r w:rsidRPr="00FE6AC6">
              <w:rPr>
                <w:rFonts w:ascii="Times New Roman" w:hAnsi="Times New Roman"/>
                <w:color w:val="000000"/>
                <w:sz w:val="22"/>
                <w:lang w:val="bg-BG"/>
              </w:rPr>
              <w:t>250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(1</w:t>
            </w:r>
            <w:r w:rsidRPr="00FE6AC6">
              <w:rPr>
                <w:rFonts w:ascii="Times New Roman" w:hAnsi="Times New Roman"/>
                <w:color w:val="000000"/>
                <w:sz w:val="22"/>
              </w:rPr>
              <w:t> </w:t>
            </w:r>
            <w:r w:rsidRPr="00FE6AC6">
              <w:rPr>
                <w:rFonts w:ascii="Times New Roman" w:hAnsi="Times New Roman"/>
                <w:color w:val="000000"/>
                <w:sz w:val="22"/>
                <w:lang w:val="bg-BG"/>
              </w:rPr>
              <w:t>час) дни</w:t>
            </w:r>
            <w:r w:rsidRPr="00FE6AC6">
              <w:rPr>
                <w:rFonts w:ascii="Times New Roman" w:hAnsi="Times New Roman"/>
                <w:color w:val="000000"/>
                <w:sz w:val="22"/>
              </w:rPr>
              <w:t> </w:t>
            </w:r>
            <w:r w:rsidRPr="00FE6AC6">
              <w:rPr>
                <w:rFonts w:ascii="Times New Roman" w:hAnsi="Times New Roman"/>
                <w:color w:val="000000"/>
                <w:sz w:val="22"/>
                <w:lang w:val="bg-BG"/>
              </w:rPr>
              <w:t>4-5;</w:t>
            </w:r>
          </w:p>
          <w:p w14:paraId="3E550471"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Ara</w:t>
            </w:r>
            <w:r w:rsidRPr="00FE6AC6">
              <w:rPr>
                <w:rFonts w:ascii="Times New Roman" w:hAnsi="Times New Roman"/>
                <w:color w:val="000000"/>
                <w:sz w:val="22"/>
                <w:lang w:val="bg-BG"/>
              </w:rPr>
              <w:t>-</w:t>
            </w:r>
            <w:r w:rsidRPr="00FE6AC6">
              <w:rPr>
                <w:rFonts w:ascii="Times New Roman" w:hAnsi="Times New Roman"/>
                <w:color w:val="000000"/>
                <w:sz w:val="22"/>
              </w:rPr>
              <w:t>C </w:t>
            </w:r>
            <w:r w:rsidRPr="00FE6AC6">
              <w:rPr>
                <w:rFonts w:ascii="Times New Roman" w:hAnsi="Times New Roman"/>
                <w:color w:val="000000"/>
                <w:sz w:val="22"/>
                <w:lang w:val="bg-BG"/>
              </w:rPr>
              <w:t>2</w:t>
            </w:r>
            <w:r w:rsidRPr="00FE6AC6">
              <w:rPr>
                <w:rFonts w:ascii="Times New Roman" w:hAnsi="Times New Roman"/>
                <w:color w:val="000000"/>
                <w:sz w:val="22"/>
              </w:rPr>
              <w:t>x </w:t>
            </w:r>
            <w:r w:rsidRPr="00FE6AC6">
              <w:rPr>
                <w:rFonts w:ascii="Times New Roman" w:hAnsi="Times New Roman"/>
                <w:color w:val="000000"/>
                <w:sz w:val="22"/>
                <w:lang w:val="bg-BG"/>
              </w:rPr>
              <w:t>2</w:t>
            </w:r>
            <w:r w:rsidRPr="00FE6AC6">
              <w:rPr>
                <w:rFonts w:ascii="Times New Roman" w:hAnsi="Times New Roman"/>
                <w:color w:val="000000"/>
                <w:sz w:val="22"/>
              </w:rPr>
              <w:t> 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(3</w:t>
            </w:r>
            <w:r w:rsidRPr="00FE6AC6">
              <w:rPr>
                <w:rFonts w:ascii="Times New Roman" w:hAnsi="Times New Roman"/>
                <w:color w:val="000000"/>
                <w:sz w:val="22"/>
              </w:rPr>
              <w:t> </w:t>
            </w:r>
            <w:r w:rsidRPr="00FE6AC6">
              <w:rPr>
                <w:rFonts w:ascii="Times New Roman" w:hAnsi="Times New Roman"/>
                <w:color w:val="000000"/>
                <w:sz w:val="22"/>
                <w:lang w:val="bg-BG"/>
              </w:rPr>
              <w:t xml:space="preserve">часа, </w:t>
            </w:r>
            <w:r w:rsidRPr="00FE6AC6">
              <w:rPr>
                <w:rFonts w:ascii="Times New Roman" w:hAnsi="Times New Roman"/>
                <w:color w:val="000000"/>
                <w:sz w:val="22"/>
              </w:rPr>
              <w:t>q </w:t>
            </w:r>
            <w:r w:rsidRPr="00FE6AC6">
              <w:rPr>
                <w:rFonts w:ascii="Times New Roman" w:hAnsi="Times New Roman"/>
                <w:color w:val="000000"/>
                <w:sz w:val="22"/>
                <w:lang w:val="bg-BG"/>
              </w:rPr>
              <w:t>12</w:t>
            </w:r>
            <w:r w:rsidRPr="00FE6AC6">
              <w:rPr>
                <w:rFonts w:ascii="Times New Roman" w:hAnsi="Times New Roman"/>
                <w:color w:val="000000"/>
                <w:sz w:val="22"/>
              </w:rPr>
              <w:t> </w:t>
            </w:r>
            <w:r w:rsidRPr="00FE6AC6">
              <w:rPr>
                <w:rFonts w:ascii="Times New Roman" w:hAnsi="Times New Roman"/>
                <w:color w:val="000000"/>
                <w:sz w:val="22"/>
                <w:lang w:val="bg-BG"/>
              </w:rPr>
              <w:t>часа), ден</w:t>
            </w:r>
            <w:r w:rsidRPr="00FE6AC6">
              <w:rPr>
                <w:rFonts w:ascii="Times New Roman" w:hAnsi="Times New Roman"/>
                <w:color w:val="000000"/>
                <w:sz w:val="22"/>
              </w:rPr>
              <w:t> </w:t>
            </w:r>
            <w:r w:rsidRPr="00FE6AC6">
              <w:rPr>
                <w:rFonts w:ascii="Times New Roman" w:hAnsi="Times New Roman"/>
                <w:color w:val="000000"/>
                <w:sz w:val="22"/>
                <w:lang w:val="bg-BG"/>
              </w:rPr>
              <w:t>5</w:t>
            </w:r>
          </w:p>
        </w:tc>
      </w:tr>
      <w:tr w:rsidR="001B628D" w:rsidRPr="00FE6AC6" w14:paraId="3E550478" w14:textId="77777777" w:rsidTr="00EB1684">
        <w:trPr>
          <w:cantSplit/>
        </w:trPr>
        <w:tc>
          <w:tcPr>
            <w:tcW w:w="2148" w:type="dxa"/>
            <w:tcBorders>
              <w:top w:val="nil"/>
              <w:bottom w:val="single" w:sz="4" w:space="0" w:color="auto"/>
            </w:tcBorders>
          </w:tcPr>
          <w:p w14:paraId="3E550473" w14:textId="77777777" w:rsidR="001B628D" w:rsidRPr="00FE6AC6" w:rsidRDefault="001B628D" w:rsidP="00C90F9F">
            <w:pPr>
              <w:pStyle w:val="Table"/>
              <w:keepLines w:val="0"/>
              <w:widowControl w:val="0"/>
              <w:spacing w:before="0" w:after="0"/>
              <w:rPr>
                <w:rFonts w:ascii="Times New Roman" w:hAnsi="Times New Roman"/>
                <w:b/>
                <w:color w:val="000000"/>
                <w:sz w:val="22"/>
              </w:rPr>
            </w:pPr>
            <w:r w:rsidRPr="00FE6AC6">
              <w:rPr>
                <w:rFonts w:ascii="Times New Roman" w:hAnsi="Times New Roman"/>
                <w:b/>
                <w:color w:val="000000"/>
                <w:sz w:val="22"/>
                <w:lang w:val="bg-BG"/>
              </w:rPr>
              <w:t>Проучване</w:t>
            </w:r>
            <w:r w:rsidRPr="00FE6AC6">
              <w:rPr>
                <w:rFonts w:ascii="Times New Roman" w:hAnsi="Times New Roman"/>
                <w:b/>
                <w:color w:val="000000"/>
                <w:sz w:val="22"/>
              </w:rPr>
              <w:t xml:space="preserve"> AJP01</w:t>
            </w:r>
          </w:p>
        </w:tc>
        <w:tc>
          <w:tcPr>
            <w:tcW w:w="2652" w:type="dxa"/>
            <w:tcBorders>
              <w:top w:val="nil"/>
              <w:bottom w:val="single" w:sz="4" w:space="0" w:color="auto"/>
            </w:tcBorders>
          </w:tcPr>
          <w:p w14:paraId="3E550474" w14:textId="77777777" w:rsidR="001B628D" w:rsidRPr="00FE6AC6" w:rsidRDefault="001B628D" w:rsidP="00C90F9F">
            <w:pPr>
              <w:pStyle w:val="Table"/>
              <w:keepLines w:val="0"/>
              <w:widowControl w:val="0"/>
              <w:spacing w:before="0" w:after="0"/>
              <w:rPr>
                <w:rFonts w:ascii="Times New Roman" w:hAnsi="Times New Roman"/>
                <w:color w:val="000000"/>
                <w:sz w:val="22"/>
              </w:rPr>
            </w:pPr>
          </w:p>
        </w:tc>
        <w:tc>
          <w:tcPr>
            <w:tcW w:w="1080" w:type="dxa"/>
            <w:tcBorders>
              <w:top w:val="nil"/>
              <w:bottom w:val="single" w:sz="4" w:space="0" w:color="auto"/>
            </w:tcBorders>
          </w:tcPr>
          <w:p w14:paraId="3E550475" w14:textId="77777777" w:rsidR="001B628D" w:rsidRPr="00FE6AC6" w:rsidRDefault="001B628D" w:rsidP="00C90F9F">
            <w:pPr>
              <w:pStyle w:val="Table"/>
              <w:keepLines w:val="0"/>
              <w:widowControl w:val="0"/>
              <w:spacing w:before="0" w:after="0"/>
              <w:rPr>
                <w:rFonts w:ascii="Times New Roman" w:hAnsi="Times New Roman"/>
                <w:color w:val="000000"/>
                <w:sz w:val="22"/>
              </w:rPr>
            </w:pPr>
          </w:p>
        </w:tc>
        <w:tc>
          <w:tcPr>
            <w:tcW w:w="1380" w:type="dxa"/>
            <w:tcBorders>
              <w:top w:val="nil"/>
              <w:bottom w:val="single" w:sz="4" w:space="0" w:color="auto"/>
            </w:tcBorders>
          </w:tcPr>
          <w:p w14:paraId="3E550476" w14:textId="77777777" w:rsidR="001B628D" w:rsidRPr="00FE6AC6" w:rsidRDefault="001B628D" w:rsidP="00C90F9F">
            <w:pPr>
              <w:pStyle w:val="Table"/>
              <w:keepLines w:val="0"/>
              <w:widowControl w:val="0"/>
              <w:spacing w:before="0" w:after="0"/>
              <w:rPr>
                <w:rFonts w:ascii="Times New Roman" w:hAnsi="Times New Roman"/>
                <w:color w:val="000000"/>
                <w:sz w:val="22"/>
              </w:rPr>
            </w:pPr>
          </w:p>
        </w:tc>
        <w:tc>
          <w:tcPr>
            <w:tcW w:w="1620" w:type="dxa"/>
            <w:tcBorders>
              <w:top w:val="nil"/>
              <w:bottom w:val="single" w:sz="4" w:space="0" w:color="auto"/>
            </w:tcBorders>
          </w:tcPr>
          <w:p w14:paraId="3E550477" w14:textId="77777777" w:rsidR="001B628D" w:rsidRPr="00FE6AC6" w:rsidRDefault="001B628D" w:rsidP="00C90F9F">
            <w:pPr>
              <w:pStyle w:val="Table"/>
              <w:keepLines w:val="0"/>
              <w:widowControl w:val="0"/>
              <w:spacing w:before="0" w:after="0"/>
              <w:rPr>
                <w:rFonts w:ascii="Times New Roman" w:hAnsi="Times New Roman"/>
                <w:color w:val="000000"/>
                <w:sz w:val="22"/>
              </w:rPr>
            </w:pPr>
          </w:p>
        </w:tc>
      </w:tr>
      <w:tr w:rsidR="001B628D" w:rsidRPr="004015AA" w14:paraId="3E55047E" w14:textId="77777777" w:rsidTr="00EB1684">
        <w:trPr>
          <w:cantSplit/>
        </w:trPr>
        <w:tc>
          <w:tcPr>
            <w:tcW w:w="2148" w:type="dxa"/>
            <w:tcBorders>
              <w:top w:val="nil"/>
              <w:bottom w:val="single" w:sz="4" w:space="0" w:color="auto"/>
            </w:tcBorders>
          </w:tcPr>
          <w:p w14:paraId="3E550479" w14:textId="77777777" w:rsidR="001B628D" w:rsidRPr="00FE6AC6" w:rsidRDefault="001B628D" w:rsidP="00C90F9F">
            <w:pPr>
              <w:pStyle w:val="Table"/>
              <w:keepLines w:val="0"/>
              <w:widowControl w:val="0"/>
              <w:spacing w:before="0" w:after="0"/>
              <w:jc w:val="both"/>
              <w:rPr>
                <w:rFonts w:ascii="Times New Roman" w:hAnsi="Times New Roman"/>
                <w:color w:val="000000"/>
                <w:sz w:val="22"/>
              </w:rPr>
            </w:pPr>
            <w:r w:rsidRPr="00FE6AC6">
              <w:rPr>
                <w:rFonts w:ascii="Times New Roman" w:hAnsi="Times New Roman"/>
                <w:color w:val="000000"/>
                <w:sz w:val="22"/>
                <w:lang w:val="bg-BG"/>
              </w:rPr>
              <w:t>Индукционна терапия</w:t>
            </w:r>
          </w:p>
        </w:tc>
        <w:tc>
          <w:tcPr>
            <w:tcW w:w="6732" w:type="dxa"/>
            <w:gridSpan w:val="4"/>
            <w:tcBorders>
              <w:top w:val="nil"/>
              <w:bottom w:val="single" w:sz="4" w:space="0" w:color="auto"/>
            </w:tcBorders>
          </w:tcPr>
          <w:p w14:paraId="3E55047A"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CP 1</w:t>
            </w:r>
            <w:r w:rsidRPr="00FE6AC6">
              <w:rPr>
                <w:rFonts w:ascii="Times New Roman" w:hAnsi="Times New Roman"/>
                <w:color w:val="000000"/>
                <w:sz w:val="22"/>
                <w:lang w:val="bg-BG"/>
              </w:rPr>
              <w:t>,</w:t>
            </w:r>
            <w:r w:rsidRPr="00FE6AC6">
              <w:rPr>
                <w:rFonts w:ascii="Times New Roman" w:hAnsi="Times New Roman"/>
                <w:color w:val="000000"/>
                <w:sz w:val="22"/>
              </w:rPr>
              <w:t>2 g/m</w:t>
            </w:r>
            <w:r w:rsidRPr="00FE6AC6">
              <w:rPr>
                <w:rFonts w:ascii="Times New Roman" w:hAnsi="Times New Roman"/>
                <w:color w:val="000000"/>
                <w:sz w:val="22"/>
                <w:vertAlign w:val="superscript"/>
              </w:rPr>
              <w:t>2 </w:t>
            </w:r>
            <w:r w:rsidRPr="00FE6AC6">
              <w:rPr>
                <w:rFonts w:ascii="Times New Roman" w:hAnsi="Times New Roman"/>
                <w:color w:val="000000"/>
                <w:sz w:val="22"/>
              </w:rPr>
              <w:t>i.v. (3 </w:t>
            </w:r>
            <w:r w:rsidRPr="00FE6AC6">
              <w:rPr>
                <w:rFonts w:ascii="Times New Roman" w:hAnsi="Times New Roman"/>
                <w:color w:val="000000"/>
                <w:sz w:val="22"/>
                <w:lang w:val="bg-BG"/>
              </w:rPr>
              <w:t>часа)</w:t>
            </w:r>
            <w:r w:rsidRPr="00FE6AC6">
              <w:rPr>
                <w:rFonts w:ascii="Times New Roman" w:hAnsi="Times New Roman"/>
                <w:color w:val="000000"/>
                <w:sz w:val="22"/>
              </w:rPr>
              <w:t xml:space="preserve">, </w:t>
            </w:r>
            <w:r w:rsidRPr="00FE6AC6">
              <w:rPr>
                <w:rFonts w:ascii="Times New Roman" w:hAnsi="Times New Roman"/>
                <w:color w:val="000000"/>
                <w:sz w:val="22"/>
                <w:lang w:val="bg-BG"/>
              </w:rPr>
              <w:t>ден</w:t>
            </w:r>
            <w:r w:rsidRPr="00FE6AC6">
              <w:rPr>
                <w:rFonts w:ascii="Times New Roman" w:hAnsi="Times New Roman"/>
                <w:color w:val="000000"/>
                <w:sz w:val="22"/>
              </w:rPr>
              <w:t> 1;</w:t>
            </w:r>
          </w:p>
          <w:p w14:paraId="3E55047B"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Даунорубицин</w:t>
            </w:r>
            <w:r w:rsidRPr="00FE6AC6">
              <w:rPr>
                <w:rFonts w:ascii="Times New Roman" w:hAnsi="Times New Roman"/>
                <w:color w:val="000000"/>
                <w:sz w:val="22"/>
              </w:rPr>
              <w:t> </w:t>
            </w:r>
            <w:r w:rsidRPr="00FE6AC6">
              <w:rPr>
                <w:rFonts w:ascii="Times New Roman" w:hAnsi="Times New Roman"/>
                <w:color w:val="000000"/>
                <w:sz w:val="22"/>
                <w:lang w:val="bg-BG"/>
              </w:rPr>
              <w:t>60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(1</w:t>
            </w:r>
            <w:r w:rsidRPr="00FE6AC6">
              <w:rPr>
                <w:rFonts w:ascii="Times New Roman" w:hAnsi="Times New Roman"/>
                <w:color w:val="000000"/>
                <w:sz w:val="22"/>
              </w:rPr>
              <w:t> </w:t>
            </w:r>
            <w:r w:rsidRPr="00FE6AC6">
              <w:rPr>
                <w:rFonts w:ascii="Times New Roman" w:hAnsi="Times New Roman"/>
                <w:color w:val="000000"/>
                <w:sz w:val="22"/>
                <w:lang w:val="bg-BG"/>
              </w:rPr>
              <w:t>час), дни</w:t>
            </w:r>
            <w:r w:rsidRPr="00FE6AC6">
              <w:rPr>
                <w:rFonts w:ascii="Times New Roman" w:hAnsi="Times New Roman"/>
                <w:color w:val="000000"/>
                <w:sz w:val="22"/>
              </w:rPr>
              <w:t> </w:t>
            </w:r>
            <w:r w:rsidRPr="00FE6AC6">
              <w:rPr>
                <w:rFonts w:ascii="Times New Roman" w:hAnsi="Times New Roman"/>
                <w:color w:val="000000"/>
                <w:sz w:val="22"/>
                <w:lang w:val="bg-BG"/>
              </w:rPr>
              <w:t>1-3;</w:t>
            </w:r>
          </w:p>
          <w:p w14:paraId="3E55047C"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Винкристин</w:t>
            </w:r>
            <w:r w:rsidRPr="00FE6AC6">
              <w:rPr>
                <w:rFonts w:ascii="Times New Roman" w:hAnsi="Times New Roman"/>
                <w:color w:val="000000"/>
                <w:sz w:val="22"/>
              </w:rPr>
              <w:t> </w:t>
            </w:r>
            <w:r w:rsidRPr="00FE6AC6">
              <w:rPr>
                <w:rFonts w:ascii="Times New Roman" w:hAnsi="Times New Roman"/>
                <w:color w:val="000000"/>
                <w:sz w:val="22"/>
                <w:lang w:val="bg-BG"/>
              </w:rPr>
              <w:t>1,3</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дни</w:t>
            </w:r>
            <w:r w:rsidRPr="00FE6AC6">
              <w:rPr>
                <w:rFonts w:ascii="Times New Roman" w:hAnsi="Times New Roman"/>
                <w:color w:val="000000"/>
                <w:sz w:val="22"/>
              </w:rPr>
              <w:t> </w:t>
            </w:r>
            <w:r w:rsidRPr="00FE6AC6">
              <w:rPr>
                <w:rFonts w:ascii="Times New Roman" w:hAnsi="Times New Roman"/>
                <w:color w:val="000000"/>
                <w:sz w:val="22"/>
                <w:lang w:val="bg-BG"/>
              </w:rPr>
              <w:t>1,</w:t>
            </w:r>
            <w:r w:rsidRPr="00FE6AC6">
              <w:rPr>
                <w:rFonts w:ascii="Times New Roman" w:hAnsi="Times New Roman"/>
                <w:color w:val="000000"/>
                <w:sz w:val="22"/>
              </w:rPr>
              <w:t> </w:t>
            </w:r>
            <w:r w:rsidRPr="00FE6AC6">
              <w:rPr>
                <w:rFonts w:ascii="Times New Roman" w:hAnsi="Times New Roman"/>
                <w:color w:val="000000"/>
                <w:sz w:val="22"/>
                <w:lang w:val="bg-BG"/>
              </w:rPr>
              <w:t>8,</w:t>
            </w:r>
            <w:r w:rsidRPr="00FE6AC6">
              <w:rPr>
                <w:rFonts w:ascii="Times New Roman" w:hAnsi="Times New Roman"/>
                <w:color w:val="000000"/>
                <w:sz w:val="22"/>
              </w:rPr>
              <w:t> </w:t>
            </w:r>
            <w:r w:rsidRPr="00FE6AC6">
              <w:rPr>
                <w:rFonts w:ascii="Times New Roman" w:hAnsi="Times New Roman"/>
                <w:color w:val="000000"/>
                <w:sz w:val="22"/>
                <w:lang w:val="bg-BG"/>
              </w:rPr>
              <w:t>15,</w:t>
            </w:r>
            <w:r w:rsidRPr="00FE6AC6">
              <w:rPr>
                <w:rFonts w:ascii="Times New Roman" w:hAnsi="Times New Roman"/>
                <w:color w:val="000000"/>
                <w:sz w:val="22"/>
              </w:rPr>
              <w:t> </w:t>
            </w:r>
            <w:r w:rsidRPr="00FE6AC6">
              <w:rPr>
                <w:rFonts w:ascii="Times New Roman" w:hAnsi="Times New Roman"/>
                <w:color w:val="000000"/>
                <w:sz w:val="22"/>
                <w:lang w:val="bg-BG"/>
              </w:rPr>
              <w:t>21;</w:t>
            </w:r>
          </w:p>
          <w:p w14:paraId="3E55047D"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Преднизолон</w:t>
            </w:r>
            <w:r w:rsidRPr="00FE6AC6">
              <w:rPr>
                <w:rFonts w:ascii="Times New Roman" w:hAnsi="Times New Roman"/>
                <w:color w:val="000000"/>
                <w:sz w:val="22"/>
              </w:rPr>
              <w:t> </w:t>
            </w:r>
            <w:r w:rsidRPr="00FE6AC6">
              <w:rPr>
                <w:rFonts w:ascii="Times New Roman" w:hAnsi="Times New Roman"/>
                <w:color w:val="000000"/>
                <w:sz w:val="22"/>
                <w:lang w:val="bg-BG"/>
              </w:rPr>
              <w:t>60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lang w:val="bg-BG"/>
              </w:rPr>
              <w:t>/ден перорално</w:t>
            </w:r>
          </w:p>
        </w:tc>
      </w:tr>
      <w:tr w:rsidR="001B628D" w:rsidRPr="00FE6AC6" w14:paraId="3E550481" w14:textId="77777777" w:rsidTr="00EB1684">
        <w:trPr>
          <w:cantSplit/>
        </w:trPr>
        <w:tc>
          <w:tcPr>
            <w:tcW w:w="2148" w:type="dxa"/>
            <w:tcBorders>
              <w:top w:val="single" w:sz="4" w:space="0" w:color="auto"/>
              <w:bottom w:val="single" w:sz="4" w:space="0" w:color="auto"/>
            </w:tcBorders>
          </w:tcPr>
          <w:p w14:paraId="3E55047F" w14:textId="77777777" w:rsidR="001B628D" w:rsidRPr="00FE6AC6" w:rsidRDefault="001B628D" w:rsidP="00C90F9F">
            <w:pPr>
              <w:pStyle w:val="Table"/>
              <w:keepLines w:val="0"/>
              <w:widowControl w:val="0"/>
              <w:tabs>
                <w:tab w:val="left" w:pos="0"/>
              </w:tabs>
              <w:spacing w:before="0" w:after="0"/>
              <w:rPr>
                <w:rFonts w:ascii="Times New Roman" w:hAnsi="Times New Roman"/>
                <w:color w:val="000000"/>
                <w:sz w:val="22"/>
              </w:rPr>
            </w:pPr>
            <w:r w:rsidRPr="00FE6AC6">
              <w:rPr>
                <w:rFonts w:ascii="Times New Roman" w:hAnsi="Times New Roman"/>
                <w:color w:val="000000"/>
                <w:sz w:val="22"/>
                <w:lang w:val="bg-BG"/>
              </w:rPr>
              <w:t>Консолидационна терапия</w:t>
            </w:r>
          </w:p>
        </w:tc>
        <w:tc>
          <w:tcPr>
            <w:tcW w:w="6732" w:type="dxa"/>
            <w:gridSpan w:val="4"/>
            <w:tcBorders>
              <w:top w:val="single" w:sz="4" w:space="0" w:color="auto"/>
              <w:bottom w:val="single" w:sz="4" w:space="0" w:color="auto"/>
            </w:tcBorders>
          </w:tcPr>
          <w:p w14:paraId="3E550480" w14:textId="77777777" w:rsidR="001B628D" w:rsidRPr="00FE6AC6" w:rsidRDefault="001B628D" w:rsidP="00C90F9F">
            <w:pPr>
              <w:pStyle w:val="Table"/>
              <w:keepLines w:val="0"/>
              <w:widowControl w:val="0"/>
              <w:spacing w:before="0" w:after="0"/>
              <w:rPr>
                <w:rFonts w:ascii="Times New Roman" w:hAnsi="Times New Roman"/>
                <w:color w:val="000000"/>
                <w:sz w:val="22"/>
              </w:rPr>
            </w:pPr>
            <w:r w:rsidRPr="00FE6AC6">
              <w:rPr>
                <w:rFonts w:ascii="Times New Roman" w:hAnsi="Times New Roman"/>
                <w:color w:val="000000"/>
                <w:sz w:val="22"/>
                <w:lang w:val="bg-BG"/>
              </w:rPr>
              <w:t>Алтерниращ химиотерапевтичен курс</w:t>
            </w:r>
            <w:r w:rsidRPr="00FE6AC6">
              <w:rPr>
                <w:rFonts w:ascii="Times New Roman" w:hAnsi="Times New Roman"/>
                <w:color w:val="000000"/>
                <w:sz w:val="22"/>
              </w:rPr>
              <w:t>:</w:t>
            </w:r>
            <w:r w:rsidRPr="00FE6AC6">
              <w:rPr>
                <w:rFonts w:ascii="Times New Roman" w:hAnsi="Times New Roman"/>
                <w:color w:val="000000"/>
                <w:sz w:val="22"/>
                <w:lang w:val="bg-BG"/>
              </w:rPr>
              <w:t xml:space="preserve"> високо-дозова химиотерапия</w:t>
            </w:r>
            <w:r w:rsidRPr="00FE6AC6">
              <w:rPr>
                <w:rFonts w:ascii="Times New Roman" w:hAnsi="Times New Roman"/>
                <w:color w:val="000000"/>
                <w:sz w:val="22"/>
              </w:rPr>
              <w:t xml:space="preserve"> </w:t>
            </w:r>
            <w:r w:rsidRPr="00FE6AC6">
              <w:rPr>
                <w:rFonts w:ascii="Times New Roman" w:hAnsi="Times New Roman"/>
                <w:color w:val="000000"/>
                <w:sz w:val="22"/>
                <w:lang w:val="bg-BG"/>
              </w:rPr>
              <w:t xml:space="preserve">с </w:t>
            </w:r>
            <w:r w:rsidRPr="00FE6AC6">
              <w:rPr>
                <w:rFonts w:ascii="Times New Roman" w:hAnsi="Times New Roman"/>
                <w:color w:val="000000"/>
                <w:sz w:val="22"/>
              </w:rPr>
              <w:t>MTX 1 g/m</w:t>
            </w:r>
            <w:r w:rsidRPr="00FE6AC6">
              <w:rPr>
                <w:rFonts w:ascii="Times New Roman" w:hAnsi="Times New Roman"/>
                <w:color w:val="000000"/>
                <w:sz w:val="22"/>
                <w:vertAlign w:val="superscript"/>
              </w:rPr>
              <w:t>2 </w:t>
            </w:r>
            <w:r w:rsidRPr="00FE6AC6">
              <w:rPr>
                <w:rFonts w:ascii="Times New Roman" w:hAnsi="Times New Roman"/>
                <w:color w:val="000000"/>
                <w:sz w:val="22"/>
              </w:rPr>
              <w:t>i.v. (24 </w:t>
            </w:r>
            <w:r w:rsidRPr="00FE6AC6">
              <w:rPr>
                <w:rFonts w:ascii="Times New Roman" w:hAnsi="Times New Roman"/>
                <w:color w:val="000000"/>
                <w:sz w:val="22"/>
                <w:lang w:val="bg-BG"/>
              </w:rPr>
              <w:t>часа</w:t>
            </w:r>
            <w:r w:rsidRPr="00FE6AC6">
              <w:rPr>
                <w:rFonts w:ascii="Times New Roman" w:hAnsi="Times New Roman"/>
                <w:color w:val="000000"/>
                <w:sz w:val="22"/>
              </w:rPr>
              <w:t xml:space="preserve">), </w:t>
            </w:r>
            <w:r w:rsidRPr="00FE6AC6">
              <w:rPr>
                <w:rFonts w:ascii="Times New Roman" w:hAnsi="Times New Roman"/>
                <w:color w:val="000000"/>
                <w:sz w:val="22"/>
                <w:lang w:val="bg-BG"/>
              </w:rPr>
              <w:t>ден</w:t>
            </w:r>
            <w:r w:rsidRPr="00FE6AC6">
              <w:rPr>
                <w:rFonts w:ascii="Times New Roman" w:hAnsi="Times New Roman"/>
                <w:color w:val="000000"/>
                <w:sz w:val="22"/>
              </w:rPr>
              <w:t xml:space="preserve"> 1 </w:t>
            </w:r>
            <w:r w:rsidRPr="00FE6AC6">
              <w:rPr>
                <w:rFonts w:ascii="Times New Roman" w:hAnsi="Times New Roman"/>
                <w:color w:val="000000"/>
                <w:sz w:val="22"/>
                <w:lang w:val="bg-BG"/>
              </w:rPr>
              <w:t>и</w:t>
            </w:r>
            <w:r w:rsidRPr="00FE6AC6">
              <w:rPr>
                <w:rFonts w:ascii="Times New Roman" w:hAnsi="Times New Roman"/>
                <w:color w:val="000000"/>
                <w:sz w:val="22"/>
              </w:rPr>
              <w:t xml:space="preserve"> Ara-C 2 g/m</w:t>
            </w:r>
            <w:r w:rsidRPr="00FE6AC6">
              <w:rPr>
                <w:rFonts w:ascii="Times New Roman" w:hAnsi="Times New Roman"/>
                <w:color w:val="000000"/>
                <w:sz w:val="22"/>
                <w:vertAlign w:val="superscript"/>
              </w:rPr>
              <w:t>2 </w:t>
            </w:r>
            <w:r w:rsidRPr="00FE6AC6">
              <w:rPr>
                <w:rFonts w:ascii="Times New Roman" w:hAnsi="Times New Roman"/>
                <w:color w:val="000000"/>
                <w:sz w:val="22"/>
              </w:rPr>
              <w:t>i.v. (q 12 </w:t>
            </w:r>
            <w:r w:rsidRPr="00FE6AC6">
              <w:rPr>
                <w:rFonts w:ascii="Times New Roman" w:hAnsi="Times New Roman"/>
                <w:color w:val="000000"/>
                <w:sz w:val="22"/>
                <w:lang w:val="bg-BG"/>
              </w:rPr>
              <w:t>часа</w:t>
            </w:r>
            <w:r w:rsidRPr="00FE6AC6">
              <w:rPr>
                <w:rFonts w:ascii="Times New Roman" w:hAnsi="Times New Roman"/>
                <w:color w:val="000000"/>
                <w:sz w:val="22"/>
              </w:rPr>
              <w:t xml:space="preserve">), </w:t>
            </w:r>
            <w:r w:rsidRPr="00FE6AC6">
              <w:rPr>
                <w:rFonts w:ascii="Times New Roman" w:hAnsi="Times New Roman"/>
                <w:color w:val="000000"/>
                <w:sz w:val="22"/>
                <w:lang w:val="bg-BG"/>
              </w:rPr>
              <w:t>дни</w:t>
            </w:r>
            <w:r w:rsidRPr="00FE6AC6">
              <w:rPr>
                <w:rFonts w:ascii="Times New Roman" w:hAnsi="Times New Roman"/>
                <w:color w:val="000000"/>
                <w:sz w:val="22"/>
              </w:rPr>
              <w:t xml:space="preserve"> 2-3, </w:t>
            </w:r>
            <w:r w:rsidRPr="00FE6AC6">
              <w:rPr>
                <w:rFonts w:ascii="Times New Roman" w:hAnsi="Times New Roman"/>
                <w:color w:val="000000"/>
                <w:sz w:val="22"/>
                <w:lang w:val="bg-BG"/>
              </w:rPr>
              <w:t>за 4 цикъла</w:t>
            </w:r>
          </w:p>
        </w:tc>
      </w:tr>
      <w:tr w:rsidR="001B628D" w:rsidRPr="004015AA" w14:paraId="3E550485" w14:textId="77777777" w:rsidTr="00EB1684">
        <w:trPr>
          <w:cantSplit/>
        </w:trPr>
        <w:tc>
          <w:tcPr>
            <w:tcW w:w="2148" w:type="dxa"/>
            <w:tcBorders>
              <w:top w:val="single" w:sz="4" w:space="0" w:color="auto"/>
              <w:bottom w:val="single" w:sz="4" w:space="0" w:color="auto"/>
            </w:tcBorders>
          </w:tcPr>
          <w:p w14:paraId="3E550482" w14:textId="77777777" w:rsidR="001B628D" w:rsidRPr="00FE6AC6" w:rsidRDefault="001B628D" w:rsidP="00C90F9F">
            <w:pPr>
              <w:pStyle w:val="Table"/>
              <w:keepNext w:val="0"/>
              <w:keepLines w:val="0"/>
              <w:widowControl w:val="0"/>
              <w:tabs>
                <w:tab w:val="left" w:pos="0"/>
              </w:tabs>
              <w:spacing w:before="0" w:after="0"/>
              <w:rPr>
                <w:rFonts w:ascii="Times New Roman" w:hAnsi="Times New Roman"/>
                <w:color w:val="000000"/>
                <w:sz w:val="22"/>
                <w:lang w:val="bg-BG"/>
              </w:rPr>
            </w:pPr>
            <w:r w:rsidRPr="00FE6AC6">
              <w:rPr>
                <w:rFonts w:ascii="Times New Roman" w:hAnsi="Times New Roman"/>
                <w:color w:val="000000"/>
                <w:sz w:val="22"/>
                <w:lang w:val="bg-BG"/>
              </w:rPr>
              <w:t>Поддържане</w:t>
            </w:r>
          </w:p>
        </w:tc>
        <w:tc>
          <w:tcPr>
            <w:tcW w:w="6732" w:type="dxa"/>
            <w:gridSpan w:val="4"/>
            <w:tcBorders>
              <w:top w:val="single" w:sz="4" w:space="0" w:color="auto"/>
              <w:bottom w:val="single" w:sz="4" w:space="0" w:color="auto"/>
            </w:tcBorders>
          </w:tcPr>
          <w:p w14:paraId="3E550483"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VCR</w:t>
            </w:r>
            <w:r w:rsidRPr="00FE6AC6">
              <w:rPr>
                <w:rFonts w:ascii="Times New Roman" w:hAnsi="Times New Roman"/>
                <w:color w:val="000000"/>
                <w:sz w:val="22"/>
                <w:lang w:val="bg-BG"/>
              </w:rPr>
              <w:t> 1,3 </w:t>
            </w:r>
            <w:r w:rsidRPr="00FE6AC6">
              <w:rPr>
                <w:rFonts w:ascii="Times New Roman" w:hAnsi="Times New Roman"/>
                <w:color w:val="000000"/>
                <w:sz w:val="22"/>
              </w:rPr>
              <w:t>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ден</w:t>
            </w:r>
            <w:r w:rsidRPr="00FE6AC6">
              <w:rPr>
                <w:rFonts w:ascii="Times New Roman" w:hAnsi="Times New Roman"/>
                <w:color w:val="000000"/>
                <w:sz w:val="22"/>
              </w:rPr>
              <w:t> </w:t>
            </w:r>
            <w:r w:rsidRPr="00FE6AC6">
              <w:rPr>
                <w:rFonts w:ascii="Times New Roman" w:hAnsi="Times New Roman"/>
                <w:color w:val="000000"/>
                <w:sz w:val="22"/>
                <w:lang w:val="bg-BG"/>
              </w:rPr>
              <w:t>1;</w:t>
            </w:r>
          </w:p>
          <w:p w14:paraId="3E550484"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Преднизолон 60 </w:t>
            </w:r>
            <w:r w:rsidRPr="00FE6AC6">
              <w:rPr>
                <w:rFonts w:ascii="Times New Roman" w:hAnsi="Times New Roman"/>
                <w:color w:val="000000"/>
                <w:sz w:val="22"/>
              </w:rPr>
              <w:t>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2 </w:t>
            </w:r>
            <w:r w:rsidRPr="00FE6AC6">
              <w:rPr>
                <w:rFonts w:ascii="Times New Roman" w:hAnsi="Times New Roman"/>
                <w:color w:val="000000"/>
                <w:sz w:val="22"/>
                <w:lang w:val="bg-BG"/>
              </w:rPr>
              <w:t>перорално, дни</w:t>
            </w:r>
            <w:r w:rsidRPr="00FE6AC6">
              <w:rPr>
                <w:rFonts w:ascii="Times New Roman" w:hAnsi="Times New Roman"/>
                <w:color w:val="000000"/>
                <w:sz w:val="22"/>
              </w:rPr>
              <w:t> </w:t>
            </w:r>
            <w:r w:rsidRPr="00FE6AC6">
              <w:rPr>
                <w:rFonts w:ascii="Times New Roman" w:hAnsi="Times New Roman"/>
                <w:color w:val="000000"/>
                <w:sz w:val="22"/>
                <w:lang w:val="bg-BG"/>
              </w:rPr>
              <w:t>1-5</w:t>
            </w:r>
          </w:p>
        </w:tc>
      </w:tr>
      <w:tr w:rsidR="001B628D" w:rsidRPr="00FE6AC6" w14:paraId="3E55048A" w14:textId="77777777" w:rsidTr="00EB1684">
        <w:trPr>
          <w:cantSplit/>
        </w:trPr>
        <w:tc>
          <w:tcPr>
            <w:tcW w:w="4800" w:type="dxa"/>
            <w:gridSpan w:val="2"/>
            <w:tcBorders>
              <w:top w:val="single" w:sz="4" w:space="0" w:color="auto"/>
              <w:bottom w:val="single" w:sz="4" w:space="0" w:color="auto"/>
            </w:tcBorders>
          </w:tcPr>
          <w:p w14:paraId="3E550486"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b/>
                <w:color w:val="000000"/>
                <w:sz w:val="22"/>
                <w:lang w:val="bg-BG"/>
              </w:rPr>
              <w:t xml:space="preserve">Проучване </w:t>
            </w:r>
            <w:r w:rsidRPr="00FE6AC6">
              <w:rPr>
                <w:rFonts w:ascii="Times New Roman" w:hAnsi="Times New Roman"/>
                <w:b/>
                <w:color w:val="000000"/>
                <w:sz w:val="22"/>
              </w:rPr>
              <w:t>AUS</w:t>
            </w:r>
            <w:r w:rsidRPr="00FE6AC6">
              <w:rPr>
                <w:rFonts w:ascii="Times New Roman" w:hAnsi="Times New Roman"/>
                <w:b/>
                <w:color w:val="000000"/>
                <w:sz w:val="22"/>
                <w:lang w:val="bg-BG"/>
              </w:rPr>
              <w:t>01</w:t>
            </w:r>
          </w:p>
        </w:tc>
        <w:tc>
          <w:tcPr>
            <w:tcW w:w="1080" w:type="dxa"/>
            <w:tcBorders>
              <w:top w:val="single" w:sz="4" w:space="0" w:color="auto"/>
              <w:bottom w:val="single" w:sz="4" w:space="0" w:color="auto"/>
            </w:tcBorders>
          </w:tcPr>
          <w:p w14:paraId="3E550487"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p>
        </w:tc>
        <w:tc>
          <w:tcPr>
            <w:tcW w:w="1380" w:type="dxa"/>
            <w:tcBorders>
              <w:top w:val="single" w:sz="4" w:space="0" w:color="auto"/>
              <w:bottom w:val="single" w:sz="4" w:space="0" w:color="auto"/>
            </w:tcBorders>
          </w:tcPr>
          <w:p w14:paraId="3E550488"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p>
        </w:tc>
        <w:tc>
          <w:tcPr>
            <w:tcW w:w="1620" w:type="dxa"/>
            <w:tcBorders>
              <w:top w:val="single" w:sz="4" w:space="0" w:color="auto"/>
              <w:bottom w:val="single" w:sz="4" w:space="0" w:color="auto"/>
            </w:tcBorders>
          </w:tcPr>
          <w:p w14:paraId="3E550489"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p>
        </w:tc>
      </w:tr>
      <w:tr w:rsidR="001B628D" w:rsidRPr="004015AA" w14:paraId="3E550490" w14:textId="77777777" w:rsidTr="00EB1684">
        <w:trPr>
          <w:cantSplit/>
        </w:trPr>
        <w:tc>
          <w:tcPr>
            <w:tcW w:w="2148" w:type="dxa"/>
            <w:tcBorders>
              <w:top w:val="single" w:sz="4" w:space="0" w:color="auto"/>
              <w:bottom w:val="single" w:sz="4" w:space="0" w:color="auto"/>
            </w:tcBorders>
          </w:tcPr>
          <w:p w14:paraId="3E55048B"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Индукционно-консолидационна терапия</w:t>
            </w:r>
          </w:p>
        </w:tc>
        <w:tc>
          <w:tcPr>
            <w:tcW w:w="6732" w:type="dxa"/>
            <w:gridSpan w:val="4"/>
            <w:tcBorders>
              <w:top w:val="single" w:sz="4" w:space="0" w:color="auto"/>
              <w:bottom w:val="single" w:sz="4" w:space="0" w:color="auto"/>
            </w:tcBorders>
          </w:tcPr>
          <w:p w14:paraId="3E55048C"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Хипер-</w:t>
            </w:r>
            <w:r w:rsidRPr="00FE6AC6">
              <w:rPr>
                <w:rFonts w:ascii="Times New Roman" w:hAnsi="Times New Roman"/>
                <w:color w:val="000000"/>
                <w:sz w:val="22"/>
              </w:rPr>
              <w:t>CVAD</w:t>
            </w:r>
            <w:r w:rsidRPr="00FE6AC6">
              <w:rPr>
                <w:rFonts w:ascii="Times New Roman" w:hAnsi="Times New Roman"/>
                <w:color w:val="000000"/>
                <w:sz w:val="22"/>
                <w:lang w:val="bg-BG"/>
              </w:rPr>
              <w:t xml:space="preserve"> режим: </w:t>
            </w:r>
            <w:r w:rsidRPr="00FE6AC6">
              <w:rPr>
                <w:rFonts w:ascii="Times New Roman" w:hAnsi="Times New Roman"/>
                <w:color w:val="000000"/>
                <w:sz w:val="22"/>
              </w:rPr>
              <w:t>CP </w:t>
            </w:r>
            <w:r w:rsidRPr="00FE6AC6">
              <w:rPr>
                <w:rFonts w:ascii="Times New Roman" w:hAnsi="Times New Roman"/>
                <w:color w:val="000000"/>
                <w:sz w:val="22"/>
                <w:lang w:val="bg-BG"/>
              </w:rPr>
              <w:t>300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(3</w:t>
            </w:r>
            <w:r w:rsidRPr="00FE6AC6">
              <w:rPr>
                <w:rFonts w:ascii="Times New Roman" w:hAnsi="Times New Roman"/>
                <w:color w:val="000000"/>
                <w:sz w:val="22"/>
              </w:rPr>
              <w:t> </w:t>
            </w:r>
            <w:r w:rsidRPr="00FE6AC6">
              <w:rPr>
                <w:rFonts w:ascii="Times New Roman" w:hAnsi="Times New Roman"/>
                <w:color w:val="000000"/>
                <w:sz w:val="22"/>
                <w:lang w:val="bg-BG"/>
              </w:rPr>
              <w:t xml:space="preserve">часа, </w:t>
            </w:r>
            <w:r w:rsidRPr="00FE6AC6">
              <w:rPr>
                <w:rFonts w:ascii="Times New Roman" w:hAnsi="Times New Roman"/>
                <w:color w:val="000000"/>
                <w:sz w:val="22"/>
              </w:rPr>
              <w:t>q </w:t>
            </w:r>
            <w:r w:rsidRPr="00FE6AC6">
              <w:rPr>
                <w:rFonts w:ascii="Times New Roman" w:hAnsi="Times New Roman"/>
                <w:color w:val="000000"/>
                <w:sz w:val="22"/>
                <w:lang w:val="bg-BG"/>
              </w:rPr>
              <w:t>12</w:t>
            </w:r>
            <w:r w:rsidRPr="00FE6AC6">
              <w:rPr>
                <w:rFonts w:ascii="Times New Roman" w:hAnsi="Times New Roman"/>
                <w:color w:val="000000"/>
                <w:sz w:val="22"/>
              </w:rPr>
              <w:t> </w:t>
            </w:r>
            <w:r w:rsidRPr="00FE6AC6">
              <w:rPr>
                <w:rFonts w:ascii="Times New Roman" w:hAnsi="Times New Roman"/>
                <w:color w:val="000000"/>
                <w:sz w:val="22"/>
                <w:lang w:val="bg-BG"/>
              </w:rPr>
              <w:t>часа), дни</w:t>
            </w:r>
            <w:r w:rsidRPr="00FE6AC6">
              <w:rPr>
                <w:rFonts w:ascii="Times New Roman" w:hAnsi="Times New Roman"/>
                <w:color w:val="000000"/>
                <w:sz w:val="22"/>
              </w:rPr>
              <w:t> </w:t>
            </w:r>
            <w:r w:rsidRPr="00FE6AC6">
              <w:rPr>
                <w:rFonts w:ascii="Times New Roman" w:hAnsi="Times New Roman"/>
                <w:color w:val="000000"/>
                <w:sz w:val="22"/>
                <w:lang w:val="bg-BG"/>
              </w:rPr>
              <w:t>1-3;</w:t>
            </w:r>
          </w:p>
          <w:p w14:paraId="3E55048D"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Винкристин</w:t>
            </w:r>
            <w:r w:rsidRPr="00FE6AC6">
              <w:rPr>
                <w:rFonts w:ascii="Times New Roman" w:hAnsi="Times New Roman"/>
                <w:color w:val="000000"/>
                <w:sz w:val="22"/>
              </w:rPr>
              <w:t> </w:t>
            </w:r>
            <w:r w:rsidRPr="00FE6AC6">
              <w:rPr>
                <w:rFonts w:ascii="Times New Roman" w:hAnsi="Times New Roman"/>
                <w:color w:val="000000"/>
                <w:sz w:val="22"/>
                <w:lang w:val="bg-BG"/>
              </w:rPr>
              <w:t>2</w:t>
            </w:r>
            <w:r w:rsidRPr="00FE6AC6">
              <w:rPr>
                <w:rFonts w:ascii="Times New Roman" w:hAnsi="Times New Roman"/>
                <w:color w:val="000000"/>
                <w:sz w:val="22"/>
              </w:rPr>
              <w:t> mg</w:t>
            </w:r>
            <w:r w:rsidRPr="00FE6AC6">
              <w:rPr>
                <w:rFonts w:ascii="Times New Roman" w:hAnsi="Times New Roman"/>
                <w:color w:val="000000"/>
                <w:sz w:val="22"/>
                <w:lang w:val="bg-BG"/>
              </w:rPr>
              <w:t xml:space="preserve">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дни</w:t>
            </w:r>
            <w:r w:rsidRPr="00FE6AC6">
              <w:rPr>
                <w:rFonts w:ascii="Times New Roman" w:hAnsi="Times New Roman"/>
                <w:color w:val="000000"/>
                <w:sz w:val="22"/>
              </w:rPr>
              <w:t> </w:t>
            </w:r>
            <w:r w:rsidRPr="00FE6AC6">
              <w:rPr>
                <w:rFonts w:ascii="Times New Roman" w:hAnsi="Times New Roman"/>
                <w:color w:val="000000"/>
                <w:sz w:val="22"/>
                <w:lang w:val="bg-BG"/>
              </w:rPr>
              <w:t>4,</w:t>
            </w:r>
            <w:r w:rsidRPr="00FE6AC6">
              <w:rPr>
                <w:rFonts w:ascii="Times New Roman" w:hAnsi="Times New Roman"/>
                <w:color w:val="000000"/>
                <w:sz w:val="22"/>
              </w:rPr>
              <w:t> </w:t>
            </w:r>
            <w:r w:rsidRPr="00FE6AC6">
              <w:rPr>
                <w:rFonts w:ascii="Times New Roman" w:hAnsi="Times New Roman"/>
                <w:color w:val="000000"/>
                <w:sz w:val="22"/>
                <w:lang w:val="bg-BG"/>
              </w:rPr>
              <w:t>11;</w:t>
            </w:r>
          </w:p>
          <w:p w14:paraId="3E55048E"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Доксорубицин</w:t>
            </w:r>
            <w:r w:rsidRPr="00FE6AC6">
              <w:rPr>
                <w:rFonts w:ascii="Times New Roman" w:hAnsi="Times New Roman"/>
                <w:color w:val="000000"/>
                <w:sz w:val="22"/>
              </w:rPr>
              <w:t> </w:t>
            </w:r>
            <w:r w:rsidRPr="00FE6AC6">
              <w:rPr>
                <w:rFonts w:ascii="Times New Roman" w:hAnsi="Times New Roman"/>
                <w:color w:val="000000"/>
                <w:sz w:val="22"/>
                <w:lang w:val="bg-BG"/>
              </w:rPr>
              <w:t>50</w:t>
            </w:r>
            <w:r w:rsidRPr="00FE6AC6">
              <w:rPr>
                <w:rFonts w:ascii="Times New Roman" w:hAnsi="Times New Roman"/>
                <w:color w:val="000000"/>
                <w:sz w:val="22"/>
              </w:rPr>
              <w:t> mg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(24</w:t>
            </w:r>
            <w:r w:rsidRPr="00FE6AC6">
              <w:rPr>
                <w:rFonts w:ascii="Times New Roman" w:hAnsi="Times New Roman"/>
                <w:color w:val="000000"/>
                <w:sz w:val="22"/>
              </w:rPr>
              <w:t> </w:t>
            </w:r>
            <w:r w:rsidRPr="00FE6AC6">
              <w:rPr>
                <w:rFonts w:ascii="Times New Roman" w:hAnsi="Times New Roman"/>
                <w:color w:val="000000"/>
                <w:sz w:val="22"/>
                <w:lang w:val="bg-BG"/>
              </w:rPr>
              <w:t>часа), ден</w:t>
            </w:r>
            <w:r w:rsidRPr="00FE6AC6">
              <w:rPr>
                <w:rFonts w:ascii="Times New Roman" w:hAnsi="Times New Roman"/>
                <w:color w:val="000000"/>
                <w:sz w:val="22"/>
              </w:rPr>
              <w:t> </w:t>
            </w:r>
            <w:r w:rsidRPr="00FE6AC6">
              <w:rPr>
                <w:rFonts w:ascii="Times New Roman" w:hAnsi="Times New Roman"/>
                <w:color w:val="000000"/>
                <w:sz w:val="22"/>
                <w:lang w:val="bg-BG"/>
              </w:rPr>
              <w:t>4;</w:t>
            </w:r>
          </w:p>
          <w:p w14:paraId="3E55048F"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DEX </w:t>
            </w:r>
            <w:r w:rsidRPr="00FE6AC6">
              <w:rPr>
                <w:rFonts w:ascii="Times New Roman" w:hAnsi="Times New Roman"/>
                <w:color w:val="000000"/>
                <w:sz w:val="22"/>
                <w:lang w:val="bg-BG"/>
              </w:rPr>
              <w:t>40</w:t>
            </w:r>
            <w:r w:rsidRPr="00FE6AC6">
              <w:rPr>
                <w:rFonts w:ascii="Times New Roman" w:hAnsi="Times New Roman"/>
                <w:color w:val="000000"/>
                <w:sz w:val="22"/>
              </w:rPr>
              <w:t> mg</w:t>
            </w:r>
            <w:r w:rsidRPr="00FE6AC6">
              <w:rPr>
                <w:rFonts w:ascii="Times New Roman" w:hAnsi="Times New Roman"/>
                <w:color w:val="000000"/>
                <w:sz w:val="22"/>
                <w:lang w:val="bg-BG"/>
              </w:rPr>
              <w:t>/ден в дни</w:t>
            </w:r>
            <w:r w:rsidRPr="00FE6AC6">
              <w:rPr>
                <w:rFonts w:ascii="Times New Roman" w:hAnsi="Times New Roman"/>
                <w:color w:val="000000"/>
                <w:sz w:val="22"/>
              </w:rPr>
              <w:t> </w:t>
            </w:r>
            <w:r w:rsidRPr="00FE6AC6">
              <w:rPr>
                <w:rFonts w:ascii="Times New Roman" w:hAnsi="Times New Roman"/>
                <w:color w:val="000000"/>
                <w:sz w:val="22"/>
                <w:lang w:val="bg-BG"/>
              </w:rPr>
              <w:t>1-4</w:t>
            </w:r>
            <w:r w:rsidRPr="00FE6AC6">
              <w:rPr>
                <w:rFonts w:ascii="Times New Roman" w:hAnsi="Times New Roman"/>
                <w:color w:val="000000"/>
                <w:sz w:val="22"/>
              </w:rPr>
              <w:t> </w:t>
            </w:r>
            <w:r w:rsidRPr="00FE6AC6">
              <w:rPr>
                <w:rFonts w:ascii="Times New Roman" w:hAnsi="Times New Roman"/>
                <w:color w:val="000000"/>
                <w:sz w:val="22"/>
                <w:lang w:val="bg-BG"/>
              </w:rPr>
              <w:t>и</w:t>
            </w:r>
            <w:r w:rsidRPr="00FE6AC6">
              <w:rPr>
                <w:rFonts w:ascii="Times New Roman" w:hAnsi="Times New Roman"/>
                <w:color w:val="000000"/>
                <w:sz w:val="22"/>
              </w:rPr>
              <w:t> </w:t>
            </w:r>
            <w:r w:rsidRPr="00FE6AC6">
              <w:rPr>
                <w:rFonts w:ascii="Times New Roman" w:hAnsi="Times New Roman"/>
                <w:color w:val="000000"/>
                <w:sz w:val="22"/>
                <w:lang w:val="bg-BG"/>
              </w:rPr>
              <w:t xml:space="preserve">11-14, алтернирана с </w:t>
            </w:r>
            <w:r w:rsidRPr="00FE6AC6">
              <w:rPr>
                <w:rFonts w:ascii="Times New Roman" w:hAnsi="Times New Roman"/>
                <w:color w:val="000000"/>
                <w:sz w:val="22"/>
              </w:rPr>
              <w:t>MTX </w:t>
            </w:r>
            <w:r w:rsidRPr="00FE6AC6">
              <w:rPr>
                <w:rFonts w:ascii="Times New Roman" w:hAnsi="Times New Roman"/>
                <w:color w:val="000000"/>
                <w:sz w:val="22"/>
                <w:lang w:val="bg-BG"/>
              </w:rPr>
              <w:t>1</w:t>
            </w:r>
            <w:r w:rsidRPr="00FE6AC6">
              <w:rPr>
                <w:rFonts w:ascii="Times New Roman" w:hAnsi="Times New Roman"/>
                <w:color w:val="000000"/>
                <w:sz w:val="22"/>
              </w:rPr>
              <w:t> 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(24</w:t>
            </w:r>
            <w:r w:rsidRPr="00FE6AC6">
              <w:rPr>
                <w:rFonts w:ascii="Times New Roman" w:hAnsi="Times New Roman"/>
                <w:color w:val="000000"/>
                <w:sz w:val="22"/>
              </w:rPr>
              <w:t> </w:t>
            </w:r>
            <w:r w:rsidRPr="00FE6AC6">
              <w:rPr>
                <w:rFonts w:ascii="Times New Roman" w:hAnsi="Times New Roman"/>
                <w:color w:val="000000"/>
                <w:sz w:val="22"/>
                <w:lang w:val="bg-BG"/>
              </w:rPr>
              <w:t>часа), ден</w:t>
            </w:r>
            <w:r w:rsidRPr="00FE6AC6">
              <w:rPr>
                <w:rFonts w:ascii="Times New Roman" w:hAnsi="Times New Roman"/>
                <w:color w:val="000000"/>
                <w:sz w:val="22"/>
              </w:rPr>
              <w:t> </w:t>
            </w:r>
            <w:r w:rsidRPr="00FE6AC6">
              <w:rPr>
                <w:rFonts w:ascii="Times New Roman" w:hAnsi="Times New Roman"/>
                <w:color w:val="000000"/>
                <w:sz w:val="22"/>
                <w:lang w:val="bg-BG"/>
              </w:rPr>
              <w:t xml:space="preserve">1, </w:t>
            </w:r>
            <w:r w:rsidRPr="00FE6AC6">
              <w:rPr>
                <w:rFonts w:ascii="Times New Roman" w:hAnsi="Times New Roman"/>
                <w:color w:val="000000"/>
                <w:sz w:val="22"/>
              </w:rPr>
              <w:t>Ara</w:t>
            </w:r>
            <w:r w:rsidRPr="00FE6AC6">
              <w:rPr>
                <w:rFonts w:ascii="Times New Roman" w:hAnsi="Times New Roman"/>
                <w:color w:val="000000"/>
                <w:sz w:val="22"/>
                <w:lang w:val="bg-BG"/>
              </w:rPr>
              <w:t>-</w:t>
            </w:r>
            <w:r w:rsidRPr="00FE6AC6">
              <w:rPr>
                <w:rFonts w:ascii="Times New Roman" w:hAnsi="Times New Roman"/>
                <w:color w:val="000000"/>
                <w:sz w:val="22"/>
              </w:rPr>
              <w:t>C </w:t>
            </w:r>
            <w:r w:rsidRPr="00FE6AC6">
              <w:rPr>
                <w:rFonts w:ascii="Times New Roman" w:hAnsi="Times New Roman"/>
                <w:color w:val="000000"/>
                <w:sz w:val="22"/>
                <w:lang w:val="bg-BG"/>
              </w:rPr>
              <w:t>1</w:t>
            </w:r>
            <w:r w:rsidRPr="00FE6AC6">
              <w:rPr>
                <w:rFonts w:ascii="Times New Roman" w:hAnsi="Times New Roman"/>
                <w:color w:val="000000"/>
                <w:sz w:val="22"/>
              </w:rPr>
              <w:t> g</w:t>
            </w:r>
            <w:r w:rsidRPr="00FE6AC6">
              <w:rPr>
                <w:rFonts w:ascii="Times New Roman" w:hAnsi="Times New Roman"/>
                <w:color w:val="000000"/>
                <w:sz w:val="22"/>
                <w:lang w:val="bg-BG"/>
              </w:rPr>
              <w:t>/</w:t>
            </w:r>
            <w:r w:rsidRPr="00FE6AC6">
              <w:rPr>
                <w:rFonts w:ascii="Times New Roman" w:hAnsi="Times New Roman"/>
                <w:color w:val="000000"/>
                <w:sz w:val="22"/>
              </w:rPr>
              <w:t>m</w:t>
            </w:r>
            <w:r w:rsidRPr="00FE6AC6">
              <w:rPr>
                <w:rFonts w:ascii="Times New Roman" w:hAnsi="Times New Roman"/>
                <w:color w:val="000000"/>
                <w:sz w:val="22"/>
                <w:vertAlign w:val="superscript"/>
                <w:lang w:val="bg-BG"/>
              </w:rPr>
              <w:t>2</w:t>
            </w:r>
            <w:r w:rsidRPr="00FE6AC6">
              <w:rPr>
                <w:rFonts w:ascii="Times New Roman" w:hAnsi="Times New Roman"/>
                <w:color w:val="000000"/>
                <w:sz w:val="22"/>
                <w:vertAlign w:val="superscript"/>
              </w:rPr>
              <w:t> </w:t>
            </w:r>
            <w:r w:rsidRPr="00FE6AC6">
              <w:rPr>
                <w:rFonts w:ascii="Times New Roman" w:hAnsi="Times New Roman"/>
                <w:color w:val="000000"/>
                <w:sz w:val="22"/>
              </w:rPr>
              <w:t>i</w:t>
            </w:r>
            <w:r w:rsidRPr="00FE6AC6">
              <w:rPr>
                <w:rFonts w:ascii="Times New Roman" w:hAnsi="Times New Roman"/>
                <w:color w:val="000000"/>
                <w:sz w:val="22"/>
                <w:lang w:val="bg-BG"/>
              </w:rPr>
              <w:t>.</w:t>
            </w:r>
            <w:r w:rsidRPr="00FE6AC6">
              <w:rPr>
                <w:rFonts w:ascii="Times New Roman" w:hAnsi="Times New Roman"/>
                <w:color w:val="000000"/>
                <w:sz w:val="22"/>
              </w:rPr>
              <w:t>v</w:t>
            </w:r>
            <w:r w:rsidRPr="00FE6AC6">
              <w:rPr>
                <w:rFonts w:ascii="Times New Roman" w:hAnsi="Times New Roman"/>
                <w:color w:val="000000"/>
                <w:sz w:val="22"/>
                <w:lang w:val="bg-BG"/>
              </w:rPr>
              <w:t>. (2</w:t>
            </w:r>
            <w:r w:rsidRPr="00FE6AC6">
              <w:rPr>
                <w:rFonts w:ascii="Times New Roman" w:hAnsi="Times New Roman"/>
                <w:color w:val="000000"/>
                <w:sz w:val="22"/>
              </w:rPr>
              <w:t> </w:t>
            </w:r>
            <w:r w:rsidRPr="00FE6AC6">
              <w:rPr>
                <w:rFonts w:ascii="Times New Roman" w:hAnsi="Times New Roman"/>
                <w:color w:val="000000"/>
                <w:sz w:val="22"/>
                <w:lang w:val="bg-BG"/>
              </w:rPr>
              <w:t xml:space="preserve">часа, </w:t>
            </w:r>
            <w:r w:rsidRPr="00FE6AC6">
              <w:rPr>
                <w:rFonts w:ascii="Times New Roman" w:hAnsi="Times New Roman"/>
                <w:color w:val="000000"/>
                <w:sz w:val="22"/>
              </w:rPr>
              <w:t>q </w:t>
            </w:r>
            <w:r w:rsidRPr="00FE6AC6">
              <w:rPr>
                <w:rFonts w:ascii="Times New Roman" w:hAnsi="Times New Roman"/>
                <w:color w:val="000000"/>
                <w:sz w:val="22"/>
                <w:lang w:val="bg-BG"/>
              </w:rPr>
              <w:t>12</w:t>
            </w:r>
            <w:r w:rsidRPr="00FE6AC6">
              <w:rPr>
                <w:rFonts w:ascii="Times New Roman" w:hAnsi="Times New Roman"/>
                <w:color w:val="000000"/>
                <w:sz w:val="22"/>
              </w:rPr>
              <w:t> </w:t>
            </w:r>
            <w:r w:rsidRPr="00FE6AC6">
              <w:rPr>
                <w:rFonts w:ascii="Times New Roman" w:hAnsi="Times New Roman"/>
                <w:color w:val="000000"/>
                <w:sz w:val="22"/>
                <w:lang w:val="bg-BG"/>
              </w:rPr>
              <w:t>часа), дни</w:t>
            </w:r>
            <w:r w:rsidRPr="00FE6AC6">
              <w:rPr>
                <w:rFonts w:ascii="Times New Roman" w:hAnsi="Times New Roman"/>
                <w:color w:val="000000"/>
                <w:sz w:val="22"/>
              </w:rPr>
              <w:t> </w:t>
            </w:r>
            <w:r w:rsidRPr="00FE6AC6">
              <w:rPr>
                <w:rFonts w:ascii="Times New Roman" w:hAnsi="Times New Roman"/>
                <w:color w:val="000000"/>
                <w:sz w:val="22"/>
                <w:lang w:val="bg-BG"/>
              </w:rPr>
              <w:t>2-3</w:t>
            </w:r>
            <w:r w:rsidRPr="00FE6AC6">
              <w:rPr>
                <w:rFonts w:ascii="Times New Roman" w:hAnsi="Times New Roman"/>
                <w:color w:val="000000"/>
                <w:sz w:val="22"/>
              </w:rPr>
              <w:t> </w:t>
            </w:r>
            <w:r w:rsidRPr="00FE6AC6">
              <w:rPr>
                <w:rFonts w:ascii="Times New Roman" w:hAnsi="Times New Roman"/>
                <w:color w:val="000000"/>
                <w:sz w:val="22"/>
                <w:lang w:val="bg-BG"/>
              </w:rPr>
              <w:t>(общо</w:t>
            </w:r>
            <w:r w:rsidRPr="00FE6AC6">
              <w:rPr>
                <w:rFonts w:ascii="Times New Roman" w:hAnsi="Times New Roman"/>
                <w:color w:val="000000"/>
                <w:sz w:val="22"/>
              </w:rPr>
              <w:t> </w:t>
            </w:r>
            <w:r w:rsidRPr="00FE6AC6">
              <w:rPr>
                <w:rFonts w:ascii="Times New Roman" w:hAnsi="Times New Roman"/>
                <w:color w:val="000000"/>
                <w:sz w:val="22"/>
                <w:lang w:val="bg-BG"/>
              </w:rPr>
              <w:t>8</w:t>
            </w:r>
            <w:r w:rsidRPr="00FE6AC6">
              <w:rPr>
                <w:rFonts w:ascii="Times New Roman" w:hAnsi="Times New Roman"/>
                <w:color w:val="000000"/>
                <w:sz w:val="22"/>
              </w:rPr>
              <w:t> </w:t>
            </w:r>
            <w:r w:rsidRPr="00FE6AC6">
              <w:rPr>
                <w:rFonts w:ascii="Times New Roman" w:hAnsi="Times New Roman"/>
                <w:color w:val="000000"/>
                <w:sz w:val="22"/>
                <w:lang w:val="bg-BG"/>
              </w:rPr>
              <w:t>курса)</w:t>
            </w:r>
          </w:p>
        </w:tc>
      </w:tr>
      <w:tr w:rsidR="001B628D" w:rsidRPr="004015AA" w14:paraId="3E550494" w14:textId="77777777" w:rsidTr="00EB1684">
        <w:trPr>
          <w:cantSplit/>
        </w:trPr>
        <w:tc>
          <w:tcPr>
            <w:tcW w:w="2148" w:type="dxa"/>
            <w:tcBorders>
              <w:top w:val="single" w:sz="4" w:space="0" w:color="auto"/>
              <w:bottom w:val="single" w:sz="4" w:space="0" w:color="auto"/>
            </w:tcBorders>
          </w:tcPr>
          <w:p w14:paraId="3E550491" w14:textId="77777777" w:rsidR="001B628D" w:rsidRPr="00FE6AC6" w:rsidRDefault="001B628D" w:rsidP="00C90F9F">
            <w:pPr>
              <w:pStyle w:val="Table"/>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lang w:val="bg-BG"/>
              </w:rPr>
              <w:t>Поддържане</w:t>
            </w:r>
          </w:p>
        </w:tc>
        <w:tc>
          <w:tcPr>
            <w:tcW w:w="6732" w:type="dxa"/>
            <w:gridSpan w:val="4"/>
            <w:tcBorders>
              <w:top w:val="single" w:sz="4" w:space="0" w:color="auto"/>
              <w:bottom w:val="single" w:sz="4" w:space="0" w:color="auto"/>
            </w:tcBorders>
          </w:tcPr>
          <w:p w14:paraId="3E550492"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rPr>
              <w:t>VCR</w:t>
            </w:r>
            <w:r w:rsidRPr="00FE6AC6">
              <w:rPr>
                <w:rFonts w:ascii="Times New Roman" w:hAnsi="Times New Roman"/>
                <w:color w:val="000000"/>
                <w:sz w:val="22"/>
                <w:lang w:val="ru-RU"/>
              </w:rPr>
              <w:t> 2 </w:t>
            </w:r>
            <w:r w:rsidRPr="00FE6AC6">
              <w:rPr>
                <w:rFonts w:ascii="Times New Roman" w:hAnsi="Times New Roman"/>
                <w:color w:val="000000"/>
                <w:sz w:val="22"/>
              </w:rPr>
              <w:t>mg</w:t>
            </w:r>
            <w:r w:rsidRPr="00FE6AC6">
              <w:rPr>
                <w:rFonts w:ascii="Times New Roman" w:hAnsi="Times New Roman"/>
                <w:color w:val="000000"/>
                <w:sz w:val="22"/>
                <w:lang w:val="ru-RU"/>
              </w:rPr>
              <w:t xml:space="preserve">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месечно за 1</w:t>
            </w:r>
            <w:r w:rsidRPr="00FE6AC6">
              <w:rPr>
                <w:rFonts w:ascii="Times New Roman" w:hAnsi="Times New Roman"/>
                <w:color w:val="000000"/>
                <w:sz w:val="22"/>
                <w:lang w:val="ru-RU"/>
              </w:rPr>
              <w:t>3 </w:t>
            </w:r>
            <w:r w:rsidRPr="00FE6AC6">
              <w:rPr>
                <w:rFonts w:ascii="Times New Roman" w:hAnsi="Times New Roman"/>
                <w:color w:val="000000"/>
                <w:sz w:val="22"/>
                <w:lang w:val="bg-BG"/>
              </w:rPr>
              <w:t>месеца</w:t>
            </w:r>
            <w:r w:rsidRPr="00FE6AC6">
              <w:rPr>
                <w:rFonts w:ascii="Times New Roman" w:hAnsi="Times New Roman"/>
                <w:color w:val="000000"/>
                <w:sz w:val="22"/>
                <w:lang w:val="ru-RU"/>
              </w:rPr>
              <w:t>;</w:t>
            </w:r>
          </w:p>
          <w:p w14:paraId="3E550493"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ru-RU"/>
              </w:rPr>
              <w:t>Преднизолон 200 </w:t>
            </w:r>
            <w:r w:rsidRPr="00FE6AC6">
              <w:rPr>
                <w:rFonts w:ascii="Times New Roman" w:hAnsi="Times New Roman"/>
                <w:color w:val="000000"/>
                <w:sz w:val="22"/>
              </w:rPr>
              <w:t>mg</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перорално</w:t>
            </w:r>
            <w:r w:rsidRPr="00FE6AC6">
              <w:rPr>
                <w:rFonts w:ascii="Times New Roman" w:hAnsi="Times New Roman"/>
                <w:color w:val="000000"/>
                <w:sz w:val="22"/>
                <w:lang w:val="ru-RU"/>
              </w:rPr>
              <w:t>, 5 </w:t>
            </w:r>
            <w:r w:rsidRPr="00FE6AC6">
              <w:rPr>
                <w:rFonts w:ascii="Times New Roman" w:hAnsi="Times New Roman"/>
                <w:color w:val="000000"/>
                <w:sz w:val="22"/>
                <w:lang w:val="bg-BG"/>
              </w:rPr>
              <w:t>дена в месеца за 1</w:t>
            </w:r>
            <w:r w:rsidRPr="00FE6AC6">
              <w:rPr>
                <w:rFonts w:ascii="Times New Roman" w:hAnsi="Times New Roman"/>
                <w:color w:val="000000"/>
                <w:sz w:val="22"/>
                <w:lang w:val="ru-RU"/>
              </w:rPr>
              <w:t>3 </w:t>
            </w:r>
            <w:r w:rsidRPr="00FE6AC6">
              <w:rPr>
                <w:rFonts w:ascii="Times New Roman" w:hAnsi="Times New Roman"/>
                <w:color w:val="000000"/>
                <w:sz w:val="22"/>
                <w:lang w:val="bg-BG"/>
              </w:rPr>
              <w:t>месеца</w:t>
            </w:r>
          </w:p>
        </w:tc>
      </w:tr>
      <w:tr w:rsidR="001B628D" w:rsidRPr="004015AA" w14:paraId="3E550496" w14:textId="77777777" w:rsidTr="00EB1684">
        <w:trPr>
          <w:cantSplit/>
        </w:trPr>
        <w:tc>
          <w:tcPr>
            <w:tcW w:w="8880" w:type="dxa"/>
            <w:gridSpan w:val="5"/>
            <w:tcBorders>
              <w:top w:val="single" w:sz="4" w:space="0" w:color="auto"/>
              <w:bottom w:val="single" w:sz="4" w:space="0" w:color="auto"/>
            </w:tcBorders>
          </w:tcPr>
          <w:p w14:paraId="3E550495" w14:textId="77777777" w:rsidR="001B628D" w:rsidRPr="00FE6AC6" w:rsidRDefault="001B628D" w:rsidP="00C90F9F">
            <w:pPr>
              <w:pStyle w:val="Table"/>
              <w:keepLines w:val="0"/>
              <w:widowControl w:val="0"/>
              <w:spacing w:before="0" w:after="0"/>
              <w:rPr>
                <w:rFonts w:ascii="Times New Roman" w:hAnsi="Times New Roman"/>
                <w:color w:val="000000"/>
                <w:sz w:val="22"/>
                <w:lang w:val="ru-RU"/>
              </w:rPr>
            </w:pPr>
            <w:r w:rsidRPr="00FE6AC6">
              <w:rPr>
                <w:rFonts w:ascii="Times New Roman" w:hAnsi="Times New Roman"/>
                <w:color w:val="000000"/>
                <w:sz w:val="22"/>
                <w:lang w:val="bg-BG"/>
              </w:rPr>
              <w:t>Всички схеми на лечение включват прилагане на стероиди за профилактика на ЦНС</w:t>
            </w:r>
            <w:r w:rsidRPr="00FE6AC6">
              <w:rPr>
                <w:rFonts w:ascii="Times New Roman" w:hAnsi="Times New Roman"/>
                <w:color w:val="000000"/>
                <w:sz w:val="22"/>
                <w:lang w:val="ru-RU"/>
              </w:rPr>
              <w:t>.</w:t>
            </w:r>
          </w:p>
        </w:tc>
      </w:tr>
      <w:tr w:rsidR="001B628D" w:rsidRPr="004015AA" w14:paraId="3E550498" w14:textId="77777777" w:rsidTr="00EB1684">
        <w:trPr>
          <w:cantSplit/>
        </w:trPr>
        <w:tc>
          <w:tcPr>
            <w:tcW w:w="8880" w:type="dxa"/>
            <w:gridSpan w:val="5"/>
            <w:tcBorders>
              <w:top w:val="single" w:sz="4" w:space="0" w:color="auto"/>
              <w:bottom w:val="single" w:sz="4" w:space="0" w:color="auto"/>
            </w:tcBorders>
          </w:tcPr>
          <w:p w14:paraId="3E550497" w14:textId="77777777" w:rsidR="001B628D" w:rsidRPr="00FE6AC6" w:rsidRDefault="001B628D" w:rsidP="00C90F9F">
            <w:pPr>
              <w:pStyle w:val="Table"/>
              <w:keepNext w:val="0"/>
              <w:keepLines w:val="0"/>
              <w:widowControl w:val="0"/>
              <w:spacing w:before="0" w:after="0"/>
              <w:rPr>
                <w:rFonts w:ascii="Times New Roman" w:hAnsi="Times New Roman"/>
                <w:color w:val="000000"/>
                <w:sz w:val="22"/>
                <w:lang w:val="bg-BG"/>
              </w:rPr>
            </w:pPr>
            <w:r w:rsidRPr="00FE6AC6">
              <w:rPr>
                <w:rFonts w:ascii="Times New Roman" w:hAnsi="Times New Roman"/>
                <w:color w:val="000000"/>
                <w:sz w:val="22"/>
              </w:rPr>
              <w:t>Ara</w:t>
            </w:r>
            <w:r w:rsidRPr="00FE6AC6">
              <w:rPr>
                <w:rFonts w:ascii="Times New Roman" w:hAnsi="Times New Roman"/>
                <w:color w:val="000000"/>
                <w:sz w:val="22"/>
                <w:lang w:val="ru-RU"/>
              </w:rPr>
              <w:t>-</w:t>
            </w:r>
            <w:r w:rsidRPr="00FE6AC6">
              <w:rPr>
                <w:rFonts w:ascii="Times New Roman" w:hAnsi="Times New Roman"/>
                <w:color w:val="000000"/>
                <w:sz w:val="22"/>
              </w:rPr>
              <w:t>C</w:t>
            </w:r>
            <w:r w:rsidRPr="00FE6AC6">
              <w:rPr>
                <w:rFonts w:ascii="Times New Roman" w:hAnsi="Times New Roman"/>
                <w:color w:val="000000"/>
                <w:sz w:val="22"/>
                <w:lang w:val="ru-RU"/>
              </w:rPr>
              <w:t xml:space="preserve">: цитозин арабинозид; </w:t>
            </w:r>
            <w:r w:rsidRPr="00FE6AC6">
              <w:rPr>
                <w:rFonts w:ascii="Times New Roman" w:hAnsi="Times New Roman"/>
                <w:color w:val="000000"/>
                <w:sz w:val="22"/>
              </w:rPr>
              <w:t>CP</w:t>
            </w:r>
            <w:r w:rsidRPr="00FE6AC6">
              <w:rPr>
                <w:rFonts w:ascii="Times New Roman" w:hAnsi="Times New Roman"/>
                <w:color w:val="000000"/>
                <w:sz w:val="22"/>
                <w:lang w:val="ru-RU"/>
              </w:rPr>
              <w:t xml:space="preserve">: циклофосфамид; </w:t>
            </w:r>
            <w:r w:rsidRPr="00FE6AC6">
              <w:rPr>
                <w:rFonts w:ascii="Times New Roman" w:hAnsi="Times New Roman"/>
                <w:color w:val="000000"/>
                <w:sz w:val="22"/>
              </w:rPr>
              <w:t>DEX</w:t>
            </w:r>
            <w:r w:rsidRPr="00FE6AC6">
              <w:rPr>
                <w:rFonts w:ascii="Times New Roman" w:hAnsi="Times New Roman"/>
                <w:color w:val="000000"/>
                <w:sz w:val="22"/>
                <w:lang w:val="ru-RU"/>
              </w:rPr>
              <w:t xml:space="preserve">: дексаметазон; </w:t>
            </w:r>
            <w:r w:rsidRPr="00FE6AC6">
              <w:rPr>
                <w:rFonts w:ascii="Times New Roman" w:hAnsi="Times New Roman"/>
                <w:color w:val="000000"/>
                <w:sz w:val="22"/>
              </w:rPr>
              <w:t>MTX</w:t>
            </w:r>
            <w:r w:rsidRPr="00FE6AC6">
              <w:rPr>
                <w:rFonts w:ascii="Times New Roman" w:hAnsi="Times New Roman"/>
                <w:color w:val="000000"/>
                <w:sz w:val="22"/>
                <w:lang w:val="ru-RU"/>
              </w:rPr>
              <w:t>: метотрексат; 6-</w:t>
            </w:r>
            <w:r w:rsidRPr="00FE6AC6">
              <w:rPr>
                <w:rFonts w:ascii="Times New Roman" w:hAnsi="Times New Roman"/>
                <w:color w:val="000000"/>
                <w:sz w:val="22"/>
              </w:rPr>
              <w:t>MP</w:t>
            </w:r>
            <w:r w:rsidRPr="00FE6AC6">
              <w:rPr>
                <w:rFonts w:ascii="Times New Roman" w:hAnsi="Times New Roman"/>
                <w:color w:val="000000"/>
                <w:sz w:val="22"/>
                <w:lang w:val="ru-RU"/>
              </w:rPr>
              <w:t xml:space="preserve">: 6-меркаптопурин; </w:t>
            </w:r>
            <w:r w:rsidRPr="00FE6AC6">
              <w:rPr>
                <w:rFonts w:ascii="Times New Roman" w:hAnsi="Times New Roman"/>
                <w:color w:val="000000"/>
                <w:sz w:val="22"/>
              </w:rPr>
              <w:t>VM</w:t>
            </w:r>
            <w:r w:rsidRPr="00FE6AC6">
              <w:rPr>
                <w:rFonts w:ascii="Times New Roman" w:hAnsi="Times New Roman"/>
                <w:color w:val="000000"/>
                <w:sz w:val="22"/>
                <w:lang w:val="ru-RU"/>
              </w:rPr>
              <w:t xml:space="preserve">26: Тенипозид; </w:t>
            </w:r>
            <w:r w:rsidRPr="00FE6AC6">
              <w:rPr>
                <w:rFonts w:ascii="Times New Roman" w:hAnsi="Times New Roman"/>
                <w:color w:val="000000"/>
                <w:sz w:val="22"/>
              </w:rPr>
              <w:t>VCR</w:t>
            </w:r>
            <w:r w:rsidRPr="00FE6AC6">
              <w:rPr>
                <w:rFonts w:ascii="Times New Roman" w:hAnsi="Times New Roman"/>
                <w:color w:val="000000"/>
                <w:sz w:val="22"/>
                <w:lang w:val="ru-RU"/>
              </w:rPr>
              <w:t xml:space="preserve">: винкристин; </w:t>
            </w:r>
            <w:r w:rsidRPr="00FE6AC6">
              <w:rPr>
                <w:rFonts w:ascii="Times New Roman" w:hAnsi="Times New Roman"/>
                <w:color w:val="000000"/>
                <w:sz w:val="22"/>
              </w:rPr>
              <w:t>IDA</w:t>
            </w:r>
            <w:r w:rsidRPr="00FE6AC6">
              <w:rPr>
                <w:rFonts w:ascii="Times New Roman" w:hAnsi="Times New Roman"/>
                <w:color w:val="000000"/>
                <w:sz w:val="22"/>
                <w:lang w:val="ru-RU"/>
              </w:rPr>
              <w:t xml:space="preserve">: идарубицин; </w:t>
            </w:r>
            <w:r w:rsidRPr="00FE6AC6">
              <w:rPr>
                <w:rFonts w:ascii="Times New Roman" w:hAnsi="Times New Roman"/>
                <w:color w:val="000000"/>
                <w:sz w:val="22"/>
              </w:rPr>
              <w:t>i</w:t>
            </w:r>
            <w:r w:rsidRPr="00FE6AC6">
              <w:rPr>
                <w:rFonts w:ascii="Times New Roman" w:hAnsi="Times New Roman"/>
                <w:color w:val="000000"/>
                <w:sz w:val="22"/>
                <w:lang w:val="ru-RU"/>
              </w:rPr>
              <w:t>.</w:t>
            </w:r>
            <w:r w:rsidRPr="00FE6AC6">
              <w:rPr>
                <w:rFonts w:ascii="Times New Roman" w:hAnsi="Times New Roman"/>
                <w:color w:val="000000"/>
                <w:sz w:val="22"/>
              </w:rPr>
              <w:t>v</w:t>
            </w:r>
            <w:r w:rsidRPr="00FE6AC6">
              <w:rPr>
                <w:rFonts w:ascii="Times New Roman" w:hAnsi="Times New Roman"/>
                <w:color w:val="000000"/>
                <w:sz w:val="22"/>
                <w:lang w:val="ru-RU"/>
              </w:rPr>
              <w:t xml:space="preserve">.: </w:t>
            </w:r>
            <w:r w:rsidRPr="00FE6AC6">
              <w:rPr>
                <w:rFonts w:ascii="Times New Roman" w:hAnsi="Times New Roman"/>
                <w:color w:val="000000"/>
                <w:sz w:val="22"/>
                <w:lang w:val="bg-BG"/>
              </w:rPr>
              <w:t>интравенозно</w:t>
            </w:r>
          </w:p>
        </w:tc>
      </w:tr>
    </w:tbl>
    <w:p w14:paraId="3E550499" w14:textId="77777777" w:rsidR="001B628D" w:rsidRPr="00FE6AC6" w:rsidRDefault="001B628D" w:rsidP="0063575E">
      <w:pPr>
        <w:pStyle w:val="EndnoteText"/>
        <w:widowControl w:val="0"/>
        <w:rPr>
          <w:color w:val="000000"/>
          <w:szCs w:val="22"/>
          <w:lang w:val="ru-RU"/>
        </w:rPr>
      </w:pPr>
    </w:p>
    <w:p w14:paraId="3E55049A" w14:textId="77777777" w:rsidR="001B628D" w:rsidRPr="00FE6AC6" w:rsidRDefault="001B628D" w:rsidP="0063575E">
      <w:pPr>
        <w:pStyle w:val="EndnoteText"/>
        <w:widowControl w:val="0"/>
        <w:rPr>
          <w:color w:val="000000"/>
          <w:lang w:val="bg-BG"/>
        </w:rPr>
      </w:pPr>
      <w:r w:rsidRPr="00FE6AC6">
        <w:rPr>
          <w:i/>
          <w:color w:val="000000"/>
          <w:lang w:val="bg-BG"/>
        </w:rPr>
        <w:t>Педиатрични пациенти</w:t>
      </w:r>
      <w:r w:rsidRPr="00FE6AC6">
        <w:rPr>
          <w:color w:val="000000"/>
          <w:lang w:val="ru-RU"/>
        </w:rPr>
        <w:t>:</w:t>
      </w:r>
      <w:r w:rsidRPr="00FE6AC6">
        <w:rPr>
          <w:lang w:val="ru-RU"/>
        </w:rPr>
        <w:t xml:space="preserve"> </w:t>
      </w:r>
      <w:r w:rsidRPr="00FE6AC6">
        <w:rPr>
          <w:lang w:val="bg-BG"/>
        </w:rPr>
        <w:t>В проучване</w:t>
      </w:r>
      <w:r w:rsidRPr="00FE6AC6">
        <w:rPr>
          <w:color w:val="000000"/>
          <w:lang w:val="ru-RU"/>
        </w:rPr>
        <w:t xml:space="preserve"> </w:t>
      </w:r>
      <w:r w:rsidRPr="00FE6AC6">
        <w:rPr>
          <w:color w:val="000000"/>
        </w:rPr>
        <w:t>I</w:t>
      </w:r>
      <w:r w:rsidRPr="00FE6AC6">
        <w:rPr>
          <w:color w:val="000000"/>
          <w:lang w:val="ru-RU"/>
        </w:rPr>
        <w:t>2301</w:t>
      </w:r>
      <w:r w:rsidRPr="00FE6AC6">
        <w:rPr>
          <w:color w:val="000000"/>
          <w:lang w:val="bg-BG"/>
        </w:rPr>
        <w:t xml:space="preserve"> общо</w:t>
      </w:r>
      <w:r w:rsidRPr="00FE6AC6">
        <w:rPr>
          <w:color w:val="000000"/>
          <w:lang w:val="ru-RU"/>
        </w:rPr>
        <w:t xml:space="preserve"> 93 </w:t>
      </w:r>
      <w:r w:rsidRPr="00FE6AC6">
        <w:rPr>
          <w:color w:val="000000"/>
          <w:lang w:val="bg-BG"/>
        </w:rPr>
        <w:t xml:space="preserve">педиатрични пациенти, юноши и млади възрастни (на възраст от 1 до 22 години) с </w:t>
      </w:r>
      <w:r w:rsidRPr="00FE6AC6">
        <w:rPr>
          <w:color w:val="000000"/>
        </w:rPr>
        <w:t>Ph</w:t>
      </w:r>
      <w:r w:rsidRPr="00FE6AC6">
        <w:rPr>
          <w:color w:val="000000"/>
          <w:lang w:val="ru-RU"/>
        </w:rPr>
        <w:t xml:space="preserve">+ </w:t>
      </w:r>
      <w:r w:rsidRPr="00FE6AC6">
        <w:rPr>
          <w:color w:val="000000"/>
          <w:lang w:val="bg-BG"/>
        </w:rPr>
        <w:t>ОЛЛ са включени в отворено, многоцентрово, нерандомизирано фаза</w:t>
      </w:r>
      <w:r w:rsidRPr="00FE6AC6">
        <w:rPr>
          <w:color w:val="000000"/>
          <w:lang w:val="ru-RU"/>
        </w:rPr>
        <w:t> </w:t>
      </w:r>
      <w:r w:rsidRPr="00FE6AC6">
        <w:rPr>
          <w:color w:val="000000"/>
        </w:rPr>
        <w:t>III</w:t>
      </w:r>
      <w:r w:rsidRPr="00FE6AC6">
        <w:rPr>
          <w:color w:val="000000"/>
          <w:lang w:val="ru-RU"/>
        </w:rPr>
        <w:t xml:space="preserve"> </w:t>
      </w:r>
      <w:r w:rsidRPr="00FE6AC6">
        <w:rPr>
          <w:color w:val="000000"/>
          <w:lang w:val="bg-BG"/>
        </w:rPr>
        <w:t xml:space="preserve">изпитване с последователни кохорти. Пациентите са лекувани с </w:t>
      </w:r>
      <w:r w:rsidRPr="00FE6AC6">
        <w:rPr>
          <w:color w:val="000000"/>
        </w:rPr>
        <w:t>Glivec</w:t>
      </w:r>
      <w:r w:rsidRPr="00FE6AC6">
        <w:rPr>
          <w:color w:val="000000"/>
          <w:lang w:val="ru-RU"/>
        </w:rPr>
        <w:t xml:space="preserve"> (340</w:t>
      </w:r>
      <w:r w:rsidRPr="00FE6AC6">
        <w:rPr>
          <w:color w:val="000000"/>
        </w:rPr>
        <w:t> mg</w:t>
      </w:r>
      <w:r w:rsidRPr="00FE6AC6">
        <w:rPr>
          <w:color w:val="000000"/>
          <w:lang w:val="ru-RU"/>
        </w:rPr>
        <w:t>/</w:t>
      </w:r>
      <w:r w:rsidRPr="00FE6AC6">
        <w:rPr>
          <w:color w:val="000000"/>
        </w:rPr>
        <w:t>m</w:t>
      </w:r>
      <w:r w:rsidRPr="00FE6AC6">
        <w:rPr>
          <w:color w:val="000000"/>
          <w:vertAlign w:val="superscript"/>
          <w:lang w:val="ru-RU"/>
        </w:rPr>
        <w:t>2</w:t>
      </w:r>
      <w:r w:rsidRPr="00FE6AC6">
        <w:rPr>
          <w:color w:val="000000"/>
          <w:lang w:val="ru-RU"/>
        </w:rPr>
        <w:t>/</w:t>
      </w:r>
      <w:r w:rsidRPr="00FE6AC6">
        <w:rPr>
          <w:color w:val="000000"/>
          <w:lang w:val="bg-BG"/>
        </w:rPr>
        <w:t>ден</w:t>
      </w:r>
      <w:r w:rsidRPr="00FE6AC6">
        <w:rPr>
          <w:color w:val="000000"/>
          <w:lang w:val="ru-RU"/>
        </w:rPr>
        <w:t xml:space="preserve">) </w:t>
      </w:r>
      <w:r w:rsidRPr="00FE6AC6">
        <w:rPr>
          <w:color w:val="000000"/>
          <w:lang w:val="bg-BG"/>
        </w:rPr>
        <w:t xml:space="preserve">в комбинация с интензивна химиотерапия, след индукционна терапия. </w:t>
      </w:r>
      <w:r w:rsidRPr="00FE6AC6">
        <w:rPr>
          <w:color w:val="000000"/>
        </w:rPr>
        <w:t>Glivec</w:t>
      </w:r>
      <w:r w:rsidRPr="00FE6AC6">
        <w:rPr>
          <w:color w:val="000000"/>
          <w:lang w:val="bg-BG"/>
        </w:rPr>
        <w:t xml:space="preserve"> е прилаган интермитентно в кохорти 1</w:t>
      </w:r>
      <w:r w:rsidRPr="00FE6AC6">
        <w:rPr>
          <w:color w:val="000000"/>
          <w:lang w:val="bg-BG"/>
        </w:rPr>
        <w:noBreakHyphen/>
        <w:t xml:space="preserve">5, с увеличаваща се продължителност и по-ранно започване на </w:t>
      </w:r>
      <w:r w:rsidRPr="00FE6AC6">
        <w:rPr>
          <w:color w:val="000000"/>
        </w:rPr>
        <w:t>Glivec</w:t>
      </w:r>
      <w:r w:rsidRPr="00FE6AC6">
        <w:rPr>
          <w:color w:val="000000"/>
          <w:lang w:val="bg-BG"/>
        </w:rPr>
        <w:t xml:space="preserve"> от кохорта на кохорта, кохорта 1 го е получавала с най-ниска интензивност, а кохорта 5 с най-висока интензивност (най-дълга продължителност в дни с непрекъснато ежедневно приложение на </w:t>
      </w:r>
      <w:r w:rsidRPr="00FE6AC6">
        <w:rPr>
          <w:color w:val="000000"/>
        </w:rPr>
        <w:t>Glivec</w:t>
      </w:r>
      <w:r w:rsidRPr="00FE6AC6">
        <w:rPr>
          <w:color w:val="000000"/>
          <w:lang w:val="bg-BG"/>
        </w:rPr>
        <w:t xml:space="preserve"> през първия химиотерапевтичен курс). Продължителната ежедневна експозиция на </w:t>
      </w:r>
      <w:r w:rsidRPr="00FE6AC6">
        <w:rPr>
          <w:color w:val="000000"/>
        </w:rPr>
        <w:t>Glivec</w:t>
      </w:r>
      <w:r w:rsidRPr="00FE6AC6">
        <w:rPr>
          <w:color w:val="000000"/>
          <w:lang w:val="bg-BG"/>
        </w:rPr>
        <w:t xml:space="preserve"> в ранните етапи от лечението в комбинация с химиотерапия при пациентите в кохорта</w:t>
      </w:r>
      <w:r w:rsidRPr="00FE6AC6">
        <w:rPr>
          <w:color w:val="000000"/>
        </w:rPr>
        <w:t> </w:t>
      </w:r>
      <w:r w:rsidRPr="00FE6AC6">
        <w:rPr>
          <w:color w:val="000000"/>
          <w:lang w:val="bg-BG"/>
        </w:rPr>
        <w:t>5 (</w:t>
      </w:r>
      <w:r w:rsidRPr="00FE6AC6">
        <w:rPr>
          <w:color w:val="000000"/>
        </w:rPr>
        <w:t>n</w:t>
      </w:r>
      <w:r w:rsidRPr="00FE6AC6">
        <w:rPr>
          <w:color w:val="000000"/>
          <w:lang w:val="bg-BG"/>
        </w:rPr>
        <w:t>=50) подобрява 4-годишната преживяемост без събития (ПБР) спрямо контроли от минали проучвания (</w:t>
      </w:r>
      <w:r w:rsidRPr="00FE6AC6">
        <w:rPr>
          <w:color w:val="000000"/>
        </w:rPr>
        <w:t>n</w:t>
      </w:r>
      <w:r w:rsidRPr="00FE6AC6">
        <w:rPr>
          <w:color w:val="000000"/>
          <w:lang w:val="bg-BG"/>
        </w:rPr>
        <w:t xml:space="preserve">=120), получаващи стандартна химиотерапия без </w:t>
      </w:r>
      <w:r w:rsidRPr="00FE6AC6">
        <w:rPr>
          <w:color w:val="000000"/>
        </w:rPr>
        <w:t>Glivec</w:t>
      </w:r>
      <w:r w:rsidRPr="00FE6AC6">
        <w:rPr>
          <w:color w:val="000000"/>
          <w:lang w:val="bg-BG"/>
        </w:rPr>
        <w:t xml:space="preserve"> (съответно 69,6% спрямо 31,6%). Изчислената 4-годишна обща преживяемост на пациентите в кохорта 5 е 83,6% спрямо 44,8% при контролите от минали проучвания. При 20 от 50 (40%) пациенти в кохорта 5 е направена трансплантация на хемопоетични стволови клетки.</w:t>
      </w:r>
    </w:p>
    <w:p w14:paraId="3E55049B" w14:textId="77777777" w:rsidR="001B628D" w:rsidRPr="00FE6AC6" w:rsidRDefault="001B628D" w:rsidP="0063575E">
      <w:pPr>
        <w:pStyle w:val="EndnoteText"/>
        <w:widowControl w:val="0"/>
        <w:rPr>
          <w:color w:val="000000"/>
          <w:lang w:val="bg-BG"/>
        </w:rPr>
      </w:pPr>
    </w:p>
    <w:p w14:paraId="3E55049C" w14:textId="77777777" w:rsidR="001B628D" w:rsidRPr="00FE6AC6" w:rsidRDefault="001B628D" w:rsidP="0063575E">
      <w:pPr>
        <w:pStyle w:val="EndnoteText"/>
        <w:keepNext/>
        <w:keepLines/>
        <w:widowControl w:val="0"/>
        <w:tabs>
          <w:tab w:val="clear" w:pos="567"/>
        </w:tabs>
        <w:ind w:left="1134" w:hanging="1134"/>
        <w:rPr>
          <w:b/>
          <w:color w:val="000000"/>
          <w:lang w:val="bg-BG"/>
        </w:rPr>
      </w:pPr>
      <w:r w:rsidRPr="00FE6AC6">
        <w:rPr>
          <w:b/>
          <w:color w:val="000000"/>
          <w:lang w:val="bg-BG"/>
        </w:rPr>
        <w:t>Таблица</w:t>
      </w:r>
      <w:r w:rsidRPr="00FE6AC6">
        <w:rPr>
          <w:b/>
          <w:color w:val="000000"/>
        </w:rPr>
        <w:t> </w:t>
      </w:r>
      <w:r w:rsidR="00957E0E" w:rsidRPr="00FE6AC6">
        <w:rPr>
          <w:b/>
          <w:color w:val="000000"/>
          <w:lang w:val="bg-BG"/>
        </w:rPr>
        <w:t>5</w:t>
      </w:r>
      <w:r w:rsidRPr="00FE6AC6">
        <w:rPr>
          <w:b/>
          <w:color w:val="000000"/>
          <w:lang w:val="bg-BG"/>
        </w:rPr>
        <w:tab/>
        <w:t xml:space="preserve">Химиотерапевтична схема използвана в комбинация с иматиниб в проучване </w:t>
      </w:r>
      <w:r w:rsidRPr="00FE6AC6">
        <w:rPr>
          <w:b/>
          <w:color w:val="000000"/>
        </w:rPr>
        <w:t>I</w:t>
      </w:r>
      <w:r w:rsidRPr="00FE6AC6">
        <w:rPr>
          <w:b/>
          <w:color w:val="000000"/>
          <w:lang w:val="bg-BG"/>
        </w:rPr>
        <w:t>2301</w:t>
      </w:r>
    </w:p>
    <w:p w14:paraId="3E55049D" w14:textId="77777777" w:rsidR="001B628D" w:rsidRPr="00FE6AC6" w:rsidRDefault="001B628D" w:rsidP="0063575E">
      <w:pPr>
        <w:pStyle w:val="EndnoteText"/>
        <w:keepNext/>
        <w:keepLines/>
        <w:widowControl w:val="0"/>
        <w:rPr>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6722"/>
      </w:tblGrid>
      <w:tr w:rsidR="001B628D" w:rsidRPr="00FE6AC6" w14:paraId="3E5504A6" w14:textId="77777777" w:rsidTr="00EB1684">
        <w:trPr>
          <w:cantSplit/>
        </w:trPr>
        <w:tc>
          <w:tcPr>
            <w:tcW w:w="2358" w:type="dxa"/>
            <w:shd w:val="clear" w:color="auto" w:fill="auto"/>
          </w:tcPr>
          <w:p w14:paraId="3E55049E" w14:textId="77777777" w:rsidR="001B628D" w:rsidRPr="00FE6AC6" w:rsidRDefault="001B628D" w:rsidP="0063575E">
            <w:pPr>
              <w:pStyle w:val="EndnoteText"/>
              <w:keepNext/>
              <w:keepLines/>
              <w:widowControl w:val="0"/>
              <w:rPr>
                <w:color w:val="000000"/>
              </w:rPr>
            </w:pPr>
            <w:r w:rsidRPr="00FE6AC6">
              <w:rPr>
                <w:color w:val="000000"/>
                <w:lang w:val="bg-BG"/>
              </w:rPr>
              <w:t>Консолидационен блок</w:t>
            </w:r>
            <w:r w:rsidRPr="00FE6AC6">
              <w:rPr>
                <w:color w:val="000000"/>
              </w:rPr>
              <w:t> 1</w:t>
            </w:r>
          </w:p>
          <w:p w14:paraId="3E55049F" w14:textId="77777777" w:rsidR="001B628D" w:rsidRPr="00FE6AC6" w:rsidRDefault="001B628D" w:rsidP="0063575E">
            <w:pPr>
              <w:pStyle w:val="EndnoteText"/>
              <w:keepNext/>
              <w:keepLines/>
              <w:widowControl w:val="0"/>
              <w:rPr>
                <w:color w:val="000000"/>
              </w:rPr>
            </w:pPr>
            <w:r w:rsidRPr="00FE6AC6">
              <w:rPr>
                <w:color w:val="000000"/>
              </w:rPr>
              <w:t>(3 </w:t>
            </w:r>
            <w:r w:rsidRPr="00FE6AC6">
              <w:rPr>
                <w:color w:val="000000"/>
                <w:lang w:val="bg-BG"/>
              </w:rPr>
              <w:t>седмици</w:t>
            </w:r>
            <w:r w:rsidRPr="00FE6AC6">
              <w:rPr>
                <w:color w:val="000000"/>
              </w:rPr>
              <w:t>)</w:t>
            </w:r>
          </w:p>
        </w:tc>
        <w:tc>
          <w:tcPr>
            <w:tcW w:w="6929" w:type="dxa"/>
            <w:shd w:val="clear" w:color="auto" w:fill="auto"/>
          </w:tcPr>
          <w:p w14:paraId="3E5504A0" w14:textId="77777777" w:rsidR="001B628D" w:rsidRPr="00FE6AC6" w:rsidRDefault="001B628D" w:rsidP="0063575E">
            <w:pPr>
              <w:pStyle w:val="EndnoteText"/>
              <w:keepNext/>
              <w:keepLines/>
              <w:widowControl w:val="0"/>
              <w:rPr>
                <w:color w:val="000000"/>
              </w:rPr>
            </w:pPr>
            <w:r w:rsidRPr="00FE6AC6">
              <w:rPr>
                <w:color w:val="000000"/>
              </w:rPr>
              <w:t>VP-16 (100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1</w:t>
            </w:r>
            <w:r w:rsidRPr="00FE6AC6">
              <w:rPr>
                <w:color w:val="000000"/>
              </w:rPr>
              <w:noBreakHyphen/>
              <w:t>5</w:t>
            </w:r>
          </w:p>
          <w:p w14:paraId="3E5504A1" w14:textId="77777777" w:rsidR="001B628D" w:rsidRPr="00FE6AC6" w:rsidRDefault="001B628D" w:rsidP="0063575E">
            <w:pPr>
              <w:pStyle w:val="EndnoteText"/>
              <w:keepNext/>
              <w:keepLines/>
              <w:widowControl w:val="0"/>
              <w:rPr>
                <w:color w:val="000000"/>
              </w:rPr>
            </w:pPr>
            <w:r w:rsidRPr="00FE6AC6">
              <w:rPr>
                <w:color w:val="000000"/>
                <w:lang w:val="bg-BG"/>
              </w:rPr>
              <w:t>Ифосфамид</w:t>
            </w:r>
            <w:r w:rsidRPr="00FE6AC6">
              <w:rPr>
                <w:color w:val="000000"/>
              </w:rPr>
              <w:t xml:space="preserve"> (1</w:t>
            </w:r>
            <w:r w:rsidRPr="00FE6AC6">
              <w:rPr>
                <w:color w:val="000000"/>
                <w:lang w:val="bg-BG"/>
              </w:rPr>
              <w:t>,</w:t>
            </w:r>
            <w:r w:rsidRPr="00FE6AC6">
              <w:rPr>
                <w:color w:val="000000"/>
              </w:rPr>
              <w:t>8 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1</w:t>
            </w:r>
            <w:r w:rsidRPr="00FE6AC6">
              <w:rPr>
                <w:color w:val="000000"/>
              </w:rPr>
              <w:noBreakHyphen/>
              <w:t>5</w:t>
            </w:r>
          </w:p>
          <w:p w14:paraId="3E5504A2" w14:textId="77777777" w:rsidR="001B628D" w:rsidRPr="00FE6AC6" w:rsidRDefault="001B628D" w:rsidP="0063575E">
            <w:pPr>
              <w:pStyle w:val="EndnoteText"/>
              <w:keepNext/>
              <w:keepLines/>
              <w:widowControl w:val="0"/>
              <w:rPr>
                <w:color w:val="000000"/>
              </w:rPr>
            </w:pPr>
            <w:r w:rsidRPr="00FE6AC6">
              <w:rPr>
                <w:color w:val="000000"/>
              </w:rPr>
              <w:t>MESNA (360 mg/m</w:t>
            </w:r>
            <w:r w:rsidRPr="00FE6AC6">
              <w:rPr>
                <w:color w:val="000000"/>
                <w:vertAlign w:val="superscript"/>
              </w:rPr>
              <w:t>2</w:t>
            </w:r>
            <w:r w:rsidRPr="00FE6AC6">
              <w:rPr>
                <w:color w:val="000000"/>
              </w:rPr>
              <w:t>/</w:t>
            </w:r>
            <w:r w:rsidRPr="00FE6AC6">
              <w:rPr>
                <w:color w:val="000000"/>
                <w:lang w:val="bg-BG"/>
              </w:rPr>
              <w:t xml:space="preserve">доза на </w:t>
            </w:r>
            <w:r w:rsidRPr="00FE6AC6">
              <w:rPr>
                <w:color w:val="000000"/>
              </w:rPr>
              <w:t>3</w:t>
            </w:r>
            <w:r w:rsidRPr="00FE6AC6">
              <w:rPr>
                <w:color w:val="000000"/>
                <w:lang w:val="bg-BG"/>
              </w:rPr>
              <w:t> ч</w:t>
            </w:r>
            <w:r w:rsidRPr="00FE6AC6">
              <w:rPr>
                <w:color w:val="000000"/>
              </w:rPr>
              <w:t xml:space="preserve">, x 8 </w:t>
            </w:r>
            <w:r w:rsidRPr="00FE6AC6">
              <w:rPr>
                <w:color w:val="000000"/>
                <w:lang w:val="bg-BG"/>
              </w:rPr>
              <w:t>дози</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1</w:t>
            </w:r>
            <w:r w:rsidRPr="00FE6AC6">
              <w:rPr>
                <w:color w:val="000000"/>
              </w:rPr>
              <w:noBreakHyphen/>
              <w:t>5</w:t>
            </w:r>
          </w:p>
          <w:p w14:paraId="3E5504A3" w14:textId="77777777" w:rsidR="001B628D" w:rsidRPr="00FE6AC6" w:rsidRDefault="001B628D" w:rsidP="0063575E">
            <w:pPr>
              <w:pStyle w:val="EndnoteText"/>
              <w:keepNext/>
              <w:keepLines/>
              <w:widowControl w:val="0"/>
              <w:rPr>
                <w:color w:val="000000"/>
              </w:rPr>
            </w:pPr>
            <w:r w:rsidRPr="00FE6AC6">
              <w:rPr>
                <w:color w:val="000000"/>
              </w:rPr>
              <w:t xml:space="preserve">G-CSF (5 μg/kg, SC): </w:t>
            </w:r>
            <w:r w:rsidRPr="00FE6AC6">
              <w:rPr>
                <w:color w:val="000000"/>
                <w:lang w:val="bg-BG"/>
              </w:rPr>
              <w:t>дни</w:t>
            </w:r>
            <w:r w:rsidRPr="00FE6AC6">
              <w:rPr>
                <w:color w:val="000000"/>
              </w:rPr>
              <w:t> 6</w:t>
            </w:r>
            <w:r w:rsidRPr="00FE6AC6">
              <w:rPr>
                <w:color w:val="000000"/>
              </w:rPr>
              <w:noBreakHyphen/>
              <w:t xml:space="preserve">15 </w:t>
            </w:r>
            <w:r w:rsidRPr="00FE6AC6">
              <w:rPr>
                <w:color w:val="000000"/>
                <w:lang w:val="bg-BG"/>
              </w:rPr>
              <w:t xml:space="preserve">или докато </w:t>
            </w:r>
            <w:r w:rsidRPr="00FE6AC6">
              <w:rPr>
                <w:color w:val="000000"/>
              </w:rPr>
              <w:t>ANC &gt; 1</w:t>
            </w:r>
            <w:r w:rsidR="006A2EDD" w:rsidRPr="00FE6AC6">
              <w:rPr>
                <w:color w:val="000000"/>
              </w:rPr>
              <w:t> </w:t>
            </w:r>
            <w:r w:rsidRPr="00FE6AC6">
              <w:rPr>
                <w:color w:val="000000"/>
              </w:rPr>
              <w:t xml:space="preserve">500 </w:t>
            </w:r>
            <w:r w:rsidRPr="00FE6AC6">
              <w:rPr>
                <w:color w:val="000000"/>
                <w:lang w:val="bg-BG"/>
              </w:rPr>
              <w:t>след надир</w:t>
            </w:r>
          </w:p>
          <w:p w14:paraId="3E5504A4" w14:textId="77777777" w:rsidR="001B628D" w:rsidRPr="00FE6AC6" w:rsidRDefault="001B628D" w:rsidP="0063575E">
            <w:pPr>
              <w:pStyle w:val="EndnoteText"/>
              <w:keepNext/>
              <w:keepLines/>
              <w:widowControl w:val="0"/>
              <w:rPr>
                <w:color w:val="000000"/>
              </w:rPr>
            </w:pPr>
            <w:r w:rsidRPr="00FE6AC6">
              <w:rPr>
                <w:color w:val="000000"/>
              </w:rPr>
              <w:t xml:space="preserve">IT </w:t>
            </w:r>
            <w:r w:rsidRPr="00FE6AC6">
              <w:rPr>
                <w:color w:val="000000"/>
                <w:lang w:val="bg-BG"/>
              </w:rPr>
              <w:t>метотрексат</w:t>
            </w:r>
            <w:r w:rsidRPr="00FE6AC6">
              <w:rPr>
                <w:color w:val="000000"/>
              </w:rPr>
              <w:t xml:space="preserve"> (</w:t>
            </w:r>
            <w:r w:rsidRPr="00FE6AC6">
              <w:rPr>
                <w:color w:val="000000"/>
                <w:lang w:val="bg-BG"/>
              </w:rPr>
              <w:t>в зависимост от възрастта</w:t>
            </w:r>
            <w:r w:rsidRPr="00FE6AC6">
              <w:rPr>
                <w:color w:val="000000"/>
              </w:rPr>
              <w:t xml:space="preserve">): </w:t>
            </w:r>
            <w:r w:rsidRPr="00FE6AC6">
              <w:rPr>
                <w:color w:val="000000"/>
                <w:lang w:val="bg-BG"/>
              </w:rPr>
              <w:t>САМО ден</w:t>
            </w:r>
            <w:r w:rsidRPr="00FE6AC6">
              <w:rPr>
                <w:color w:val="000000"/>
              </w:rPr>
              <w:t> 1</w:t>
            </w:r>
          </w:p>
          <w:p w14:paraId="3E5504A5" w14:textId="77777777" w:rsidR="001B628D" w:rsidRPr="00FE6AC6" w:rsidRDefault="001B628D" w:rsidP="0063575E">
            <w:pPr>
              <w:pStyle w:val="EndnoteText"/>
              <w:keepNext/>
              <w:keepLines/>
              <w:widowControl w:val="0"/>
              <w:rPr>
                <w:color w:val="000000"/>
              </w:rPr>
            </w:pPr>
            <w:r w:rsidRPr="00FE6AC6">
              <w:rPr>
                <w:color w:val="000000"/>
                <w:lang w:val="bg-BG"/>
              </w:rPr>
              <w:t>Тройна</w:t>
            </w:r>
            <w:r w:rsidRPr="00FE6AC6">
              <w:rPr>
                <w:color w:val="000000"/>
              </w:rPr>
              <w:t xml:space="preserve"> IT </w:t>
            </w:r>
            <w:r w:rsidRPr="00FE6AC6">
              <w:rPr>
                <w:color w:val="000000"/>
                <w:lang w:val="bg-BG"/>
              </w:rPr>
              <w:t>терапия</w:t>
            </w:r>
            <w:r w:rsidRPr="00FE6AC6">
              <w:rPr>
                <w:color w:val="000000"/>
              </w:rPr>
              <w:t xml:space="preserve"> (</w:t>
            </w:r>
            <w:r w:rsidRPr="00FE6AC6">
              <w:rPr>
                <w:color w:val="000000"/>
                <w:lang w:val="bg-BG"/>
              </w:rPr>
              <w:t>в зависимост от възрастта</w:t>
            </w:r>
            <w:r w:rsidRPr="00FE6AC6">
              <w:rPr>
                <w:color w:val="000000"/>
              </w:rPr>
              <w:t xml:space="preserve">): </w:t>
            </w:r>
            <w:r w:rsidRPr="00FE6AC6">
              <w:rPr>
                <w:color w:val="000000"/>
                <w:lang w:val="bg-BG"/>
              </w:rPr>
              <w:t>дни</w:t>
            </w:r>
            <w:r w:rsidRPr="00FE6AC6">
              <w:rPr>
                <w:color w:val="000000"/>
              </w:rPr>
              <w:t> 8, 15</w:t>
            </w:r>
          </w:p>
        </w:tc>
      </w:tr>
      <w:tr w:rsidR="001B628D" w:rsidRPr="00FE6AC6" w14:paraId="3E5504AE" w14:textId="77777777" w:rsidTr="00EB1684">
        <w:trPr>
          <w:cantSplit/>
        </w:trPr>
        <w:tc>
          <w:tcPr>
            <w:tcW w:w="2358" w:type="dxa"/>
            <w:shd w:val="clear" w:color="auto" w:fill="auto"/>
          </w:tcPr>
          <w:p w14:paraId="3E5504A7" w14:textId="77777777" w:rsidR="001B628D" w:rsidRPr="00FE6AC6" w:rsidRDefault="001B628D" w:rsidP="0063575E">
            <w:pPr>
              <w:pStyle w:val="EndnoteText"/>
              <w:widowControl w:val="0"/>
              <w:rPr>
                <w:color w:val="000000"/>
              </w:rPr>
            </w:pPr>
            <w:r w:rsidRPr="00FE6AC6">
              <w:rPr>
                <w:color w:val="000000"/>
                <w:lang w:val="bg-BG"/>
              </w:rPr>
              <w:t>Консолидационен блок</w:t>
            </w:r>
            <w:r w:rsidRPr="00FE6AC6">
              <w:rPr>
                <w:color w:val="000000"/>
              </w:rPr>
              <w:t> 2</w:t>
            </w:r>
          </w:p>
          <w:p w14:paraId="3E5504A8" w14:textId="77777777" w:rsidR="001B628D" w:rsidRPr="00FE6AC6" w:rsidRDefault="001B628D" w:rsidP="0063575E">
            <w:pPr>
              <w:pStyle w:val="EndnoteText"/>
              <w:widowControl w:val="0"/>
              <w:rPr>
                <w:color w:val="000000"/>
              </w:rPr>
            </w:pPr>
            <w:r w:rsidRPr="00FE6AC6">
              <w:rPr>
                <w:color w:val="000000"/>
              </w:rPr>
              <w:t>(3 </w:t>
            </w:r>
            <w:r w:rsidRPr="00FE6AC6">
              <w:rPr>
                <w:color w:val="000000"/>
                <w:lang w:val="bg-BG"/>
              </w:rPr>
              <w:t>седмици</w:t>
            </w:r>
            <w:r w:rsidRPr="00FE6AC6">
              <w:rPr>
                <w:color w:val="000000"/>
              </w:rPr>
              <w:t>)</w:t>
            </w:r>
          </w:p>
        </w:tc>
        <w:tc>
          <w:tcPr>
            <w:tcW w:w="6929" w:type="dxa"/>
            <w:shd w:val="clear" w:color="auto" w:fill="auto"/>
          </w:tcPr>
          <w:p w14:paraId="3E5504A9" w14:textId="77777777" w:rsidR="001B628D" w:rsidRPr="00FE6AC6" w:rsidRDefault="001B628D" w:rsidP="0063575E">
            <w:pPr>
              <w:pStyle w:val="EndnoteText"/>
              <w:widowControl w:val="0"/>
              <w:rPr>
                <w:color w:val="000000"/>
              </w:rPr>
            </w:pPr>
            <w:r w:rsidRPr="00FE6AC6">
              <w:rPr>
                <w:color w:val="000000"/>
                <w:lang w:val="bg-BG"/>
              </w:rPr>
              <w:t>Метотрексат</w:t>
            </w:r>
            <w:r w:rsidRPr="00FE6AC6">
              <w:rPr>
                <w:color w:val="000000"/>
              </w:rPr>
              <w:t xml:space="preserve"> (5 g/m</w:t>
            </w:r>
            <w:r w:rsidRPr="00FE6AC6">
              <w:rPr>
                <w:color w:val="000000"/>
                <w:vertAlign w:val="superscript"/>
              </w:rPr>
              <w:t>2</w:t>
            </w:r>
            <w:r w:rsidRPr="00FE6AC6">
              <w:rPr>
                <w:color w:val="000000"/>
              </w:rPr>
              <w:t xml:space="preserve"> </w:t>
            </w:r>
            <w:r w:rsidRPr="00FE6AC6">
              <w:rPr>
                <w:color w:val="000000"/>
                <w:lang w:val="bg-BG"/>
              </w:rPr>
              <w:t>в продължение на</w:t>
            </w:r>
            <w:r w:rsidRPr="00FE6AC6">
              <w:rPr>
                <w:color w:val="000000"/>
              </w:rPr>
              <w:t xml:space="preserve"> 24 </w:t>
            </w:r>
            <w:r w:rsidRPr="00FE6AC6">
              <w:rPr>
                <w:color w:val="000000"/>
                <w:lang w:val="bg-BG"/>
              </w:rPr>
              <w:t>часа</w:t>
            </w:r>
            <w:r w:rsidRPr="00FE6AC6">
              <w:rPr>
                <w:color w:val="000000"/>
              </w:rPr>
              <w:t xml:space="preserve">, IV): </w:t>
            </w:r>
            <w:r w:rsidRPr="00FE6AC6">
              <w:rPr>
                <w:color w:val="000000"/>
                <w:lang w:val="bg-BG"/>
              </w:rPr>
              <w:t>ден</w:t>
            </w:r>
            <w:r w:rsidRPr="00FE6AC6">
              <w:rPr>
                <w:color w:val="000000"/>
              </w:rPr>
              <w:t> 1</w:t>
            </w:r>
          </w:p>
          <w:p w14:paraId="3E5504AA" w14:textId="77777777" w:rsidR="001B628D" w:rsidRPr="00FE6AC6" w:rsidRDefault="001B628D" w:rsidP="0063575E">
            <w:pPr>
              <w:pStyle w:val="EndnoteText"/>
              <w:widowControl w:val="0"/>
              <w:rPr>
                <w:color w:val="000000"/>
              </w:rPr>
            </w:pPr>
            <w:r w:rsidRPr="00FE6AC6">
              <w:rPr>
                <w:color w:val="000000"/>
                <w:lang w:val="bg-BG"/>
              </w:rPr>
              <w:t>Левковорин</w:t>
            </w:r>
            <w:r w:rsidRPr="00FE6AC6">
              <w:rPr>
                <w:color w:val="000000"/>
              </w:rPr>
              <w:t xml:space="preserve"> (75 mg/m</w:t>
            </w:r>
            <w:r w:rsidRPr="00FE6AC6">
              <w:rPr>
                <w:color w:val="000000"/>
                <w:vertAlign w:val="superscript"/>
              </w:rPr>
              <w:t>2</w:t>
            </w:r>
            <w:r w:rsidRPr="00FE6AC6">
              <w:rPr>
                <w:color w:val="000000"/>
              </w:rPr>
              <w:t xml:space="preserve"> </w:t>
            </w:r>
            <w:r w:rsidRPr="00FE6AC6">
              <w:rPr>
                <w:color w:val="000000"/>
                <w:lang w:val="bg-BG"/>
              </w:rPr>
              <w:t xml:space="preserve">на </w:t>
            </w:r>
            <w:r w:rsidRPr="00FE6AC6">
              <w:rPr>
                <w:color w:val="000000"/>
              </w:rPr>
              <w:t>36</w:t>
            </w:r>
            <w:r w:rsidRPr="00FE6AC6">
              <w:rPr>
                <w:color w:val="000000"/>
                <w:lang w:val="bg-BG"/>
              </w:rPr>
              <w:noBreakHyphen/>
              <w:t>ти час</w:t>
            </w:r>
            <w:r w:rsidRPr="00FE6AC6">
              <w:rPr>
                <w:color w:val="000000"/>
              </w:rPr>
              <w:t>, IV; 15 mg/m</w:t>
            </w:r>
            <w:r w:rsidRPr="00FE6AC6">
              <w:rPr>
                <w:color w:val="000000"/>
                <w:vertAlign w:val="superscript"/>
              </w:rPr>
              <w:t>2</w:t>
            </w:r>
            <w:r w:rsidRPr="00FE6AC6">
              <w:rPr>
                <w:color w:val="000000"/>
              </w:rPr>
              <w:t xml:space="preserve"> IV </w:t>
            </w:r>
            <w:r w:rsidRPr="00FE6AC6">
              <w:rPr>
                <w:color w:val="000000"/>
                <w:lang w:val="bg-BG"/>
              </w:rPr>
              <w:t>или</w:t>
            </w:r>
            <w:r w:rsidRPr="00FE6AC6">
              <w:rPr>
                <w:color w:val="000000"/>
              </w:rPr>
              <w:t xml:space="preserve"> PO </w:t>
            </w:r>
            <w:r w:rsidRPr="00FE6AC6">
              <w:rPr>
                <w:color w:val="000000"/>
                <w:lang w:val="bg-BG"/>
              </w:rPr>
              <w:t>на 6 ч</w:t>
            </w:r>
            <w:r w:rsidRPr="00FE6AC6">
              <w:rPr>
                <w:color w:val="000000"/>
              </w:rPr>
              <w:t xml:space="preserve"> x 6 </w:t>
            </w:r>
            <w:r w:rsidRPr="00FE6AC6">
              <w:rPr>
                <w:color w:val="000000"/>
                <w:lang w:val="bg-BG"/>
              </w:rPr>
              <w:t>дози</w:t>
            </w:r>
            <w:r w:rsidRPr="00FE6AC6">
              <w:rPr>
                <w:color w:val="000000"/>
              </w:rPr>
              <w:t>)</w:t>
            </w:r>
            <w:r w:rsidRPr="00FE6AC6">
              <w:rPr>
                <w:color w:val="000000"/>
                <w:lang w:val="en-US"/>
              </w:rPr>
              <w:t>iii</w:t>
            </w:r>
            <w:r w:rsidRPr="00FE6AC6">
              <w:rPr>
                <w:color w:val="000000"/>
              </w:rPr>
              <w:t xml:space="preserve">: </w:t>
            </w:r>
            <w:r w:rsidRPr="00FE6AC6">
              <w:rPr>
                <w:color w:val="000000"/>
                <w:lang w:val="bg-BG"/>
              </w:rPr>
              <w:t>дни</w:t>
            </w:r>
            <w:r w:rsidRPr="00FE6AC6">
              <w:rPr>
                <w:color w:val="000000"/>
              </w:rPr>
              <w:t xml:space="preserve"> 2 </w:t>
            </w:r>
            <w:r w:rsidRPr="00FE6AC6">
              <w:rPr>
                <w:color w:val="000000"/>
                <w:lang w:val="bg-BG"/>
              </w:rPr>
              <w:t>и</w:t>
            </w:r>
            <w:r w:rsidRPr="00FE6AC6">
              <w:rPr>
                <w:color w:val="000000"/>
              </w:rPr>
              <w:t xml:space="preserve"> 3</w:t>
            </w:r>
          </w:p>
          <w:p w14:paraId="3E5504AB" w14:textId="77777777" w:rsidR="001B628D" w:rsidRPr="00FE6AC6" w:rsidRDefault="001B628D" w:rsidP="0063575E">
            <w:pPr>
              <w:pStyle w:val="EndnoteText"/>
              <w:widowControl w:val="0"/>
              <w:rPr>
                <w:color w:val="000000"/>
              </w:rPr>
            </w:pPr>
            <w:r w:rsidRPr="00FE6AC6">
              <w:rPr>
                <w:color w:val="000000"/>
                <w:lang w:val="bg-BG"/>
              </w:rPr>
              <w:t>Тройна</w:t>
            </w:r>
            <w:r w:rsidRPr="00FE6AC6">
              <w:rPr>
                <w:color w:val="000000"/>
              </w:rPr>
              <w:t xml:space="preserve"> IT </w:t>
            </w:r>
            <w:r w:rsidRPr="00FE6AC6">
              <w:rPr>
                <w:color w:val="000000"/>
                <w:lang w:val="bg-BG"/>
              </w:rPr>
              <w:t>терапия</w:t>
            </w:r>
            <w:r w:rsidRPr="00FE6AC6">
              <w:rPr>
                <w:color w:val="000000"/>
              </w:rPr>
              <w:t xml:space="preserve"> (</w:t>
            </w:r>
            <w:r w:rsidRPr="00FE6AC6">
              <w:rPr>
                <w:color w:val="000000"/>
                <w:lang w:val="bg-BG"/>
              </w:rPr>
              <w:t>в зависимост от възрастта</w:t>
            </w:r>
            <w:r w:rsidRPr="00FE6AC6">
              <w:rPr>
                <w:color w:val="000000"/>
              </w:rPr>
              <w:t xml:space="preserve">): </w:t>
            </w:r>
            <w:r w:rsidRPr="00FE6AC6">
              <w:rPr>
                <w:color w:val="000000"/>
                <w:lang w:val="bg-BG"/>
              </w:rPr>
              <w:t>ден</w:t>
            </w:r>
            <w:r w:rsidRPr="00FE6AC6">
              <w:rPr>
                <w:color w:val="000000"/>
              </w:rPr>
              <w:t> 1</w:t>
            </w:r>
          </w:p>
          <w:p w14:paraId="3E5504AC" w14:textId="77777777" w:rsidR="001B628D" w:rsidRPr="00FE6AC6" w:rsidRDefault="001B628D" w:rsidP="0063575E">
            <w:pPr>
              <w:pStyle w:val="EndnoteText"/>
              <w:widowControl w:val="0"/>
              <w:rPr>
                <w:color w:val="000000"/>
              </w:rPr>
            </w:pPr>
            <w:r w:rsidRPr="00FE6AC6">
              <w:rPr>
                <w:color w:val="000000"/>
              </w:rPr>
              <w:t>ARA-C (3 g/m</w:t>
            </w:r>
            <w:r w:rsidRPr="00FE6AC6">
              <w:rPr>
                <w:color w:val="000000"/>
                <w:vertAlign w:val="superscript"/>
              </w:rPr>
              <w:t>2</w:t>
            </w:r>
            <w:r w:rsidRPr="00FE6AC6">
              <w:rPr>
                <w:color w:val="000000"/>
              </w:rPr>
              <w:t>/</w:t>
            </w:r>
            <w:r w:rsidRPr="00FE6AC6">
              <w:rPr>
                <w:color w:val="000000"/>
                <w:lang w:val="bg-BG"/>
              </w:rPr>
              <w:t>доза на</w:t>
            </w:r>
            <w:r w:rsidRPr="00FE6AC6">
              <w:rPr>
                <w:color w:val="000000"/>
              </w:rPr>
              <w:t xml:space="preserve"> 12 </w:t>
            </w:r>
            <w:r w:rsidRPr="00FE6AC6">
              <w:rPr>
                <w:color w:val="000000"/>
                <w:lang w:val="bg-BG"/>
              </w:rPr>
              <w:t>ч</w:t>
            </w:r>
            <w:r w:rsidRPr="00FE6AC6">
              <w:rPr>
                <w:color w:val="000000"/>
              </w:rPr>
              <w:t xml:space="preserve"> x 4, IV): </w:t>
            </w:r>
            <w:r w:rsidRPr="00FE6AC6">
              <w:rPr>
                <w:color w:val="000000"/>
                <w:lang w:val="bg-BG"/>
              </w:rPr>
              <w:t>дни</w:t>
            </w:r>
            <w:r w:rsidRPr="00FE6AC6">
              <w:rPr>
                <w:color w:val="000000"/>
              </w:rPr>
              <w:t xml:space="preserve"> 2 </w:t>
            </w:r>
            <w:r w:rsidRPr="00FE6AC6">
              <w:rPr>
                <w:color w:val="000000"/>
                <w:lang w:val="bg-BG"/>
              </w:rPr>
              <w:t>и</w:t>
            </w:r>
            <w:r w:rsidRPr="00FE6AC6">
              <w:rPr>
                <w:color w:val="000000"/>
              </w:rPr>
              <w:t xml:space="preserve"> 3</w:t>
            </w:r>
          </w:p>
          <w:p w14:paraId="3E5504AD" w14:textId="77777777" w:rsidR="001B628D" w:rsidRPr="00FE6AC6" w:rsidRDefault="001B628D" w:rsidP="0063575E">
            <w:pPr>
              <w:pStyle w:val="EndnoteText"/>
              <w:widowControl w:val="0"/>
              <w:rPr>
                <w:color w:val="000000"/>
              </w:rPr>
            </w:pPr>
            <w:r w:rsidRPr="00FE6AC6">
              <w:rPr>
                <w:color w:val="000000"/>
              </w:rPr>
              <w:t xml:space="preserve">G-CSF (5 μg/kg, SC): </w:t>
            </w:r>
            <w:r w:rsidRPr="00FE6AC6">
              <w:rPr>
                <w:color w:val="000000"/>
                <w:lang w:val="bg-BG"/>
              </w:rPr>
              <w:t>дни</w:t>
            </w:r>
            <w:r w:rsidRPr="00FE6AC6">
              <w:rPr>
                <w:color w:val="000000"/>
              </w:rPr>
              <w:t xml:space="preserve"> 4-13 </w:t>
            </w:r>
            <w:r w:rsidRPr="00FE6AC6">
              <w:rPr>
                <w:color w:val="000000"/>
                <w:lang w:val="bg-BG"/>
              </w:rPr>
              <w:t>или докато</w:t>
            </w:r>
            <w:r w:rsidRPr="00FE6AC6">
              <w:rPr>
                <w:color w:val="000000"/>
              </w:rPr>
              <w:t xml:space="preserve"> ANC &gt;1</w:t>
            </w:r>
            <w:r w:rsidR="006A2EDD" w:rsidRPr="00FE6AC6">
              <w:rPr>
                <w:color w:val="000000"/>
              </w:rPr>
              <w:t> </w:t>
            </w:r>
            <w:r w:rsidRPr="00FE6AC6">
              <w:rPr>
                <w:color w:val="000000"/>
              </w:rPr>
              <w:t xml:space="preserve">500 </w:t>
            </w:r>
            <w:r w:rsidRPr="00FE6AC6">
              <w:rPr>
                <w:color w:val="000000"/>
                <w:lang w:val="bg-BG"/>
              </w:rPr>
              <w:t>след надир</w:t>
            </w:r>
          </w:p>
        </w:tc>
      </w:tr>
      <w:tr w:rsidR="001B628D" w:rsidRPr="004015AA" w14:paraId="3E5504B8" w14:textId="77777777" w:rsidTr="00EB1684">
        <w:trPr>
          <w:cantSplit/>
        </w:trPr>
        <w:tc>
          <w:tcPr>
            <w:tcW w:w="2358" w:type="dxa"/>
            <w:shd w:val="clear" w:color="auto" w:fill="auto"/>
          </w:tcPr>
          <w:p w14:paraId="3E5504AF" w14:textId="77777777" w:rsidR="001B628D" w:rsidRPr="00FE6AC6" w:rsidRDefault="001B628D" w:rsidP="0063575E">
            <w:pPr>
              <w:pStyle w:val="EndnoteText"/>
              <w:widowControl w:val="0"/>
              <w:rPr>
                <w:color w:val="000000"/>
              </w:rPr>
            </w:pPr>
            <w:r w:rsidRPr="00FE6AC6">
              <w:rPr>
                <w:color w:val="000000"/>
                <w:lang w:val="bg-BG"/>
              </w:rPr>
              <w:t>Реиндукционен блок</w:t>
            </w:r>
            <w:r w:rsidRPr="00FE6AC6">
              <w:rPr>
                <w:color w:val="000000"/>
              </w:rPr>
              <w:t> 1</w:t>
            </w:r>
          </w:p>
          <w:p w14:paraId="3E5504B0" w14:textId="77777777" w:rsidR="001B628D" w:rsidRPr="00FE6AC6" w:rsidRDefault="001B628D" w:rsidP="0063575E">
            <w:pPr>
              <w:pStyle w:val="EndnoteText"/>
              <w:widowControl w:val="0"/>
              <w:rPr>
                <w:color w:val="000000"/>
              </w:rPr>
            </w:pPr>
            <w:r w:rsidRPr="00FE6AC6">
              <w:rPr>
                <w:color w:val="000000"/>
              </w:rPr>
              <w:t>(3 </w:t>
            </w:r>
            <w:r w:rsidRPr="00FE6AC6">
              <w:rPr>
                <w:color w:val="000000"/>
                <w:lang w:val="bg-BG"/>
              </w:rPr>
              <w:t>седмици</w:t>
            </w:r>
            <w:r w:rsidRPr="00FE6AC6">
              <w:rPr>
                <w:color w:val="000000"/>
              </w:rPr>
              <w:t>)</w:t>
            </w:r>
          </w:p>
        </w:tc>
        <w:tc>
          <w:tcPr>
            <w:tcW w:w="6929" w:type="dxa"/>
            <w:shd w:val="clear" w:color="auto" w:fill="auto"/>
          </w:tcPr>
          <w:p w14:paraId="3E5504B1" w14:textId="77777777" w:rsidR="001B628D" w:rsidRPr="00FE6AC6" w:rsidRDefault="001B628D" w:rsidP="0063575E">
            <w:pPr>
              <w:pStyle w:val="EndnoteText"/>
              <w:widowControl w:val="0"/>
              <w:rPr>
                <w:color w:val="000000"/>
              </w:rPr>
            </w:pPr>
            <w:r w:rsidRPr="00FE6AC6">
              <w:rPr>
                <w:color w:val="000000"/>
              </w:rPr>
              <w:t>VCR (1</w:t>
            </w:r>
            <w:r w:rsidRPr="00FE6AC6">
              <w:rPr>
                <w:color w:val="000000"/>
                <w:lang w:val="bg-BG"/>
              </w:rPr>
              <w:t>,</w:t>
            </w:r>
            <w:r w:rsidRPr="00FE6AC6">
              <w:rPr>
                <w:color w:val="000000"/>
              </w:rPr>
              <w:t>5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1, 8</w:t>
            </w:r>
            <w:r w:rsidRPr="00FE6AC6">
              <w:rPr>
                <w:color w:val="000000"/>
                <w:lang w:val="bg-BG"/>
              </w:rPr>
              <w:t xml:space="preserve"> и</w:t>
            </w:r>
            <w:r w:rsidRPr="00FE6AC6">
              <w:rPr>
                <w:color w:val="000000"/>
              </w:rPr>
              <w:t xml:space="preserve"> 15</w:t>
            </w:r>
          </w:p>
          <w:p w14:paraId="3E5504B2" w14:textId="77777777" w:rsidR="001B628D" w:rsidRPr="00FE6AC6" w:rsidRDefault="001B628D" w:rsidP="0063575E">
            <w:pPr>
              <w:pStyle w:val="EndnoteText"/>
              <w:widowControl w:val="0"/>
              <w:rPr>
                <w:color w:val="000000"/>
              </w:rPr>
            </w:pPr>
            <w:r w:rsidRPr="00FE6AC6">
              <w:rPr>
                <w:color w:val="000000"/>
              </w:rPr>
              <w:t>DAUN (45 mg/m</w:t>
            </w:r>
            <w:r w:rsidRPr="00FE6AC6">
              <w:rPr>
                <w:color w:val="000000"/>
                <w:vertAlign w:val="superscript"/>
              </w:rPr>
              <w:t>2</w:t>
            </w:r>
            <w:r w:rsidRPr="00FE6AC6">
              <w:rPr>
                <w:color w:val="000000"/>
              </w:rPr>
              <w:t>/</w:t>
            </w:r>
            <w:r w:rsidRPr="00FE6AC6">
              <w:rPr>
                <w:color w:val="000000"/>
                <w:lang w:val="bg-BG"/>
              </w:rPr>
              <w:t>ден болус</w:t>
            </w:r>
            <w:r w:rsidRPr="00FE6AC6">
              <w:rPr>
                <w:color w:val="000000"/>
              </w:rPr>
              <w:t xml:space="preserve">, IV): </w:t>
            </w:r>
            <w:r w:rsidRPr="00FE6AC6">
              <w:rPr>
                <w:color w:val="000000"/>
                <w:lang w:val="bg-BG"/>
              </w:rPr>
              <w:t>дни</w:t>
            </w:r>
            <w:r w:rsidRPr="00FE6AC6">
              <w:rPr>
                <w:color w:val="000000"/>
              </w:rPr>
              <w:t xml:space="preserve"> 1 </w:t>
            </w:r>
            <w:r w:rsidRPr="00FE6AC6">
              <w:rPr>
                <w:color w:val="000000"/>
                <w:lang w:val="bg-BG"/>
              </w:rPr>
              <w:t>и</w:t>
            </w:r>
            <w:r w:rsidRPr="00FE6AC6">
              <w:rPr>
                <w:color w:val="000000"/>
              </w:rPr>
              <w:t xml:space="preserve"> 2</w:t>
            </w:r>
          </w:p>
          <w:p w14:paraId="3E5504B3" w14:textId="77777777" w:rsidR="001B628D" w:rsidRPr="00FE6AC6" w:rsidRDefault="001B628D" w:rsidP="0063575E">
            <w:pPr>
              <w:pStyle w:val="EndnoteText"/>
              <w:widowControl w:val="0"/>
              <w:rPr>
                <w:color w:val="000000"/>
              </w:rPr>
            </w:pPr>
            <w:r w:rsidRPr="00FE6AC6">
              <w:rPr>
                <w:color w:val="000000"/>
              </w:rPr>
              <w:t>CPM (250 mg/m</w:t>
            </w:r>
            <w:r w:rsidRPr="00FE6AC6">
              <w:rPr>
                <w:color w:val="000000"/>
                <w:vertAlign w:val="superscript"/>
              </w:rPr>
              <w:t>2</w:t>
            </w:r>
            <w:r w:rsidRPr="00FE6AC6">
              <w:rPr>
                <w:color w:val="000000"/>
              </w:rPr>
              <w:t>/</w:t>
            </w:r>
            <w:r w:rsidRPr="00FE6AC6">
              <w:rPr>
                <w:color w:val="000000"/>
                <w:lang w:val="bg-BG"/>
              </w:rPr>
              <w:t xml:space="preserve">доза на </w:t>
            </w:r>
            <w:r w:rsidRPr="00FE6AC6">
              <w:rPr>
                <w:color w:val="000000"/>
              </w:rPr>
              <w:t>12</w:t>
            </w:r>
            <w:r w:rsidRPr="00FE6AC6">
              <w:rPr>
                <w:color w:val="000000"/>
                <w:lang w:val="bg-BG"/>
              </w:rPr>
              <w:t> ч</w:t>
            </w:r>
            <w:r w:rsidRPr="00FE6AC6">
              <w:rPr>
                <w:color w:val="000000"/>
              </w:rPr>
              <w:t xml:space="preserve"> x 4 </w:t>
            </w:r>
            <w:r w:rsidRPr="00FE6AC6">
              <w:rPr>
                <w:color w:val="000000"/>
                <w:lang w:val="bg-BG"/>
              </w:rPr>
              <w:t>дози</w:t>
            </w:r>
            <w:r w:rsidRPr="00FE6AC6">
              <w:rPr>
                <w:color w:val="000000"/>
              </w:rPr>
              <w:t xml:space="preserve">, IV): </w:t>
            </w:r>
            <w:r w:rsidRPr="00FE6AC6">
              <w:rPr>
                <w:color w:val="000000"/>
                <w:lang w:val="bg-BG"/>
              </w:rPr>
              <w:t>дни</w:t>
            </w:r>
            <w:r w:rsidRPr="00FE6AC6">
              <w:rPr>
                <w:color w:val="000000"/>
              </w:rPr>
              <w:t xml:space="preserve"> 3 </w:t>
            </w:r>
            <w:r w:rsidRPr="00FE6AC6">
              <w:rPr>
                <w:color w:val="000000"/>
                <w:lang w:val="bg-BG"/>
              </w:rPr>
              <w:t>и</w:t>
            </w:r>
            <w:r w:rsidRPr="00FE6AC6">
              <w:rPr>
                <w:color w:val="000000"/>
              </w:rPr>
              <w:t xml:space="preserve"> 4</w:t>
            </w:r>
          </w:p>
          <w:p w14:paraId="3E5504B4" w14:textId="77777777" w:rsidR="001B628D" w:rsidRPr="00FE6AC6" w:rsidRDefault="001B628D" w:rsidP="0063575E">
            <w:pPr>
              <w:pStyle w:val="EndnoteText"/>
              <w:widowControl w:val="0"/>
              <w:rPr>
                <w:color w:val="000000"/>
                <w:lang w:val="de-CH"/>
              </w:rPr>
            </w:pPr>
            <w:r w:rsidRPr="00FE6AC6">
              <w:rPr>
                <w:color w:val="000000"/>
                <w:lang w:val="de-CH"/>
              </w:rPr>
              <w:t>PEG-ASP (2</w:t>
            </w:r>
            <w:r w:rsidR="006A2EDD" w:rsidRPr="00FE6AC6">
              <w:rPr>
                <w:color w:val="000000"/>
                <w:lang w:val="de-CH"/>
              </w:rPr>
              <w:t> </w:t>
            </w:r>
            <w:r w:rsidRPr="00FE6AC6">
              <w:rPr>
                <w:color w:val="000000"/>
                <w:lang w:val="de-CH"/>
              </w:rPr>
              <w:t>500 IUnits/m</w:t>
            </w:r>
            <w:r w:rsidRPr="00FE6AC6">
              <w:rPr>
                <w:color w:val="000000"/>
                <w:vertAlign w:val="superscript"/>
                <w:lang w:val="de-CH"/>
              </w:rPr>
              <w:t>2</w:t>
            </w:r>
            <w:r w:rsidRPr="00FE6AC6">
              <w:rPr>
                <w:color w:val="000000"/>
                <w:lang w:val="de-CH"/>
              </w:rPr>
              <w:t xml:space="preserve">, IM): </w:t>
            </w:r>
            <w:r w:rsidRPr="00FE6AC6">
              <w:rPr>
                <w:color w:val="000000"/>
                <w:lang w:val="bg-BG"/>
              </w:rPr>
              <w:t>ден</w:t>
            </w:r>
            <w:r w:rsidRPr="00FE6AC6">
              <w:rPr>
                <w:color w:val="000000"/>
                <w:lang w:val="de-CH"/>
              </w:rPr>
              <w:t> 4</w:t>
            </w:r>
          </w:p>
          <w:p w14:paraId="3E5504B5" w14:textId="77777777" w:rsidR="001B628D" w:rsidRPr="00FE6AC6" w:rsidRDefault="001B628D" w:rsidP="0063575E">
            <w:pPr>
              <w:pStyle w:val="EndnoteText"/>
              <w:widowControl w:val="0"/>
              <w:rPr>
                <w:color w:val="000000"/>
                <w:lang w:val="de-CH"/>
              </w:rPr>
            </w:pPr>
            <w:r w:rsidRPr="00FE6AC6">
              <w:rPr>
                <w:color w:val="000000"/>
                <w:lang w:val="de-CH"/>
              </w:rPr>
              <w:t>G-CSF (5 </w:t>
            </w:r>
            <w:r w:rsidRPr="00FE6AC6">
              <w:rPr>
                <w:color w:val="000000"/>
              </w:rPr>
              <w:t>μ</w:t>
            </w:r>
            <w:r w:rsidRPr="00FE6AC6">
              <w:rPr>
                <w:color w:val="000000"/>
                <w:lang w:val="de-CH"/>
              </w:rPr>
              <w:t xml:space="preserve">g/kg, SC): </w:t>
            </w:r>
            <w:r w:rsidRPr="00FE6AC6">
              <w:rPr>
                <w:color w:val="000000"/>
                <w:lang w:val="bg-BG"/>
              </w:rPr>
              <w:t>дни</w:t>
            </w:r>
            <w:r w:rsidRPr="00FE6AC6">
              <w:rPr>
                <w:color w:val="000000"/>
                <w:lang w:val="de-CH"/>
              </w:rPr>
              <w:t> 5</w:t>
            </w:r>
            <w:r w:rsidRPr="00FE6AC6">
              <w:rPr>
                <w:color w:val="000000"/>
                <w:lang w:val="de-CH"/>
              </w:rPr>
              <w:noBreakHyphen/>
              <w:t xml:space="preserve">14 </w:t>
            </w:r>
            <w:r w:rsidRPr="00FE6AC6">
              <w:rPr>
                <w:color w:val="000000"/>
                <w:lang w:val="bg-BG"/>
              </w:rPr>
              <w:t>или докато</w:t>
            </w:r>
            <w:r w:rsidRPr="00FE6AC6">
              <w:rPr>
                <w:color w:val="000000"/>
                <w:lang w:val="de-CH"/>
              </w:rPr>
              <w:t xml:space="preserve"> ANC &gt;1</w:t>
            </w:r>
            <w:r w:rsidR="006A2EDD" w:rsidRPr="00FE6AC6">
              <w:rPr>
                <w:color w:val="000000"/>
                <w:lang w:val="de-CH"/>
              </w:rPr>
              <w:t> </w:t>
            </w:r>
            <w:r w:rsidRPr="00FE6AC6">
              <w:rPr>
                <w:color w:val="000000"/>
                <w:lang w:val="de-CH"/>
              </w:rPr>
              <w:t xml:space="preserve">500 </w:t>
            </w:r>
            <w:r w:rsidRPr="00FE6AC6">
              <w:rPr>
                <w:color w:val="000000"/>
                <w:lang w:val="bg-BG"/>
              </w:rPr>
              <w:t>след надир</w:t>
            </w:r>
          </w:p>
          <w:p w14:paraId="3E5504B6" w14:textId="77777777" w:rsidR="001B628D" w:rsidRPr="00FE6AC6" w:rsidRDefault="001B628D" w:rsidP="0063575E">
            <w:pPr>
              <w:pStyle w:val="EndnoteText"/>
              <w:widowControl w:val="0"/>
              <w:rPr>
                <w:color w:val="000000"/>
                <w:lang w:val="de-CH"/>
              </w:rPr>
            </w:pPr>
            <w:r w:rsidRPr="00FE6AC6">
              <w:rPr>
                <w:color w:val="000000"/>
                <w:lang w:val="bg-BG"/>
              </w:rPr>
              <w:t>Тройна</w:t>
            </w:r>
            <w:r w:rsidRPr="00FE6AC6">
              <w:rPr>
                <w:color w:val="000000"/>
                <w:lang w:val="de-CH"/>
              </w:rPr>
              <w:t xml:space="preserve"> IT </w:t>
            </w:r>
            <w:r w:rsidRPr="00FE6AC6">
              <w:rPr>
                <w:color w:val="000000"/>
                <w:lang w:val="bg-BG"/>
              </w:rPr>
              <w:t>терапия</w:t>
            </w:r>
            <w:r w:rsidRPr="00FE6AC6">
              <w:rPr>
                <w:color w:val="000000"/>
                <w:lang w:val="de-CH"/>
              </w:rPr>
              <w:t xml:space="preserve"> (</w:t>
            </w:r>
            <w:r w:rsidRPr="00FE6AC6">
              <w:rPr>
                <w:color w:val="000000"/>
                <w:lang w:val="bg-BG"/>
              </w:rPr>
              <w:t>в зависимост от възрастта</w:t>
            </w:r>
            <w:r w:rsidRPr="00FE6AC6">
              <w:rPr>
                <w:color w:val="000000"/>
                <w:lang w:val="de-CH"/>
              </w:rPr>
              <w:t xml:space="preserve">): </w:t>
            </w:r>
            <w:r w:rsidRPr="00FE6AC6">
              <w:rPr>
                <w:color w:val="000000"/>
                <w:lang w:val="bg-BG"/>
              </w:rPr>
              <w:t>дни</w:t>
            </w:r>
            <w:r w:rsidRPr="00FE6AC6">
              <w:rPr>
                <w:color w:val="000000"/>
                <w:lang w:val="de-CH"/>
              </w:rPr>
              <w:t xml:space="preserve"> 1 </w:t>
            </w:r>
            <w:r w:rsidRPr="00FE6AC6">
              <w:rPr>
                <w:color w:val="000000"/>
                <w:lang w:val="bg-BG"/>
              </w:rPr>
              <w:t>и</w:t>
            </w:r>
            <w:r w:rsidRPr="00FE6AC6">
              <w:rPr>
                <w:color w:val="000000"/>
                <w:lang w:val="de-CH"/>
              </w:rPr>
              <w:t xml:space="preserve"> 15</w:t>
            </w:r>
          </w:p>
          <w:p w14:paraId="3E5504B7" w14:textId="77777777" w:rsidR="001B628D" w:rsidRPr="00FE6AC6" w:rsidRDefault="001B628D" w:rsidP="0063575E">
            <w:pPr>
              <w:pStyle w:val="EndnoteText"/>
              <w:widowControl w:val="0"/>
              <w:rPr>
                <w:color w:val="000000"/>
                <w:lang w:val="de-CH"/>
              </w:rPr>
            </w:pPr>
            <w:r w:rsidRPr="00FE6AC6">
              <w:rPr>
                <w:color w:val="000000"/>
                <w:lang w:val="de-CH"/>
              </w:rPr>
              <w:t>DEX (6 mg/m</w:t>
            </w:r>
            <w:r w:rsidRPr="00FE6AC6">
              <w:rPr>
                <w:color w:val="000000"/>
                <w:vertAlign w:val="superscript"/>
                <w:lang w:val="de-CH"/>
              </w:rPr>
              <w:t>2</w:t>
            </w:r>
            <w:r w:rsidRPr="00FE6AC6">
              <w:rPr>
                <w:color w:val="000000"/>
                <w:lang w:val="de-CH"/>
              </w:rPr>
              <w:t>/</w:t>
            </w:r>
            <w:r w:rsidRPr="00FE6AC6">
              <w:rPr>
                <w:color w:val="000000"/>
                <w:lang w:val="bg-BG"/>
              </w:rPr>
              <w:t>ден</w:t>
            </w:r>
            <w:r w:rsidRPr="00FE6AC6">
              <w:rPr>
                <w:color w:val="000000"/>
                <w:lang w:val="de-CH"/>
              </w:rPr>
              <w:t xml:space="preserve">, PO): </w:t>
            </w:r>
            <w:r w:rsidRPr="00FE6AC6">
              <w:rPr>
                <w:color w:val="000000"/>
                <w:lang w:val="bg-BG"/>
              </w:rPr>
              <w:t>дни</w:t>
            </w:r>
            <w:r w:rsidRPr="00FE6AC6">
              <w:rPr>
                <w:color w:val="000000"/>
                <w:lang w:val="de-CH"/>
              </w:rPr>
              <w:t> 1</w:t>
            </w:r>
            <w:r w:rsidRPr="00FE6AC6">
              <w:rPr>
                <w:color w:val="000000"/>
                <w:lang w:val="de-CH"/>
              </w:rPr>
              <w:noBreakHyphen/>
              <w:t xml:space="preserve">7 </w:t>
            </w:r>
            <w:r w:rsidRPr="00FE6AC6">
              <w:rPr>
                <w:color w:val="000000"/>
                <w:lang w:val="bg-BG"/>
              </w:rPr>
              <w:t>и</w:t>
            </w:r>
            <w:r w:rsidRPr="00FE6AC6">
              <w:rPr>
                <w:color w:val="000000"/>
                <w:lang w:val="de-CH"/>
              </w:rPr>
              <w:t xml:space="preserve"> 15</w:t>
            </w:r>
            <w:r w:rsidRPr="00FE6AC6">
              <w:rPr>
                <w:color w:val="000000"/>
                <w:lang w:val="de-CH"/>
              </w:rPr>
              <w:noBreakHyphen/>
              <w:t>21</w:t>
            </w:r>
          </w:p>
        </w:tc>
      </w:tr>
      <w:tr w:rsidR="001B628D" w:rsidRPr="004015AA" w14:paraId="3E5504C4" w14:textId="77777777" w:rsidTr="00EB1684">
        <w:trPr>
          <w:cantSplit/>
        </w:trPr>
        <w:tc>
          <w:tcPr>
            <w:tcW w:w="2358" w:type="dxa"/>
            <w:shd w:val="clear" w:color="auto" w:fill="auto"/>
          </w:tcPr>
          <w:p w14:paraId="3E5504B9" w14:textId="77777777" w:rsidR="001B628D" w:rsidRPr="00FE6AC6" w:rsidRDefault="001B628D" w:rsidP="0063575E">
            <w:pPr>
              <w:pStyle w:val="EndnoteText"/>
              <w:widowControl w:val="0"/>
              <w:rPr>
                <w:color w:val="000000"/>
              </w:rPr>
            </w:pPr>
            <w:r w:rsidRPr="00FE6AC6">
              <w:rPr>
                <w:color w:val="000000"/>
                <w:lang w:val="bg-BG"/>
              </w:rPr>
              <w:t>Интензифициращ блок</w:t>
            </w:r>
            <w:r w:rsidRPr="00FE6AC6">
              <w:rPr>
                <w:color w:val="000000"/>
              </w:rPr>
              <w:t> 1</w:t>
            </w:r>
          </w:p>
          <w:p w14:paraId="3E5504BA" w14:textId="77777777" w:rsidR="001B628D" w:rsidRPr="00FE6AC6" w:rsidRDefault="001B628D" w:rsidP="0063575E">
            <w:pPr>
              <w:pStyle w:val="EndnoteText"/>
              <w:widowControl w:val="0"/>
              <w:rPr>
                <w:color w:val="000000"/>
              </w:rPr>
            </w:pPr>
            <w:r w:rsidRPr="00FE6AC6">
              <w:rPr>
                <w:color w:val="000000"/>
              </w:rPr>
              <w:t>(9 </w:t>
            </w:r>
            <w:r w:rsidRPr="00FE6AC6">
              <w:rPr>
                <w:color w:val="000000"/>
                <w:lang w:val="bg-BG"/>
              </w:rPr>
              <w:t>седмици</w:t>
            </w:r>
            <w:r w:rsidRPr="00FE6AC6">
              <w:rPr>
                <w:color w:val="000000"/>
              </w:rPr>
              <w:t>)</w:t>
            </w:r>
          </w:p>
        </w:tc>
        <w:tc>
          <w:tcPr>
            <w:tcW w:w="6929" w:type="dxa"/>
            <w:shd w:val="clear" w:color="auto" w:fill="auto"/>
          </w:tcPr>
          <w:p w14:paraId="3E5504BB" w14:textId="77777777" w:rsidR="001B628D" w:rsidRPr="00FE6AC6" w:rsidRDefault="001B628D" w:rsidP="0063575E">
            <w:pPr>
              <w:pStyle w:val="EndnoteText"/>
              <w:widowControl w:val="0"/>
              <w:rPr>
                <w:color w:val="000000"/>
              </w:rPr>
            </w:pPr>
            <w:r w:rsidRPr="00FE6AC6">
              <w:rPr>
                <w:color w:val="000000"/>
                <w:lang w:val="bg-BG"/>
              </w:rPr>
              <w:t>Метотрексат</w:t>
            </w:r>
            <w:r w:rsidRPr="00FE6AC6">
              <w:rPr>
                <w:color w:val="000000"/>
              </w:rPr>
              <w:t xml:space="preserve"> (5 g/m</w:t>
            </w:r>
            <w:r w:rsidRPr="00FE6AC6">
              <w:rPr>
                <w:color w:val="000000"/>
                <w:vertAlign w:val="superscript"/>
              </w:rPr>
              <w:t>2</w:t>
            </w:r>
            <w:r w:rsidRPr="00FE6AC6">
              <w:rPr>
                <w:color w:val="000000"/>
              </w:rPr>
              <w:t xml:space="preserve"> </w:t>
            </w:r>
            <w:r w:rsidRPr="00FE6AC6">
              <w:rPr>
                <w:color w:val="000000"/>
                <w:lang w:val="bg-BG"/>
              </w:rPr>
              <w:t>в продължение на</w:t>
            </w:r>
            <w:r w:rsidRPr="00FE6AC6">
              <w:rPr>
                <w:color w:val="000000"/>
              </w:rPr>
              <w:t xml:space="preserve"> 24 </w:t>
            </w:r>
            <w:r w:rsidRPr="00FE6AC6">
              <w:rPr>
                <w:color w:val="000000"/>
                <w:lang w:val="bg-BG"/>
              </w:rPr>
              <w:t>часа</w:t>
            </w:r>
            <w:r w:rsidRPr="00FE6AC6">
              <w:rPr>
                <w:color w:val="000000"/>
              </w:rPr>
              <w:t xml:space="preserve">, IV): </w:t>
            </w:r>
            <w:r w:rsidRPr="00FE6AC6">
              <w:rPr>
                <w:color w:val="000000"/>
                <w:lang w:val="bg-BG"/>
              </w:rPr>
              <w:t>дни</w:t>
            </w:r>
            <w:r w:rsidRPr="00FE6AC6">
              <w:rPr>
                <w:color w:val="000000"/>
              </w:rPr>
              <w:t xml:space="preserve"> 1 </w:t>
            </w:r>
            <w:r w:rsidRPr="00FE6AC6">
              <w:rPr>
                <w:color w:val="000000"/>
                <w:lang w:val="bg-BG"/>
              </w:rPr>
              <w:t>и</w:t>
            </w:r>
            <w:r w:rsidRPr="00FE6AC6">
              <w:rPr>
                <w:color w:val="000000"/>
              </w:rPr>
              <w:t xml:space="preserve"> 15</w:t>
            </w:r>
          </w:p>
          <w:p w14:paraId="3E5504BC" w14:textId="77777777" w:rsidR="001B628D" w:rsidRPr="00FE6AC6" w:rsidRDefault="001B628D" w:rsidP="0063575E">
            <w:pPr>
              <w:pStyle w:val="EndnoteText"/>
              <w:widowControl w:val="0"/>
              <w:rPr>
                <w:color w:val="000000"/>
              </w:rPr>
            </w:pPr>
            <w:r w:rsidRPr="00FE6AC6">
              <w:rPr>
                <w:color w:val="000000"/>
                <w:lang w:val="bg-BG"/>
              </w:rPr>
              <w:t>Левковорин</w:t>
            </w:r>
            <w:r w:rsidRPr="00FE6AC6">
              <w:rPr>
                <w:color w:val="000000"/>
              </w:rPr>
              <w:t xml:space="preserve"> (75 mg/m</w:t>
            </w:r>
            <w:r w:rsidRPr="00FE6AC6">
              <w:rPr>
                <w:color w:val="000000"/>
                <w:vertAlign w:val="superscript"/>
              </w:rPr>
              <w:t>2</w:t>
            </w:r>
            <w:r w:rsidRPr="00FE6AC6">
              <w:rPr>
                <w:color w:val="000000"/>
              </w:rPr>
              <w:t xml:space="preserve"> </w:t>
            </w:r>
            <w:r w:rsidRPr="00FE6AC6">
              <w:rPr>
                <w:color w:val="000000"/>
                <w:lang w:val="bg-BG"/>
              </w:rPr>
              <w:t>на 36</w:t>
            </w:r>
            <w:r w:rsidRPr="00FE6AC6">
              <w:rPr>
                <w:color w:val="000000"/>
                <w:lang w:val="bg-BG"/>
              </w:rPr>
              <w:noBreakHyphen/>
              <w:t>ти час</w:t>
            </w:r>
            <w:r w:rsidRPr="00FE6AC6">
              <w:rPr>
                <w:color w:val="000000"/>
              </w:rPr>
              <w:t>, IV; 15 mg/m</w:t>
            </w:r>
            <w:r w:rsidRPr="00FE6AC6">
              <w:rPr>
                <w:color w:val="000000"/>
                <w:vertAlign w:val="superscript"/>
              </w:rPr>
              <w:t>2</w:t>
            </w:r>
            <w:r w:rsidRPr="00FE6AC6">
              <w:rPr>
                <w:color w:val="000000"/>
              </w:rPr>
              <w:t xml:space="preserve"> IV </w:t>
            </w:r>
            <w:r w:rsidRPr="00FE6AC6">
              <w:rPr>
                <w:color w:val="000000"/>
                <w:lang w:val="bg-BG"/>
              </w:rPr>
              <w:t>или</w:t>
            </w:r>
            <w:r w:rsidRPr="00FE6AC6">
              <w:rPr>
                <w:color w:val="000000"/>
              </w:rPr>
              <w:t xml:space="preserve"> PO </w:t>
            </w:r>
            <w:r w:rsidRPr="00FE6AC6">
              <w:rPr>
                <w:color w:val="000000"/>
                <w:lang w:val="bg-BG"/>
              </w:rPr>
              <w:t xml:space="preserve">на </w:t>
            </w:r>
            <w:r w:rsidRPr="00FE6AC6">
              <w:rPr>
                <w:color w:val="000000"/>
              </w:rPr>
              <w:t>6</w:t>
            </w:r>
            <w:r w:rsidRPr="00FE6AC6">
              <w:rPr>
                <w:color w:val="000000"/>
                <w:lang w:val="bg-BG"/>
              </w:rPr>
              <w:t> ч</w:t>
            </w:r>
            <w:r w:rsidRPr="00FE6AC6">
              <w:rPr>
                <w:color w:val="000000"/>
              </w:rPr>
              <w:t xml:space="preserve"> x 6 </w:t>
            </w:r>
            <w:r w:rsidRPr="00FE6AC6">
              <w:rPr>
                <w:color w:val="000000"/>
                <w:lang w:val="bg-BG"/>
              </w:rPr>
              <w:t>дози</w:t>
            </w:r>
            <w:r w:rsidRPr="00FE6AC6">
              <w:rPr>
                <w:color w:val="000000"/>
              </w:rPr>
              <w:t xml:space="preserve">)iii: </w:t>
            </w:r>
            <w:r w:rsidRPr="00FE6AC6">
              <w:rPr>
                <w:color w:val="000000"/>
                <w:lang w:val="bg-BG"/>
              </w:rPr>
              <w:t>дни</w:t>
            </w:r>
            <w:r w:rsidRPr="00FE6AC6">
              <w:rPr>
                <w:color w:val="000000"/>
              </w:rPr>
              <w:t> 2, 3, 16</w:t>
            </w:r>
            <w:r w:rsidRPr="00FE6AC6">
              <w:rPr>
                <w:color w:val="000000"/>
                <w:lang w:val="bg-BG"/>
              </w:rPr>
              <w:t xml:space="preserve"> и</w:t>
            </w:r>
            <w:r w:rsidRPr="00FE6AC6">
              <w:rPr>
                <w:color w:val="000000"/>
              </w:rPr>
              <w:t xml:space="preserve"> 17</w:t>
            </w:r>
          </w:p>
          <w:p w14:paraId="3E5504BD" w14:textId="77777777" w:rsidR="001B628D" w:rsidRPr="00FE6AC6" w:rsidRDefault="001B628D" w:rsidP="0063575E">
            <w:pPr>
              <w:pStyle w:val="EndnoteText"/>
              <w:widowControl w:val="0"/>
              <w:rPr>
                <w:color w:val="000000"/>
              </w:rPr>
            </w:pPr>
            <w:r w:rsidRPr="00FE6AC6">
              <w:rPr>
                <w:color w:val="000000"/>
                <w:lang w:val="bg-BG"/>
              </w:rPr>
              <w:t>Тройна</w:t>
            </w:r>
            <w:r w:rsidRPr="00FE6AC6">
              <w:rPr>
                <w:color w:val="000000"/>
              </w:rPr>
              <w:t xml:space="preserve"> IT </w:t>
            </w:r>
            <w:r w:rsidRPr="00FE6AC6">
              <w:rPr>
                <w:color w:val="000000"/>
                <w:lang w:val="bg-BG"/>
              </w:rPr>
              <w:t>терапия</w:t>
            </w:r>
            <w:r w:rsidRPr="00FE6AC6">
              <w:rPr>
                <w:color w:val="000000"/>
              </w:rPr>
              <w:t xml:space="preserve"> (</w:t>
            </w:r>
            <w:r w:rsidRPr="00FE6AC6">
              <w:rPr>
                <w:color w:val="000000"/>
                <w:lang w:val="bg-BG"/>
              </w:rPr>
              <w:t>в зависимост от възрастта</w:t>
            </w:r>
            <w:r w:rsidRPr="00FE6AC6">
              <w:rPr>
                <w:color w:val="000000"/>
              </w:rPr>
              <w:t xml:space="preserve">): </w:t>
            </w:r>
            <w:r w:rsidRPr="00FE6AC6">
              <w:rPr>
                <w:color w:val="000000"/>
                <w:lang w:val="bg-BG"/>
              </w:rPr>
              <w:t>дни</w:t>
            </w:r>
            <w:r w:rsidRPr="00FE6AC6">
              <w:rPr>
                <w:color w:val="000000"/>
              </w:rPr>
              <w:t xml:space="preserve"> 1 </w:t>
            </w:r>
            <w:r w:rsidRPr="00FE6AC6">
              <w:rPr>
                <w:color w:val="000000"/>
                <w:lang w:val="bg-BG"/>
              </w:rPr>
              <w:t>и</w:t>
            </w:r>
            <w:r w:rsidRPr="00FE6AC6">
              <w:rPr>
                <w:color w:val="000000"/>
              </w:rPr>
              <w:t xml:space="preserve"> 22</w:t>
            </w:r>
          </w:p>
          <w:p w14:paraId="3E5504BE" w14:textId="77777777" w:rsidR="001B628D" w:rsidRPr="00FE6AC6" w:rsidRDefault="001B628D" w:rsidP="0063575E">
            <w:pPr>
              <w:pStyle w:val="EndnoteText"/>
              <w:widowControl w:val="0"/>
              <w:rPr>
                <w:color w:val="000000"/>
              </w:rPr>
            </w:pPr>
            <w:r w:rsidRPr="00FE6AC6">
              <w:rPr>
                <w:color w:val="000000"/>
              </w:rPr>
              <w:t>VP-16 (100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22</w:t>
            </w:r>
            <w:r w:rsidRPr="00FE6AC6">
              <w:rPr>
                <w:color w:val="000000"/>
              </w:rPr>
              <w:noBreakHyphen/>
              <w:t>26</w:t>
            </w:r>
          </w:p>
          <w:p w14:paraId="3E5504BF" w14:textId="77777777" w:rsidR="001B628D" w:rsidRPr="00FE6AC6" w:rsidRDefault="001B628D" w:rsidP="0063575E">
            <w:pPr>
              <w:pStyle w:val="EndnoteText"/>
              <w:widowControl w:val="0"/>
              <w:rPr>
                <w:color w:val="000000"/>
              </w:rPr>
            </w:pPr>
            <w:r w:rsidRPr="00FE6AC6">
              <w:rPr>
                <w:color w:val="000000"/>
              </w:rPr>
              <w:t>CPM (300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22</w:t>
            </w:r>
            <w:r w:rsidRPr="00FE6AC6">
              <w:rPr>
                <w:color w:val="000000"/>
              </w:rPr>
              <w:noBreakHyphen/>
              <w:t>26</w:t>
            </w:r>
          </w:p>
          <w:p w14:paraId="3E5504C0" w14:textId="77777777" w:rsidR="001B628D" w:rsidRPr="00FE6AC6" w:rsidRDefault="001B628D" w:rsidP="0063575E">
            <w:pPr>
              <w:pStyle w:val="EndnoteText"/>
              <w:widowControl w:val="0"/>
              <w:rPr>
                <w:color w:val="000000"/>
              </w:rPr>
            </w:pPr>
            <w:r w:rsidRPr="00FE6AC6">
              <w:rPr>
                <w:color w:val="000000"/>
              </w:rPr>
              <w:t>MESNA (150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22</w:t>
            </w:r>
            <w:r w:rsidRPr="00FE6AC6">
              <w:rPr>
                <w:color w:val="000000"/>
              </w:rPr>
              <w:noBreakHyphen/>
              <w:t>26</w:t>
            </w:r>
          </w:p>
          <w:p w14:paraId="3E5504C1" w14:textId="77777777" w:rsidR="001B628D" w:rsidRPr="00FE6AC6" w:rsidRDefault="001B628D" w:rsidP="0063575E">
            <w:pPr>
              <w:pStyle w:val="EndnoteText"/>
              <w:widowControl w:val="0"/>
              <w:rPr>
                <w:color w:val="000000"/>
              </w:rPr>
            </w:pPr>
            <w:r w:rsidRPr="00FE6AC6">
              <w:rPr>
                <w:color w:val="000000"/>
              </w:rPr>
              <w:t xml:space="preserve">G-CSF (5 μg/kg, SC): </w:t>
            </w:r>
            <w:r w:rsidRPr="00FE6AC6">
              <w:rPr>
                <w:color w:val="000000"/>
                <w:lang w:val="bg-BG"/>
              </w:rPr>
              <w:t>дни</w:t>
            </w:r>
            <w:r w:rsidRPr="00FE6AC6">
              <w:rPr>
                <w:color w:val="000000"/>
              </w:rPr>
              <w:t xml:space="preserve"> 27-36 </w:t>
            </w:r>
            <w:r w:rsidRPr="00FE6AC6">
              <w:rPr>
                <w:color w:val="000000"/>
                <w:lang w:val="bg-BG"/>
              </w:rPr>
              <w:t>или докато</w:t>
            </w:r>
            <w:r w:rsidRPr="00FE6AC6">
              <w:rPr>
                <w:color w:val="000000"/>
              </w:rPr>
              <w:t xml:space="preserve"> ANC &gt;1</w:t>
            </w:r>
            <w:r w:rsidR="006A2EDD" w:rsidRPr="00FE6AC6">
              <w:rPr>
                <w:color w:val="000000"/>
              </w:rPr>
              <w:t> </w:t>
            </w:r>
            <w:r w:rsidRPr="00FE6AC6">
              <w:rPr>
                <w:color w:val="000000"/>
              </w:rPr>
              <w:t xml:space="preserve">500 </w:t>
            </w:r>
            <w:r w:rsidRPr="00FE6AC6">
              <w:rPr>
                <w:color w:val="000000"/>
                <w:lang w:val="bg-BG"/>
              </w:rPr>
              <w:t>след надир</w:t>
            </w:r>
          </w:p>
          <w:p w14:paraId="3E5504C2" w14:textId="77777777" w:rsidR="001B628D" w:rsidRPr="00FE6AC6" w:rsidRDefault="001B628D" w:rsidP="0063575E">
            <w:pPr>
              <w:pStyle w:val="EndnoteText"/>
              <w:widowControl w:val="0"/>
              <w:rPr>
                <w:color w:val="000000"/>
              </w:rPr>
            </w:pPr>
            <w:r w:rsidRPr="00FE6AC6">
              <w:rPr>
                <w:color w:val="000000"/>
              </w:rPr>
              <w:t>ARA-C (3 g/m</w:t>
            </w:r>
            <w:r w:rsidRPr="00FE6AC6">
              <w:rPr>
                <w:color w:val="000000"/>
                <w:vertAlign w:val="superscript"/>
              </w:rPr>
              <w:t>2</w:t>
            </w:r>
            <w:r w:rsidRPr="00FE6AC6">
              <w:rPr>
                <w:color w:val="000000"/>
              </w:rPr>
              <w:t xml:space="preserve">, </w:t>
            </w:r>
            <w:r w:rsidRPr="00FE6AC6">
              <w:rPr>
                <w:color w:val="000000"/>
                <w:lang w:val="bg-BG"/>
              </w:rPr>
              <w:t xml:space="preserve">на </w:t>
            </w:r>
            <w:r w:rsidRPr="00FE6AC6">
              <w:rPr>
                <w:color w:val="000000"/>
              </w:rPr>
              <w:t>12</w:t>
            </w:r>
            <w:r w:rsidRPr="00FE6AC6">
              <w:rPr>
                <w:color w:val="000000"/>
                <w:lang w:val="bg-BG"/>
              </w:rPr>
              <w:t> ч</w:t>
            </w:r>
            <w:r w:rsidRPr="00FE6AC6">
              <w:rPr>
                <w:color w:val="000000"/>
              </w:rPr>
              <w:t xml:space="preserve">, IV): </w:t>
            </w:r>
            <w:r w:rsidRPr="00FE6AC6">
              <w:rPr>
                <w:color w:val="000000"/>
                <w:lang w:val="bg-BG"/>
              </w:rPr>
              <w:t>дни</w:t>
            </w:r>
            <w:r w:rsidRPr="00FE6AC6">
              <w:rPr>
                <w:color w:val="000000"/>
              </w:rPr>
              <w:t> 43, 44</w:t>
            </w:r>
          </w:p>
          <w:p w14:paraId="3E5504C3" w14:textId="77777777" w:rsidR="001B628D" w:rsidRPr="00FE6AC6" w:rsidRDefault="001B628D" w:rsidP="0063575E">
            <w:pPr>
              <w:pStyle w:val="EndnoteText"/>
              <w:widowControl w:val="0"/>
              <w:rPr>
                <w:color w:val="000000"/>
                <w:lang w:val="de-CH"/>
              </w:rPr>
            </w:pPr>
            <w:r w:rsidRPr="00FE6AC6">
              <w:rPr>
                <w:color w:val="000000"/>
                <w:lang w:val="de-CH"/>
              </w:rPr>
              <w:t>L-ASP (6</w:t>
            </w:r>
            <w:r w:rsidR="006A2EDD" w:rsidRPr="00FE6AC6">
              <w:rPr>
                <w:color w:val="000000"/>
                <w:lang w:val="de-CH"/>
              </w:rPr>
              <w:t> </w:t>
            </w:r>
            <w:r w:rsidRPr="00FE6AC6">
              <w:rPr>
                <w:color w:val="000000"/>
                <w:lang w:val="de-CH"/>
              </w:rPr>
              <w:t>000 IUnits/m</w:t>
            </w:r>
            <w:r w:rsidRPr="00FE6AC6">
              <w:rPr>
                <w:color w:val="000000"/>
                <w:vertAlign w:val="superscript"/>
                <w:lang w:val="de-CH"/>
              </w:rPr>
              <w:t>2</w:t>
            </w:r>
            <w:r w:rsidRPr="00FE6AC6">
              <w:rPr>
                <w:color w:val="000000"/>
                <w:lang w:val="de-CH"/>
              </w:rPr>
              <w:t xml:space="preserve">, IM): </w:t>
            </w:r>
            <w:r w:rsidRPr="00FE6AC6">
              <w:rPr>
                <w:color w:val="000000"/>
                <w:lang w:val="bg-BG"/>
              </w:rPr>
              <w:t>ден</w:t>
            </w:r>
            <w:r w:rsidRPr="00FE6AC6">
              <w:rPr>
                <w:color w:val="000000"/>
                <w:lang w:val="de-CH"/>
              </w:rPr>
              <w:t> 44</w:t>
            </w:r>
          </w:p>
        </w:tc>
      </w:tr>
      <w:tr w:rsidR="001B628D" w:rsidRPr="004015AA" w14:paraId="3E5504CE" w14:textId="77777777" w:rsidTr="00EB1684">
        <w:trPr>
          <w:cantSplit/>
        </w:trPr>
        <w:tc>
          <w:tcPr>
            <w:tcW w:w="2358" w:type="dxa"/>
            <w:shd w:val="clear" w:color="auto" w:fill="auto"/>
          </w:tcPr>
          <w:p w14:paraId="3E5504C5" w14:textId="77777777" w:rsidR="001B628D" w:rsidRPr="00FE6AC6" w:rsidRDefault="001B628D" w:rsidP="0063575E">
            <w:pPr>
              <w:pStyle w:val="EndnoteText"/>
              <w:widowControl w:val="0"/>
              <w:rPr>
                <w:color w:val="000000"/>
              </w:rPr>
            </w:pPr>
            <w:r w:rsidRPr="00FE6AC6">
              <w:rPr>
                <w:color w:val="000000"/>
                <w:lang w:val="bg-BG"/>
              </w:rPr>
              <w:t>Реиндукционен блок</w:t>
            </w:r>
            <w:r w:rsidRPr="00FE6AC6">
              <w:rPr>
                <w:color w:val="000000"/>
              </w:rPr>
              <w:t> 2</w:t>
            </w:r>
          </w:p>
          <w:p w14:paraId="3E5504C6" w14:textId="77777777" w:rsidR="001B628D" w:rsidRPr="00FE6AC6" w:rsidRDefault="001B628D" w:rsidP="0063575E">
            <w:pPr>
              <w:pStyle w:val="EndnoteText"/>
              <w:widowControl w:val="0"/>
              <w:rPr>
                <w:color w:val="000000"/>
              </w:rPr>
            </w:pPr>
            <w:r w:rsidRPr="00FE6AC6">
              <w:rPr>
                <w:color w:val="000000"/>
              </w:rPr>
              <w:t>(3 </w:t>
            </w:r>
            <w:r w:rsidRPr="00FE6AC6">
              <w:rPr>
                <w:color w:val="000000"/>
                <w:lang w:val="bg-BG"/>
              </w:rPr>
              <w:t>седмици</w:t>
            </w:r>
            <w:r w:rsidRPr="00FE6AC6">
              <w:rPr>
                <w:color w:val="000000"/>
              </w:rPr>
              <w:t>)</w:t>
            </w:r>
          </w:p>
        </w:tc>
        <w:tc>
          <w:tcPr>
            <w:tcW w:w="6929" w:type="dxa"/>
            <w:shd w:val="clear" w:color="auto" w:fill="auto"/>
          </w:tcPr>
          <w:p w14:paraId="3E5504C7" w14:textId="77777777" w:rsidR="001B628D" w:rsidRPr="00FE6AC6" w:rsidRDefault="001B628D" w:rsidP="0063575E">
            <w:pPr>
              <w:pStyle w:val="EndnoteText"/>
              <w:widowControl w:val="0"/>
              <w:rPr>
                <w:color w:val="000000"/>
              </w:rPr>
            </w:pPr>
            <w:r w:rsidRPr="00FE6AC6">
              <w:rPr>
                <w:color w:val="000000"/>
              </w:rPr>
              <w:t>VCR (1</w:t>
            </w:r>
            <w:r w:rsidRPr="00FE6AC6">
              <w:rPr>
                <w:color w:val="000000"/>
                <w:lang w:val="bg-BG"/>
              </w:rPr>
              <w:t>,</w:t>
            </w:r>
            <w:r w:rsidRPr="00FE6AC6">
              <w:rPr>
                <w:color w:val="000000"/>
              </w:rPr>
              <w:t>5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xml:space="preserve"> 1, 8 </w:t>
            </w:r>
            <w:r w:rsidRPr="00FE6AC6">
              <w:rPr>
                <w:color w:val="000000"/>
                <w:lang w:val="bg-BG"/>
              </w:rPr>
              <w:t>и</w:t>
            </w:r>
            <w:r w:rsidRPr="00FE6AC6">
              <w:rPr>
                <w:color w:val="000000"/>
              </w:rPr>
              <w:t xml:space="preserve"> 15</w:t>
            </w:r>
          </w:p>
          <w:p w14:paraId="3E5504C8" w14:textId="77777777" w:rsidR="001B628D" w:rsidRPr="00FE6AC6" w:rsidRDefault="001B628D" w:rsidP="0063575E">
            <w:pPr>
              <w:pStyle w:val="EndnoteText"/>
              <w:widowControl w:val="0"/>
              <w:rPr>
                <w:color w:val="000000"/>
              </w:rPr>
            </w:pPr>
            <w:r w:rsidRPr="00FE6AC6">
              <w:rPr>
                <w:color w:val="000000"/>
              </w:rPr>
              <w:t>DAUN (45 mg/m</w:t>
            </w:r>
            <w:r w:rsidRPr="00FE6AC6">
              <w:rPr>
                <w:color w:val="000000"/>
                <w:vertAlign w:val="superscript"/>
              </w:rPr>
              <w:t>2</w:t>
            </w:r>
            <w:r w:rsidRPr="00FE6AC6">
              <w:rPr>
                <w:color w:val="000000"/>
              </w:rPr>
              <w:t>/</w:t>
            </w:r>
            <w:r w:rsidRPr="00FE6AC6">
              <w:rPr>
                <w:color w:val="000000"/>
                <w:lang w:val="bg-BG"/>
              </w:rPr>
              <w:t>ден болус</w:t>
            </w:r>
            <w:r w:rsidRPr="00FE6AC6">
              <w:rPr>
                <w:color w:val="000000"/>
              </w:rPr>
              <w:t xml:space="preserve">, IV): </w:t>
            </w:r>
            <w:r w:rsidRPr="00FE6AC6">
              <w:rPr>
                <w:color w:val="000000"/>
                <w:lang w:val="bg-BG"/>
              </w:rPr>
              <w:t>ден</w:t>
            </w:r>
            <w:r w:rsidRPr="00FE6AC6">
              <w:rPr>
                <w:color w:val="000000"/>
              </w:rPr>
              <w:t xml:space="preserve"> 1 </w:t>
            </w:r>
            <w:r w:rsidRPr="00FE6AC6">
              <w:rPr>
                <w:color w:val="000000"/>
                <w:lang w:val="bg-BG"/>
              </w:rPr>
              <w:t>и</w:t>
            </w:r>
            <w:r w:rsidRPr="00FE6AC6">
              <w:rPr>
                <w:color w:val="000000"/>
              </w:rPr>
              <w:t xml:space="preserve"> 2</w:t>
            </w:r>
          </w:p>
          <w:p w14:paraId="3E5504C9" w14:textId="77777777" w:rsidR="001B628D" w:rsidRPr="00FE6AC6" w:rsidRDefault="001B628D" w:rsidP="0063575E">
            <w:pPr>
              <w:pStyle w:val="EndnoteText"/>
              <w:widowControl w:val="0"/>
              <w:rPr>
                <w:color w:val="000000"/>
              </w:rPr>
            </w:pPr>
            <w:r w:rsidRPr="00FE6AC6">
              <w:rPr>
                <w:color w:val="000000"/>
              </w:rPr>
              <w:t>CPM (250 mg/m</w:t>
            </w:r>
            <w:r w:rsidRPr="00FE6AC6">
              <w:rPr>
                <w:color w:val="000000"/>
                <w:vertAlign w:val="superscript"/>
              </w:rPr>
              <w:t>2</w:t>
            </w:r>
            <w:r w:rsidRPr="00FE6AC6">
              <w:rPr>
                <w:color w:val="000000"/>
              </w:rPr>
              <w:t>/</w:t>
            </w:r>
            <w:r w:rsidRPr="00FE6AC6">
              <w:rPr>
                <w:color w:val="000000"/>
                <w:lang w:val="bg-BG"/>
              </w:rPr>
              <w:t xml:space="preserve">доза на </w:t>
            </w:r>
            <w:r w:rsidRPr="00FE6AC6">
              <w:rPr>
                <w:color w:val="000000"/>
              </w:rPr>
              <w:t>12</w:t>
            </w:r>
            <w:r w:rsidRPr="00FE6AC6">
              <w:rPr>
                <w:color w:val="000000"/>
                <w:lang w:val="bg-BG"/>
              </w:rPr>
              <w:t> ч</w:t>
            </w:r>
            <w:r w:rsidRPr="00FE6AC6">
              <w:rPr>
                <w:color w:val="000000"/>
              </w:rPr>
              <w:t xml:space="preserve"> x 4 </w:t>
            </w:r>
            <w:r w:rsidRPr="00FE6AC6">
              <w:rPr>
                <w:color w:val="000000"/>
                <w:lang w:val="bg-BG"/>
              </w:rPr>
              <w:t>дози</w:t>
            </w:r>
            <w:r w:rsidRPr="00FE6AC6">
              <w:rPr>
                <w:color w:val="000000"/>
              </w:rPr>
              <w:t xml:space="preserve">, iv): </w:t>
            </w:r>
            <w:r w:rsidRPr="00FE6AC6">
              <w:rPr>
                <w:color w:val="000000"/>
                <w:lang w:val="bg-BG"/>
              </w:rPr>
              <w:t>дни</w:t>
            </w:r>
            <w:r w:rsidRPr="00FE6AC6">
              <w:rPr>
                <w:color w:val="000000"/>
              </w:rPr>
              <w:t xml:space="preserve"> 3 </w:t>
            </w:r>
            <w:r w:rsidRPr="00FE6AC6">
              <w:rPr>
                <w:color w:val="000000"/>
                <w:lang w:val="bg-BG"/>
              </w:rPr>
              <w:t>и</w:t>
            </w:r>
            <w:r w:rsidRPr="00FE6AC6">
              <w:rPr>
                <w:color w:val="000000"/>
              </w:rPr>
              <w:t xml:space="preserve"> 4</w:t>
            </w:r>
          </w:p>
          <w:p w14:paraId="3E5504CA" w14:textId="77777777" w:rsidR="001B628D" w:rsidRPr="00FE6AC6" w:rsidRDefault="001B628D" w:rsidP="0063575E">
            <w:pPr>
              <w:pStyle w:val="EndnoteText"/>
              <w:widowControl w:val="0"/>
              <w:rPr>
                <w:color w:val="000000"/>
                <w:lang w:val="de-CH"/>
              </w:rPr>
            </w:pPr>
            <w:r w:rsidRPr="00FE6AC6">
              <w:rPr>
                <w:color w:val="000000"/>
                <w:lang w:val="de-CH"/>
              </w:rPr>
              <w:t>PEG-ASP (2</w:t>
            </w:r>
            <w:r w:rsidR="006A2EDD" w:rsidRPr="00FE6AC6">
              <w:rPr>
                <w:color w:val="000000"/>
                <w:lang w:val="de-CH"/>
              </w:rPr>
              <w:t> </w:t>
            </w:r>
            <w:r w:rsidRPr="00FE6AC6">
              <w:rPr>
                <w:color w:val="000000"/>
                <w:lang w:val="de-CH"/>
              </w:rPr>
              <w:t>500 IUnits/m</w:t>
            </w:r>
            <w:r w:rsidRPr="00FE6AC6">
              <w:rPr>
                <w:color w:val="000000"/>
                <w:vertAlign w:val="superscript"/>
                <w:lang w:val="de-CH"/>
              </w:rPr>
              <w:t>2</w:t>
            </w:r>
            <w:r w:rsidRPr="00FE6AC6">
              <w:rPr>
                <w:color w:val="000000"/>
                <w:lang w:val="de-CH"/>
              </w:rPr>
              <w:t xml:space="preserve">, IM): </w:t>
            </w:r>
            <w:r w:rsidRPr="00FE6AC6">
              <w:rPr>
                <w:color w:val="000000"/>
                <w:lang w:val="bg-BG"/>
              </w:rPr>
              <w:t>ден</w:t>
            </w:r>
            <w:r w:rsidRPr="00FE6AC6">
              <w:rPr>
                <w:color w:val="000000"/>
                <w:lang w:val="de-CH"/>
              </w:rPr>
              <w:t> 4</w:t>
            </w:r>
          </w:p>
          <w:p w14:paraId="3E5504CB" w14:textId="77777777" w:rsidR="001B628D" w:rsidRPr="00FE6AC6" w:rsidRDefault="001B628D" w:rsidP="0063575E">
            <w:pPr>
              <w:pStyle w:val="EndnoteText"/>
              <w:widowControl w:val="0"/>
              <w:rPr>
                <w:color w:val="000000"/>
                <w:lang w:val="de-CH"/>
              </w:rPr>
            </w:pPr>
            <w:r w:rsidRPr="00FE6AC6">
              <w:rPr>
                <w:color w:val="000000"/>
                <w:lang w:val="de-CH"/>
              </w:rPr>
              <w:t>G-CSF (5 </w:t>
            </w:r>
            <w:r w:rsidRPr="00FE6AC6">
              <w:rPr>
                <w:color w:val="000000"/>
              </w:rPr>
              <w:t>μ</w:t>
            </w:r>
            <w:r w:rsidRPr="00FE6AC6">
              <w:rPr>
                <w:color w:val="000000"/>
                <w:lang w:val="de-CH"/>
              </w:rPr>
              <w:t xml:space="preserve">g/kg, SC): </w:t>
            </w:r>
            <w:r w:rsidRPr="00FE6AC6">
              <w:rPr>
                <w:color w:val="000000"/>
                <w:lang w:val="bg-BG"/>
              </w:rPr>
              <w:t>дни</w:t>
            </w:r>
            <w:r w:rsidRPr="00FE6AC6">
              <w:rPr>
                <w:color w:val="000000"/>
                <w:lang w:val="de-CH"/>
              </w:rPr>
              <w:t xml:space="preserve"> 5-14 </w:t>
            </w:r>
            <w:r w:rsidRPr="00FE6AC6">
              <w:rPr>
                <w:color w:val="000000"/>
                <w:lang w:val="bg-BG"/>
              </w:rPr>
              <w:t>или докато</w:t>
            </w:r>
            <w:r w:rsidRPr="00FE6AC6">
              <w:rPr>
                <w:color w:val="000000"/>
                <w:lang w:val="de-CH"/>
              </w:rPr>
              <w:t xml:space="preserve"> ANC &gt;1</w:t>
            </w:r>
            <w:r w:rsidR="006A2EDD" w:rsidRPr="00FE6AC6">
              <w:rPr>
                <w:color w:val="000000"/>
                <w:lang w:val="de-CH"/>
              </w:rPr>
              <w:t> </w:t>
            </w:r>
            <w:r w:rsidRPr="00FE6AC6">
              <w:rPr>
                <w:color w:val="000000"/>
                <w:lang w:val="de-CH"/>
              </w:rPr>
              <w:t xml:space="preserve">500 </w:t>
            </w:r>
            <w:r w:rsidRPr="00FE6AC6">
              <w:rPr>
                <w:color w:val="000000"/>
                <w:lang w:val="bg-BG"/>
              </w:rPr>
              <w:t>след надир</w:t>
            </w:r>
          </w:p>
          <w:p w14:paraId="3E5504CC" w14:textId="77777777" w:rsidR="001B628D" w:rsidRPr="00FE6AC6" w:rsidRDefault="001B628D" w:rsidP="0063575E">
            <w:pPr>
              <w:pStyle w:val="EndnoteText"/>
              <w:widowControl w:val="0"/>
              <w:rPr>
                <w:color w:val="000000"/>
                <w:lang w:val="de-CH"/>
              </w:rPr>
            </w:pPr>
            <w:r w:rsidRPr="00FE6AC6">
              <w:rPr>
                <w:color w:val="000000"/>
                <w:lang w:val="bg-BG"/>
              </w:rPr>
              <w:t>Тройна</w:t>
            </w:r>
            <w:r w:rsidRPr="00FE6AC6">
              <w:rPr>
                <w:color w:val="000000"/>
                <w:lang w:val="de-CH"/>
              </w:rPr>
              <w:t xml:space="preserve"> IT </w:t>
            </w:r>
            <w:r w:rsidRPr="00FE6AC6">
              <w:rPr>
                <w:color w:val="000000"/>
                <w:lang w:val="bg-BG"/>
              </w:rPr>
              <w:t>терапия</w:t>
            </w:r>
            <w:r w:rsidRPr="00FE6AC6">
              <w:rPr>
                <w:color w:val="000000"/>
                <w:lang w:val="de-CH"/>
              </w:rPr>
              <w:t xml:space="preserve"> (</w:t>
            </w:r>
            <w:r w:rsidRPr="00FE6AC6">
              <w:rPr>
                <w:color w:val="000000"/>
                <w:lang w:val="bg-BG"/>
              </w:rPr>
              <w:t>в зависимост от възрастта</w:t>
            </w:r>
            <w:r w:rsidRPr="00FE6AC6">
              <w:rPr>
                <w:color w:val="000000"/>
                <w:lang w:val="de-CH"/>
              </w:rPr>
              <w:t xml:space="preserve">): </w:t>
            </w:r>
            <w:r w:rsidRPr="00FE6AC6">
              <w:rPr>
                <w:color w:val="000000"/>
                <w:lang w:val="bg-BG"/>
              </w:rPr>
              <w:t>дни</w:t>
            </w:r>
            <w:r w:rsidRPr="00FE6AC6">
              <w:rPr>
                <w:color w:val="000000"/>
                <w:lang w:val="de-CH"/>
              </w:rPr>
              <w:t xml:space="preserve"> 1 </w:t>
            </w:r>
            <w:r w:rsidRPr="00FE6AC6">
              <w:rPr>
                <w:color w:val="000000"/>
                <w:lang w:val="bg-BG"/>
              </w:rPr>
              <w:t>и</w:t>
            </w:r>
            <w:r w:rsidRPr="00FE6AC6">
              <w:rPr>
                <w:color w:val="000000"/>
                <w:lang w:val="de-CH"/>
              </w:rPr>
              <w:t xml:space="preserve"> 15</w:t>
            </w:r>
          </w:p>
          <w:p w14:paraId="3E5504CD" w14:textId="77777777" w:rsidR="001B628D" w:rsidRPr="00FE6AC6" w:rsidRDefault="001B628D" w:rsidP="0063575E">
            <w:pPr>
              <w:pStyle w:val="EndnoteText"/>
              <w:widowControl w:val="0"/>
              <w:rPr>
                <w:color w:val="000000"/>
                <w:lang w:val="de-CH"/>
              </w:rPr>
            </w:pPr>
            <w:r w:rsidRPr="00FE6AC6">
              <w:rPr>
                <w:color w:val="000000"/>
                <w:lang w:val="de-CH"/>
              </w:rPr>
              <w:t>DEX (6 mg/m</w:t>
            </w:r>
            <w:r w:rsidRPr="00FE6AC6">
              <w:rPr>
                <w:color w:val="000000"/>
                <w:vertAlign w:val="superscript"/>
                <w:lang w:val="de-CH"/>
              </w:rPr>
              <w:t>2</w:t>
            </w:r>
            <w:r w:rsidRPr="00FE6AC6">
              <w:rPr>
                <w:color w:val="000000"/>
                <w:lang w:val="de-CH"/>
              </w:rPr>
              <w:t>/</w:t>
            </w:r>
            <w:r w:rsidRPr="00FE6AC6">
              <w:rPr>
                <w:color w:val="000000"/>
                <w:lang w:val="bg-BG"/>
              </w:rPr>
              <w:t>ден</w:t>
            </w:r>
            <w:r w:rsidRPr="00FE6AC6">
              <w:rPr>
                <w:color w:val="000000"/>
                <w:lang w:val="de-CH"/>
              </w:rPr>
              <w:t xml:space="preserve">, PO): </w:t>
            </w:r>
            <w:r w:rsidRPr="00FE6AC6">
              <w:rPr>
                <w:color w:val="000000"/>
                <w:lang w:val="bg-BG"/>
              </w:rPr>
              <w:t>дни</w:t>
            </w:r>
            <w:r w:rsidRPr="00FE6AC6">
              <w:rPr>
                <w:color w:val="000000"/>
                <w:lang w:val="de-CH"/>
              </w:rPr>
              <w:t> 1</w:t>
            </w:r>
            <w:r w:rsidRPr="00FE6AC6">
              <w:rPr>
                <w:color w:val="000000"/>
                <w:lang w:val="de-CH"/>
              </w:rPr>
              <w:noBreakHyphen/>
              <w:t xml:space="preserve">7 </w:t>
            </w:r>
            <w:r w:rsidRPr="00FE6AC6">
              <w:rPr>
                <w:color w:val="000000"/>
                <w:lang w:val="bg-BG"/>
              </w:rPr>
              <w:t>и</w:t>
            </w:r>
            <w:r w:rsidRPr="00FE6AC6">
              <w:rPr>
                <w:color w:val="000000"/>
                <w:lang w:val="de-CH"/>
              </w:rPr>
              <w:t xml:space="preserve"> 15</w:t>
            </w:r>
            <w:r w:rsidRPr="00FE6AC6">
              <w:rPr>
                <w:color w:val="000000"/>
                <w:lang w:val="de-CH"/>
              </w:rPr>
              <w:noBreakHyphen/>
              <w:t>21</w:t>
            </w:r>
          </w:p>
        </w:tc>
      </w:tr>
      <w:tr w:rsidR="001B628D" w:rsidRPr="004015AA" w14:paraId="3E5504DA" w14:textId="77777777" w:rsidTr="00EB1684">
        <w:trPr>
          <w:cantSplit/>
        </w:trPr>
        <w:tc>
          <w:tcPr>
            <w:tcW w:w="2358" w:type="dxa"/>
            <w:shd w:val="clear" w:color="auto" w:fill="auto"/>
          </w:tcPr>
          <w:p w14:paraId="3E5504CF" w14:textId="77777777" w:rsidR="001B628D" w:rsidRPr="00FE6AC6" w:rsidRDefault="001B628D" w:rsidP="0063575E">
            <w:pPr>
              <w:pStyle w:val="EndnoteText"/>
              <w:widowControl w:val="0"/>
              <w:rPr>
                <w:color w:val="000000"/>
              </w:rPr>
            </w:pPr>
            <w:r w:rsidRPr="00FE6AC6">
              <w:rPr>
                <w:color w:val="000000"/>
                <w:lang w:val="bg-BG"/>
              </w:rPr>
              <w:t>Интезифициращ блок</w:t>
            </w:r>
            <w:r w:rsidRPr="00FE6AC6">
              <w:rPr>
                <w:color w:val="000000"/>
              </w:rPr>
              <w:t> 2</w:t>
            </w:r>
          </w:p>
          <w:p w14:paraId="3E5504D0" w14:textId="77777777" w:rsidR="001B628D" w:rsidRPr="00FE6AC6" w:rsidRDefault="001B628D" w:rsidP="0063575E">
            <w:pPr>
              <w:pStyle w:val="EndnoteText"/>
              <w:widowControl w:val="0"/>
              <w:rPr>
                <w:color w:val="000000"/>
              </w:rPr>
            </w:pPr>
            <w:r w:rsidRPr="00FE6AC6">
              <w:rPr>
                <w:color w:val="000000"/>
              </w:rPr>
              <w:t>(9 </w:t>
            </w:r>
            <w:r w:rsidRPr="00FE6AC6">
              <w:rPr>
                <w:color w:val="000000"/>
                <w:lang w:val="bg-BG"/>
              </w:rPr>
              <w:t>седмици</w:t>
            </w:r>
            <w:r w:rsidRPr="00FE6AC6">
              <w:rPr>
                <w:color w:val="000000"/>
              </w:rPr>
              <w:t>)</w:t>
            </w:r>
          </w:p>
        </w:tc>
        <w:tc>
          <w:tcPr>
            <w:tcW w:w="6929" w:type="dxa"/>
            <w:shd w:val="clear" w:color="auto" w:fill="auto"/>
          </w:tcPr>
          <w:p w14:paraId="3E5504D1" w14:textId="77777777" w:rsidR="001B628D" w:rsidRPr="00FE6AC6" w:rsidRDefault="001B628D" w:rsidP="0063575E">
            <w:pPr>
              <w:pStyle w:val="EndnoteText"/>
              <w:widowControl w:val="0"/>
              <w:rPr>
                <w:color w:val="000000"/>
              </w:rPr>
            </w:pPr>
            <w:r w:rsidRPr="00FE6AC6">
              <w:rPr>
                <w:color w:val="000000"/>
                <w:lang w:val="bg-BG"/>
              </w:rPr>
              <w:t>Метотрексат</w:t>
            </w:r>
            <w:r w:rsidRPr="00FE6AC6">
              <w:rPr>
                <w:color w:val="000000"/>
              </w:rPr>
              <w:t xml:space="preserve"> (5 g/m</w:t>
            </w:r>
            <w:r w:rsidRPr="00FE6AC6">
              <w:rPr>
                <w:color w:val="000000"/>
                <w:vertAlign w:val="superscript"/>
              </w:rPr>
              <w:t>2</w:t>
            </w:r>
            <w:r w:rsidRPr="00FE6AC6">
              <w:rPr>
                <w:color w:val="000000"/>
              </w:rPr>
              <w:t xml:space="preserve"> </w:t>
            </w:r>
            <w:r w:rsidRPr="00FE6AC6">
              <w:rPr>
                <w:color w:val="000000"/>
                <w:lang w:val="bg-BG"/>
              </w:rPr>
              <w:t>в продължение на</w:t>
            </w:r>
            <w:r w:rsidRPr="00FE6AC6">
              <w:rPr>
                <w:color w:val="000000"/>
              </w:rPr>
              <w:t xml:space="preserve"> 24 </w:t>
            </w:r>
            <w:r w:rsidRPr="00FE6AC6">
              <w:rPr>
                <w:color w:val="000000"/>
                <w:lang w:val="bg-BG"/>
              </w:rPr>
              <w:t>часа</w:t>
            </w:r>
            <w:r w:rsidRPr="00FE6AC6">
              <w:rPr>
                <w:color w:val="000000"/>
              </w:rPr>
              <w:t xml:space="preserve">, IV): </w:t>
            </w:r>
            <w:r w:rsidRPr="00FE6AC6">
              <w:rPr>
                <w:color w:val="000000"/>
                <w:lang w:val="bg-BG"/>
              </w:rPr>
              <w:t>дни</w:t>
            </w:r>
            <w:r w:rsidRPr="00FE6AC6">
              <w:rPr>
                <w:color w:val="000000"/>
              </w:rPr>
              <w:t xml:space="preserve"> 1 </w:t>
            </w:r>
            <w:r w:rsidRPr="00FE6AC6">
              <w:rPr>
                <w:color w:val="000000"/>
                <w:lang w:val="bg-BG"/>
              </w:rPr>
              <w:t>и</w:t>
            </w:r>
            <w:r w:rsidRPr="00FE6AC6">
              <w:rPr>
                <w:color w:val="000000"/>
              </w:rPr>
              <w:t xml:space="preserve"> 15</w:t>
            </w:r>
          </w:p>
          <w:p w14:paraId="3E5504D2" w14:textId="77777777" w:rsidR="001B628D" w:rsidRPr="00FE6AC6" w:rsidRDefault="001B628D" w:rsidP="0063575E">
            <w:pPr>
              <w:pStyle w:val="EndnoteText"/>
              <w:widowControl w:val="0"/>
              <w:rPr>
                <w:color w:val="000000"/>
              </w:rPr>
            </w:pPr>
            <w:r w:rsidRPr="00FE6AC6">
              <w:rPr>
                <w:color w:val="000000"/>
                <w:lang w:val="bg-BG"/>
              </w:rPr>
              <w:t>Левковорин</w:t>
            </w:r>
            <w:r w:rsidRPr="00FE6AC6">
              <w:rPr>
                <w:color w:val="000000"/>
              </w:rPr>
              <w:t xml:space="preserve"> (75 mg/m</w:t>
            </w:r>
            <w:r w:rsidRPr="00FE6AC6">
              <w:rPr>
                <w:color w:val="000000"/>
                <w:vertAlign w:val="superscript"/>
              </w:rPr>
              <w:t>2</w:t>
            </w:r>
            <w:r w:rsidRPr="00FE6AC6">
              <w:rPr>
                <w:color w:val="000000"/>
              </w:rPr>
              <w:t xml:space="preserve"> </w:t>
            </w:r>
            <w:r w:rsidRPr="00FE6AC6">
              <w:rPr>
                <w:color w:val="000000"/>
                <w:lang w:val="bg-BG"/>
              </w:rPr>
              <w:t>на 36</w:t>
            </w:r>
            <w:r w:rsidRPr="00FE6AC6">
              <w:rPr>
                <w:color w:val="000000"/>
                <w:lang w:val="bg-BG"/>
              </w:rPr>
              <w:noBreakHyphen/>
              <w:t>ти час</w:t>
            </w:r>
            <w:r w:rsidRPr="00FE6AC6">
              <w:rPr>
                <w:color w:val="000000"/>
              </w:rPr>
              <w:t>, IV; 15 mg/m</w:t>
            </w:r>
            <w:r w:rsidRPr="00FE6AC6">
              <w:rPr>
                <w:color w:val="000000"/>
                <w:vertAlign w:val="superscript"/>
              </w:rPr>
              <w:t>2</w:t>
            </w:r>
            <w:r w:rsidRPr="00FE6AC6">
              <w:rPr>
                <w:color w:val="000000"/>
              </w:rPr>
              <w:t xml:space="preserve"> IV </w:t>
            </w:r>
            <w:r w:rsidRPr="00FE6AC6">
              <w:rPr>
                <w:color w:val="000000"/>
                <w:lang w:val="bg-BG"/>
              </w:rPr>
              <w:t>или</w:t>
            </w:r>
            <w:r w:rsidRPr="00FE6AC6">
              <w:rPr>
                <w:color w:val="000000"/>
              </w:rPr>
              <w:t xml:space="preserve"> PO </w:t>
            </w:r>
            <w:r w:rsidRPr="00FE6AC6">
              <w:rPr>
                <w:color w:val="000000"/>
                <w:lang w:val="bg-BG"/>
              </w:rPr>
              <w:t xml:space="preserve">на </w:t>
            </w:r>
            <w:r w:rsidRPr="00FE6AC6">
              <w:rPr>
                <w:color w:val="000000"/>
              </w:rPr>
              <w:t>6</w:t>
            </w:r>
            <w:r w:rsidRPr="00FE6AC6">
              <w:rPr>
                <w:color w:val="000000"/>
                <w:lang w:val="bg-BG"/>
              </w:rPr>
              <w:t> ч</w:t>
            </w:r>
            <w:r w:rsidRPr="00FE6AC6">
              <w:rPr>
                <w:color w:val="000000"/>
              </w:rPr>
              <w:t xml:space="preserve"> x 6 </w:t>
            </w:r>
            <w:r w:rsidRPr="00FE6AC6">
              <w:rPr>
                <w:color w:val="000000"/>
                <w:lang w:val="bg-BG"/>
              </w:rPr>
              <w:t>дози</w:t>
            </w:r>
            <w:r w:rsidRPr="00FE6AC6">
              <w:rPr>
                <w:color w:val="000000"/>
              </w:rPr>
              <w:t xml:space="preserve">)iii: </w:t>
            </w:r>
            <w:r w:rsidRPr="00FE6AC6">
              <w:rPr>
                <w:color w:val="000000"/>
                <w:lang w:val="bg-BG"/>
              </w:rPr>
              <w:t>дни</w:t>
            </w:r>
            <w:r w:rsidRPr="00FE6AC6">
              <w:rPr>
                <w:color w:val="000000"/>
              </w:rPr>
              <w:t> 2, 3, 16</w:t>
            </w:r>
            <w:r w:rsidRPr="00FE6AC6">
              <w:rPr>
                <w:color w:val="000000"/>
                <w:lang w:val="bg-BG"/>
              </w:rPr>
              <w:t xml:space="preserve"> и</w:t>
            </w:r>
            <w:r w:rsidRPr="00FE6AC6">
              <w:rPr>
                <w:color w:val="000000"/>
              </w:rPr>
              <w:t xml:space="preserve"> 17</w:t>
            </w:r>
          </w:p>
          <w:p w14:paraId="3E5504D3" w14:textId="77777777" w:rsidR="001B628D" w:rsidRPr="00FE6AC6" w:rsidRDefault="001B628D" w:rsidP="0063575E">
            <w:pPr>
              <w:pStyle w:val="EndnoteText"/>
              <w:widowControl w:val="0"/>
              <w:rPr>
                <w:color w:val="000000"/>
              </w:rPr>
            </w:pPr>
            <w:r w:rsidRPr="00FE6AC6">
              <w:rPr>
                <w:color w:val="000000"/>
                <w:lang w:val="bg-BG"/>
              </w:rPr>
              <w:t>Тройна</w:t>
            </w:r>
            <w:r w:rsidRPr="00FE6AC6">
              <w:rPr>
                <w:color w:val="000000"/>
              </w:rPr>
              <w:t xml:space="preserve"> IT </w:t>
            </w:r>
            <w:r w:rsidRPr="00FE6AC6">
              <w:rPr>
                <w:color w:val="000000"/>
                <w:lang w:val="bg-BG"/>
              </w:rPr>
              <w:t>терапия</w:t>
            </w:r>
            <w:r w:rsidRPr="00FE6AC6">
              <w:rPr>
                <w:color w:val="000000"/>
              </w:rPr>
              <w:t xml:space="preserve"> (</w:t>
            </w:r>
            <w:r w:rsidRPr="00FE6AC6">
              <w:rPr>
                <w:color w:val="000000"/>
                <w:lang w:val="bg-BG"/>
              </w:rPr>
              <w:t>в зависимост от възрастта</w:t>
            </w:r>
            <w:r w:rsidRPr="00FE6AC6">
              <w:rPr>
                <w:color w:val="000000"/>
              </w:rPr>
              <w:t xml:space="preserve">): </w:t>
            </w:r>
            <w:r w:rsidRPr="00FE6AC6">
              <w:rPr>
                <w:color w:val="000000"/>
                <w:lang w:val="bg-BG"/>
              </w:rPr>
              <w:t>дни</w:t>
            </w:r>
            <w:r w:rsidRPr="00FE6AC6">
              <w:rPr>
                <w:color w:val="000000"/>
              </w:rPr>
              <w:t xml:space="preserve"> 1 </w:t>
            </w:r>
            <w:r w:rsidRPr="00FE6AC6">
              <w:rPr>
                <w:color w:val="000000"/>
                <w:lang w:val="bg-BG"/>
              </w:rPr>
              <w:t>и</w:t>
            </w:r>
            <w:r w:rsidRPr="00FE6AC6">
              <w:rPr>
                <w:color w:val="000000"/>
              </w:rPr>
              <w:t xml:space="preserve"> 22</w:t>
            </w:r>
          </w:p>
          <w:p w14:paraId="3E5504D4" w14:textId="77777777" w:rsidR="001B628D" w:rsidRPr="00FE6AC6" w:rsidRDefault="001B628D" w:rsidP="0063575E">
            <w:pPr>
              <w:pStyle w:val="EndnoteText"/>
              <w:widowControl w:val="0"/>
              <w:rPr>
                <w:color w:val="000000"/>
              </w:rPr>
            </w:pPr>
            <w:r w:rsidRPr="00FE6AC6">
              <w:rPr>
                <w:color w:val="000000"/>
              </w:rPr>
              <w:t>VP-16 (100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22</w:t>
            </w:r>
            <w:r w:rsidRPr="00FE6AC6">
              <w:rPr>
                <w:color w:val="000000"/>
              </w:rPr>
              <w:noBreakHyphen/>
              <w:t>26</w:t>
            </w:r>
          </w:p>
          <w:p w14:paraId="3E5504D5" w14:textId="77777777" w:rsidR="001B628D" w:rsidRPr="00FE6AC6" w:rsidRDefault="001B628D" w:rsidP="0063575E">
            <w:pPr>
              <w:pStyle w:val="EndnoteText"/>
              <w:widowControl w:val="0"/>
              <w:rPr>
                <w:color w:val="000000"/>
              </w:rPr>
            </w:pPr>
            <w:r w:rsidRPr="00FE6AC6">
              <w:rPr>
                <w:color w:val="000000"/>
              </w:rPr>
              <w:t>CPM (300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22</w:t>
            </w:r>
            <w:r w:rsidRPr="00FE6AC6">
              <w:rPr>
                <w:color w:val="000000"/>
              </w:rPr>
              <w:noBreakHyphen/>
              <w:t>26</w:t>
            </w:r>
          </w:p>
          <w:p w14:paraId="3E5504D6" w14:textId="77777777" w:rsidR="001B628D" w:rsidRPr="00FE6AC6" w:rsidRDefault="001B628D" w:rsidP="0063575E">
            <w:pPr>
              <w:pStyle w:val="EndnoteText"/>
              <w:widowControl w:val="0"/>
              <w:rPr>
                <w:color w:val="000000"/>
              </w:rPr>
            </w:pPr>
            <w:r w:rsidRPr="00FE6AC6">
              <w:rPr>
                <w:color w:val="000000"/>
              </w:rPr>
              <w:t>MESNA (150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22</w:t>
            </w:r>
            <w:r w:rsidRPr="00FE6AC6">
              <w:rPr>
                <w:color w:val="000000"/>
              </w:rPr>
              <w:noBreakHyphen/>
              <w:t>26</w:t>
            </w:r>
          </w:p>
          <w:p w14:paraId="3E5504D7" w14:textId="77777777" w:rsidR="001B628D" w:rsidRPr="00FE6AC6" w:rsidRDefault="001B628D" w:rsidP="0063575E">
            <w:pPr>
              <w:pStyle w:val="EndnoteText"/>
              <w:widowControl w:val="0"/>
              <w:rPr>
                <w:color w:val="000000"/>
              </w:rPr>
            </w:pPr>
            <w:r w:rsidRPr="00FE6AC6">
              <w:rPr>
                <w:color w:val="000000"/>
              </w:rPr>
              <w:t xml:space="preserve">G-CSF (5 μg/kg, SC): </w:t>
            </w:r>
            <w:r w:rsidRPr="00FE6AC6">
              <w:rPr>
                <w:color w:val="000000"/>
                <w:lang w:val="bg-BG"/>
              </w:rPr>
              <w:t>дни</w:t>
            </w:r>
            <w:r w:rsidRPr="00FE6AC6">
              <w:rPr>
                <w:color w:val="000000"/>
              </w:rPr>
              <w:t> 27</w:t>
            </w:r>
            <w:r w:rsidRPr="00FE6AC6">
              <w:rPr>
                <w:color w:val="000000"/>
              </w:rPr>
              <w:noBreakHyphen/>
              <w:t xml:space="preserve">36 </w:t>
            </w:r>
            <w:r w:rsidRPr="00FE6AC6">
              <w:rPr>
                <w:color w:val="000000"/>
                <w:lang w:val="bg-BG"/>
              </w:rPr>
              <w:t>или докато</w:t>
            </w:r>
            <w:r w:rsidRPr="00FE6AC6">
              <w:rPr>
                <w:color w:val="000000"/>
              </w:rPr>
              <w:t xml:space="preserve"> ANC &gt;1</w:t>
            </w:r>
            <w:r w:rsidR="006A2EDD" w:rsidRPr="00FE6AC6">
              <w:rPr>
                <w:color w:val="000000"/>
              </w:rPr>
              <w:t> </w:t>
            </w:r>
            <w:r w:rsidRPr="00FE6AC6">
              <w:rPr>
                <w:color w:val="000000"/>
              </w:rPr>
              <w:t>500 </w:t>
            </w:r>
            <w:r w:rsidRPr="00FE6AC6">
              <w:rPr>
                <w:color w:val="000000"/>
                <w:lang w:val="bg-BG"/>
              </w:rPr>
              <w:t>след надир</w:t>
            </w:r>
          </w:p>
          <w:p w14:paraId="3E5504D8" w14:textId="77777777" w:rsidR="001B628D" w:rsidRPr="00FE6AC6" w:rsidRDefault="001B628D" w:rsidP="0063575E">
            <w:pPr>
              <w:pStyle w:val="EndnoteText"/>
              <w:widowControl w:val="0"/>
              <w:rPr>
                <w:color w:val="000000"/>
              </w:rPr>
            </w:pPr>
            <w:r w:rsidRPr="00FE6AC6">
              <w:rPr>
                <w:color w:val="000000"/>
              </w:rPr>
              <w:t>ARA-C (3</w:t>
            </w:r>
            <w:r w:rsidRPr="00FE6AC6">
              <w:rPr>
                <w:color w:val="000000"/>
                <w:lang w:val="bg-BG"/>
              </w:rPr>
              <w:t> </w:t>
            </w:r>
            <w:r w:rsidRPr="00FE6AC6">
              <w:rPr>
                <w:color w:val="000000"/>
              </w:rPr>
              <w:t>g/m</w:t>
            </w:r>
            <w:r w:rsidRPr="00FE6AC6">
              <w:rPr>
                <w:color w:val="000000"/>
                <w:vertAlign w:val="superscript"/>
              </w:rPr>
              <w:t>2</w:t>
            </w:r>
            <w:r w:rsidRPr="00FE6AC6">
              <w:rPr>
                <w:color w:val="000000"/>
              </w:rPr>
              <w:t xml:space="preserve">, </w:t>
            </w:r>
            <w:r w:rsidRPr="00FE6AC6">
              <w:rPr>
                <w:color w:val="000000"/>
                <w:lang w:val="bg-BG"/>
              </w:rPr>
              <w:t xml:space="preserve">на </w:t>
            </w:r>
            <w:r w:rsidRPr="00FE6AC6">
              <w:rPr>
                <w:color w:val="000000"/>
              </w:rPr>
              <w:t>12</w:t>
            </w:r>
            <w:r w:rsidRPr="00FE6AC6">
              <w:rPr>
                <w:color w:val="000000"/>
                <w:lang w:val="bg-BG"/>
              </w:rPr>
              <w:t> ч</w:t>
            </w:r>
            <w:r w:rsidRPr="00FE6AC6">
              <w:rPr>
                <w:color w:val="000000"/>
              </w:rPr>
              <w:t xml:space="preserve">, IV): </w:t>
            </w:r>
            <w:r w:rsidRPr="00FE6AC6">
              <w:rPr>
                <w:color w:val="000000"/>
                <w:lang w:val="bg-BG"/>
              </w:rPr>
              <w:t>дни</w:t>
            </w:r>
            <w:r w:rsidRPr="00FE6AC6">
              <w:rPr>
                <w:color w:val="000000"/>
              </w:rPr>
              <w:t> 43, 44</w:t>
            </w:r>
          </w:p>
          <w:p w14:paraId="3E5504D9" w14:textId="77777777" w:rsidR="001B628D" w:rsidRPr="00FE6AC6" w:rsidRDefault="001B628D" w:rsidP="0063575E">
            <w:pPr>
              <w:pStyle w:val="EndnoteText"/>
              <w:widowControl w:val="0"/>
              <w:rPr>
                <w:color w:val="000000"/>
                <w:lang w:val="de-CH"/>
              </w:rPr>
            </w:pPr>
            <w:r w:rsidRPr="00FE6AC6">
              <w:rPr>
                <w:color w:val="000000"/>
                <w:lang w:val="de-CH"/>
              </w:rPr>
              <w:t>L-ASP (6</w:t>
            </w:r>
            <w:r w:rsidR="006A2EDD" w:rsidRPr="00FE6AC6">
              <w:rPr>
                <w:color w:val="000000"/>
                <w:lang w:val="de-CH"/>
              </w:rPr>
              <w:t> </w:t>
            </w:r>
            <w:r w:rsidRPr="00FE6AC6">
              <w:rPr>
                <w:color w:val="000000"/>
                <w:lang w:val="de-CH"/>
              </w:rPr>
              <w:t>000 IUnits/m</w:t>
            </w:r>
            <w:r w:rsidRPr="00FE6AC6">
              <w:rPr>
                <w:color w:val="000000"/>
                <w:vertAlign w:val="superscript"/>
                <w:lang w:val="de-CH"/>
              </w:rPr>
              <w:t>2</w:t>
            </w:r>
            <w:r w:rsidRPr="00FE6AC6">
              <w:rPr>
                <w:color w:val="000000"/>
                <w:lang w:val="de-CH"/>
              </w:rPr>
              <w:t xml:space="preserve">, IM): </w:t>
            </w:r>
            <w:r w:rsidRPr="00FE6AC6">
              <w:rPr>
                <w:color w:val="000000"/>
                <w:lang w:val="bg-BG"/>
              </w:rPr>
              <w:t>ден</w:t>
            </w:r>
            <w:r w:rsidRPr="00FE6AC6">
              <w:rPr>
                <w:color w:val="000000"/>
                <w:lang w:val="de-CH"/>
              </w:rPr>
              <w:t> 44</w:t>
            </w:r>
          </w:p>
        </w:tc>
      </w:tr>
      <w:tr w:rsidR="001B628D" w:rsidRPr="00FE6AC6" w14:paraId="3E5504E9" w14:textId="77777777" w:rsidTr="00EB1684">
        <w:trPr>
          <w:cantSplit/>
        </w:trPr>
        <w:tc>
          <w:tcPr>
            <w:tcW w:w="2358" w:type="dxa"/>
            <w:shd w:val="clear" w:color="auto" w:fill="auto"/>
          </w:tcPr>
          <w:p w14:paraId="3E5504DB" w14:textId="77777777" w:rsidR="001B628D" w:rsidRPr="00FE6AC6" w:rsidRDefault="001B628D" w:rsidP="0063575E">
            <w:pPr>
              <w:pStyle w:val="EndnoteText"/>
              <w:widowControl w:val="0"/>
              <w:rPr>
                <w:color w:val="000000"/>
              </w:rPr>
            </w:pPr>
            <w:r w:rsidRPr="00FE6AC6">
              <w:rPr>
                <w:color w:val="000000"/>
                <w:lang w:val="bg-BG"/>
              </w:rPr>
              <w:t>Поддържане</w:t>
            </w:r>
          </w:p>
          <w:p w14:paraId="3E5504DC" w14:textId="77777777" w:rsidR="001B628D" w:rsidRPr="00FE6AC6" w:rsidRDefault="001B628D" w:rsidP="0063575E">
            <w:pPr>
              <w:pStyle w:val="EndnoteText"/>
              <w:widowControl w:val="0"/>
              <w:rPr>
                <w:color w:val="000000"/>
              </w:rPr>
            </w:pPr>
            <w:r w:rsidRPr="00FE6AC6">
              <w:rPr>
                <w:color w:val="000000"/>
              </w:rPr>
              <w:t>(8-</w:t>
            </w:r>
            <w:r w:rsidRPr="00FE6AC6">
              <w:rPr>
                <w:color w:val="000000"/>
                <w:lang w:val="bg-BG"/>
              </w:rPr>
              <w:t>седмични цикли</w:t>
            </w:r>
            <w:r w:rsidRPr="00FE6AC6">
              <w:rPr>
                <w:color w:val="000000"/>
              </w:rPr>
              <w:t>)</w:t>
            </w:r>
          </w:p>
          <w:p w14:paraId="3E5504DD" w14:textId="77777777" w:rsidR="001B628D" w:rsidRPr="00FE6AC6" w:rsidRDefault="001B628D" w:rsidP="0063575E">
            <w:pPr>
              <w:pStyle w:val="EndnoteText"/>
              <w:widowControl w:val="0"/>
              <w:rPr>
                <w:color w:val="000000"/>
              </w:rPr>
            </w:pPr>
            <w:r w:rsidRPr="00FE6AC6">
              <w:rPr>
                <w:color w:val="000000"/>
                <w:lang w:val="bg-BG"/>
              </w:rPr>
              <w:t>Цикли</w:t>
            </w:r>
            <w:r w:rsidRPr="00FE6AC6">
              <w:rPr>
                <w:color w:val="000000"/>
              </w:rPr>
              <w:t> 1–4</w:t>
            </w:r>
          </w:p>
        </w:tc>
        <w:tc>
          <w:tcPr>
            <w:tcW w:w="6929" w:type="dxa"/>
            <w:shd w:val="clear" w:color="auto" w:fill="auto"/>
          </w:tcPr>
          <w:p w14:paraId="3E5504DE" w14:textId="77777777" w:rsidR="001B628D" w:rsidRPr="00FE6AC6" w:rsidRDefault="001B628D" w:rsidP="0063575E">
            <w:pPr>
              <w:pStyle w:val="EndnoteText"/>
              <w:widowControl w:val="0"/>
              <w:rPr>
                <w:color w:val="000000"/>
              </w:rPr>
            </w:pPr>
            <w:r w:rsidRPr="00FE6AC6">
              <w:rPr>
                <w:color w:val="000000"/>
              </w:rPr>
              <w:t>MTX (5 g/m</w:t>
            </w:r>
            <w:r w:rsidRPr="00FE6AC6">
              <w:rPr>
                <w:color w:val="000000"/>
                <w:vertAlign w:val="superscript"/>
              </w:rPr>
              <w:t>2</w:t>
            </w:r>
            <w:r w:rsidRPr="00FE6AC6">
              <w:rPr>
                <w:color w:val="000000"/>
              </w:rPr>
              <w:t xml:space="preserve"> </w:t>
            </w:r>
            <w:r w:rsidRPr="00FE6AC6">
              <w:rPr>
                <w:color w:val="000000"/>
                <w:lang w:val="bg-BG"/>
              </w:rPr>
              <w:t>в продължение на</w:t>
            </w:r>
            <w:r w:rsidRPr="00FE6AC6">
              <w:rPr>
                <w:color w:val="000000"/>
              </w:rPr>
              <w:t xml:space="preserve"> 24 </w:t>
            </w:r>
            <w:r w:rsidRPr="00FE6AC6">
              <w:rPr>
                <w:color w:val="000000"/>
                <w:lang w:val="bg-BG"/>
              </w:rPr>
              <w:t>часа</w:t>
            </w:r>
            <w:r w:rsidRPr="00FE6AC6">
              <w:rPr>
                <w:color w:val="000000"/>
              </w:rPr>
              <w:t xml:space="preserve">, IV): </w:t>
            </w:r>
            <w:r w:rsidRPr="00FE6AC6">
              <w:rPr>
                <w:color w:val="000000"/>
                <w:lang w:val="bg-BG"/>
              </w:rPr>
              <w:t>ден</w:t>
            </w:r>
            <w:r w:rsidRPr="00FE6AC6">
              <w:rPr>
                <w:color w:val="000000"/>
              </w:rPr>
              <w:t> 1</w:t>
            </w:r>
          </w:p>
          <w:p w14:paraId="3E5504DF" w14:textId="77777777" w:rsidR="001B628D" w:rsidRPr="00FE6AC6" w:rsidRDefault="001B628D" w:rsidP="0063575E">
            <w:pPr>
              <w:pStyle w:val="EndnoteText"/>
              <w:widowControl w:val="0"/>
              <w:rPr>
                <w:color w:val="000000"/>
              </w:rPr>
            </w:pPr>
            <w:r w:rsidRPr="00FE6AC6">
              <w:rPr>
                <w:color w:val="000000"/>
                <w:lang w:val="bg-BG"/>
              </w:rPr>
              <w:t>Левковорин</w:t>
            </w:r>
            <w:r w:rsidRPr="00FE6AC6">
              <w:rPr>
                <w:color w:val="000000"/>
              </w:rPr>
              <w:t xml:space="preserve"> (75 mg/m</w:t>
            </w:r>
            <w:r w:rsidRPr="00FE6AC6">
              <w:rPr>
                <w:color w:val="000000"/>
                <w:vertAlign w:val="superscript"/>
              </w:rPr>
              <w:t>2</w:t>
            </w:r>
            <w:r w:rsidRPr="00FE6AC6">
              <w:rPr>
                <w:color w:val="000000"/>
              </w:rPr>
              <w:t xml:space="preserve"> </w:t>
            </w:r>
            <w:r w:rsidRPr="00FE6AC6">
              <w:rPr>
                <w:color w:val="000000"/>
                <w:lang w:val="bg-BG"/>
              </w:rPr>
              <w:t>на 36</w:t>
            </w:r>
            <w:r w:rsidRPr="00FE6AC6">
              <w:rPr>
                <w:color w:val="000000"/>
                <w:lang w:val="bg-BG"/>
              </w:rPr>
              <w:noBreakHyphen/>
              <w:t>ти час</w:t>
            </w:r>
            <w:r w:rsidRPr="00FE6AC6">
              <w:rPr>
                <w:color w:val="000000"/>
              </w:rPr>
              <w:t>, IV; 15 mg/m</w:t>
            </w:r>
            <w:r w:rsidRPr="00FE6AC6">
              <w:rPr>
                <w:color w:val="000000"/>
                <w:vertAlign w:val="superscript"/>
              </w:rPr>
              <w:t>2</w:t>
            </w:r>
            <w:r w:rsidRPr="00FE6AC6">
              <w:rPr>
                <w:color w:val="000000"/>
              </w:rPr>
              <w:t xml:space="preserve"> IV </w:t>
            </w:r>
            <w:r w:rsidRPr="00FE6AC6">
              <w:rPr>
                <w:color w:val="000000"/>
                <w:lang w:val="bg-BG"/>
              </w:rPr>
              <w:t>или</w:t>
            </w:r>
            <w:r w:rsidRPr="00FE6AC6">
              <w:rPr>
                <w:color w:val="000000"/>
              </w:rPr>
              <w:t xml:space="preserve"> PO </w:t>
            </w:r>
            <w:r w:rsidRPr="00FE6AC6">
              <w:rPr>
                <w:color w:val="000000"/>
                <w:lang w:val="bg-BG"/>
              </w:rPr>
              <w:t xml:space="preserve">на </w:t>
            </w:r>
            <w:r w:rsidRPr="00FE6AC6">
              <w:rPr>
                <w:color w:val="000000"/>
              </w:rPr>
              <w:t>6</w:t>
            </w:r>
            <w:r w:rsidRPr="00FE6AC6">
              <w:rPr>
                <w:color w:val="000000"/>
                <w:lang w:val="bg-BG"/>
              </w:rPr>
              <w:t> ч</w:t>
            </w:r>
            <w:r w:rsidRPr="00FE6AC6">
              <w:rPr>
                <w:color w:val="000000"/>
              </w:rPr>
              <w:t xml:space="preserve"> x 6 </w:t>
            </w:r>
            <w:r w:rsidRPr="00FE6AC6">
              <w:rPr>
                <w:color w:val="000000"/>
                <w:lang w:val="bg-BG"/>
              </w:rPr>
              <w:t>дози</w:t>
            </w:r>
            <w:r w:rsidRPr="00FE6AC6">
              <w:rPr>
                <w:color w:val="000000"/>
              </w:rPr>
              <w:t xml:space="preserve">)iii: </w:t>
            </w:r>
            <w:r w:rsidRPr="00FE6AC6">
              <w:rPr>
                <w:color w:val="000000"/>
                <w:lang w:val="bg-BG"/>
              </w:rPr>
              <w:t>дни</w:t>
            </w:r>
            <w:r w:rsidRPr="00FE6AC6">
              <w:rPr>
                <w:color w:val="000000"/>
              </w:rPr>
              <w:t xml:space="preserve"> 2 </w:t>
            </w:r>
            <w:r w:rsidRPr="00FE6AC6">
              <w:rPr>
                <w:color w:val="000000"/>
                <w:lang w:val="bg-BG"/>
              </w:rPr>
              <w:t>и</w:t>
            </w:r>
            <w:r w:rsidRPr="00FE6AC6">
              <w:rPr>
                <w:color w:val="000000"/>
              </w:rPr>
              <w:t xml:space="preserve"> 3</w:t>
            </w:r>
          </w:p>
          <w:p w14:paraId="3E5504E0" w14:textId="77777777" w:rsidR="001B628D" w:rsidRPr="00FE6AC6" w:rsidRDefault="001B628D" w:rsidP="0063575E">
            <w:pPr>
              <w:pStyle w:val="EndnoteText"/>
              <w:widowControl w:val="0"/>
              <w:rPr>
                <w:color w:val="000000"/>
              </w:rPr>
            </w:pPr>
            <w:r w:rsidRPr="00FE6AC6">
              <w:rPr>
                <w:color w:val="000000"/>
                <w:lang w:val="bg-BG"/>
              </w:rPr>
              <w:t>Тройна</w:t>
            </w:r>
            <w:r w:rsidRPr="00FE6AC6">
              <w:rPr>
                <w:color w:val="000000"/>
              </w:rPr>
              <w:t xml:space="preserve"> IT </w:t>
            </w:r>
            <w:r w:rsidRPr="00FE6AC6">
              <w:rPr>
                <w:color w:val="000000"/>
                <w:lang w:val="bg-BG"/>
              </w:rPr>
              <w:t>терапия</w:t>
            </w:r>
            <w:r w:rsidRPr="00FE6AC6">
              <w:rPr>
                <w:color w:val="000000"/>
              </w:rPr>
              <w:t xml:space="preserve"> (</w:t>
            </w:r>
            <w:r w:rsidRPr="00FE6AC6">
              <w:rPr>
                <w:color w:val="000000"/>
                <w:lang w:val="bg-BG"/>
              </w:rPr>
              <w:t>в зависимост от възрастта</w:t>
            </w:r>
            <w:r w:rsidRPr="00FE6AC6">
              <w:rPr>
                <w:color w:val="000000"/>
              </w:rPr>
              <w:t xml:space="preserve">): </w:t>
            </w:r>
            <w:r w:rsidRPr="00FE6AC6">
              <w:rPr>
                <w:color w:val="000000"/>
                <w:lang w:val="bg-BG"/>
              </w:rPr>
              <w:t>дни</w:t>
            </w:r>
            <w:r w:rsidRPr="00FE6AC6">
              <w:rPr>
                <w:color w:val="000000"/>
              </w:rPr>
              <w:t> 1, 29</w:t>
            </w:r>
          </w:p>
          <w:p w14:paraId="3E5504E1" w14:textId="77777777" w:rsidR="001B628D" w:rsidRPr="00FE6AC6" w:rsidRDefault="001B628D" w:rsidP="0063575E">
            <w:pPr>
              <w:pStyle w:val="EndnoteText"/>
              <w:widowControl w:val="0"/>
              <w:rPr>
                <w:color w:val="000000"/>
              </w:rPr>
            </w:pPr>
            <w:r w:rsidRPr="00FE6AC6">
              <w:rPr>
                <w:color w:val="000000"/>
              </w:rPr>
              <w:t>VCR (1</w:t>
            </w:r>
            <w:r w:rsidRPr="00FE6AC6">
              <w:rPr>
                <w:color w:val="000000"/>
                <w:lang w:val="bg-BG"/>
              </w:rPr>
              <w:t>,</w:t>
            </w:r>
            <w:r w:rsidRPr="00FE6AC6">
              <w:rPr>
                <w:color w:val="000000"/>
              </w:rPr>
              <w:t>5 mg/m</w:t>
            </w:r>
            <w:r w:rsidRPr="00FE6AC6">
              <w:rPr>
                <w:color w:val="000000"/>
                <w:vertAlign w:val="superscript"/>
              </w:rPr>
              <w:t>2</w:t>
            </w:r>
            <w:r w:rsidRPr="00FE6AC6">
              <w:rPr>
                <w:color w:val="000000"/>
              </w:rPr>
              <w:t xml:space="preserve">, IV): </w:t>
            </w:r>
            <w:r w:rsidRPr="00FE6AC6">
              <w:rPr>
                <w:color w:val="000000"/>
                <w:lang w:val="bg-BG"/>
              </w:rPr>
              <w:t>дни</w:t>
            </w:r>
            <w:r w:rsidRPr="00FE6AC6">
              <w:rPr>
                <w:color w:val="000000"/>
              </w:rPr>
              <w:t> 1, 29</w:t>
            </w:r>
          </w:p>
          <w:p w14:paraId="3E5504E2" w14:textId="77777777" w:rsidR="001B628D" w:rsidRPr="00FE6AC6" w:rsidRDefault="001B628D" w:rsidP="0063575E">
            <w:pPr>
              <w:pStyle w:val="EndnoteText"/>
              <w:widowControl w:val="0"/>
              <w:rPr>
                <w:color w:val="000000"/>
              </w:rPr>
            </w:pPr>
            <w:r w:rsidRPr="00FE6AC6">
              <w:rPr>
                <w:color w:val="000000"/>
              </w:rPr>
              <w:t>DEX (6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Pr="00FE6AC6">
              <w:rPr>
                <w:color w:val="000000"/>
                <w:lang w:val="bg-BG"/>
              </w:rPr>
              <w:t>дни</w:t>
            </w:r>
            <w:r w:rsidRPr="00FE6AC6">
              <w:rPr>
                <w:color w:val="000000"/>
              </w:rPr>
              <w:t> 1</w:t>
            </w:r>
            <w:r w:rsidRPr="00FE6AC6">
              <w:rPr>
                <w:color w:val="000000"/>
              </w:rPr>
              <w:noBreakHyphen/>
              <w:t>5; 29</w:t>
            </w:r>
            <w:r w:rsidRPr="00FE6AC6">
              <w:rPr>
                <w:color w:val="000000"/>
              </w:rPr>
              <w:noBreakHyphen/>
              <w:t>33</w:t>
            </w:r>
          </w:p>
          <w:p w14:paraId="3E5504E3" w14:textId="77777777" w:rsidR="001B628D" w:rsidRPr="00FE6AC6" w:rsidRDefault="001B628D" w:rsidP="0063575E">
            <w:pPr>
              <w:pStyle w:val="EndnoteText"/>
              <w:widowControl w:val="0"/>
              <w:rPr>
                <w:color w:val="000000"/>
              </w:rPr>
            </w:pPr>
            <w:r w:rsidRPr="00FE6AC6">
              <w:rPr>
                <w:color w:val="000000"/>
              </w:rPr>
              <w:t>6-MP (75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Pr="00FE6AC6">
              <w:rPr>
                <w:color w:val="000000"/>
                <w:lang w:val="bg-BG"/>
              </w:rPr>
              <w:t>дни</w:t>
            </w:r>
            <w:r w:rsidRPr="00FE6AC6">
              <w:rPr>
                <w:color w:val="000000"/>
              </w:rPr>
              <w:t> 8-28</w:t>
            </w:r>
          </w:p>
          <w:p w14:paraId="3E5504E4" w14:textId="77777777" w:rsidR="001B628D" w:rsidRPr="00FE6AC6" w:rsidRDefault="001B628D" w:rsidP="0063575E">
            <w:pPr>
              <w:pStyle w:val="EndnoteText"/>
              <w:widowControl w:val="0"/>
              <w:rPr>
                <w:color w:val="000000"/>
              </w:rPr>
            </w:pPr>
            <w:r w:rsidRPr="00FE6AC6">
              <w:rPr>
                <w:color w:val="000000"/>
                <w:lang w:val="bg-BG"/>
              </w:rPr>
              <w:t>Метотрексат</w:t>
            </w:r>
            <w:r w:rsidRPr="00FE6AC6">
              <w:rPr>
                <w:color w:val="000000"/>
              </w:rPr>
              <w:t>e (20 mg/m</w:t>
            </w:r>
            <w:r w:rsidRPr="00FE6AC6">
              <w:rPr>
                <w:color w:val="000000"/>
                <w:vertAlign w:val="superscript"/>
              </w:rPr>
              <w:t>2</w:t>
            </w:r>
            <w:r w:rsidRPr="00FE6AC6">
              <w:rPr>
                <w:color w:val="000000"/>
              </w:rPr>
              <w:t>/</w:t>
            </w:r>
            <w:r w:rsidRPr="00FE6AC6">
              <w:rPr>
                <w:color w:val="000000"/>
                <w:lang w:val="bg-BG"/>
              </w:rPr>
              <w:t>седмица</w:t>
            </w:r>
            <w:r w:rsidRPr="00FE6AC6">
              <w:rPr>
                <w:color w:val="000000"/>
              </w:rPr>
              <w:t xml:space="preserve">, PO): </w:t>
            </w:r>
            <w:r w:rsidRPr="00FE6AC6">
              <w:rPr>
                <w:color w:val="000000"/>
                <w:lang w:val="bg-BG"/>
              </w:rPr>
              <w:t>дни</w:t>
            </w:r>
            <w:r w:rsidRPr="00FE6AC6">
              <w:rPr>
                <w:color w:val="000000"/>
              </w:rPr>
              <w:t> 8, 15, 22</w:t>
            </w:r>
          </w:p>
          <w:p w14:paraId="3E5504E5" w14:textId="77777777" w:rsidR="001B628D" w:rsidRPr="00FE6AC6" w:rsidRDefault="001B628D" w:rsidP="0063575E">
            <w:pPr>
              <w:pStyle w:val="EndnoteText"/>
              <w:widowControl w:val="0"/>
              <w:rPr>
                <w:color w:val="000000"/>
              </w:rPr>
            </w:pPr>
            <w:r w:rsidRPr="00FE6AC6">
              <w:rPr>
                <w:color w:val="000000"/>
              </w:rPr>
              <w:t>VP-16 (100 mg/m</w:t>
            </w:r>
            <w:r w:rsidRPr="00FE6AC6">
              <w:rPr>
                <w:color w:val="000000"/>
                <w:vertAlign w:val="superscript"/>
              </w:rPr>
              <w:t>2</w:t>
            </w:r>
            <w:r w:rsidRPr="00FE6AC6">
              <w:rPr>
                <w:color w:val="000000"/>
              </w:rPr>
              <w:t xml:space="preserve">, IV): </w:t>
            </w:r>
            <w:r w:rsidRPr="00FE6AC6">
              <w:rPr>
                <w:color w:val="000000"/>
                <w:lang w:val="bg-BG"/>
              </w:rPr>
              <w:t>дни</w:t>
            </w:r>
            <w:r w:rsidRPr="00FE6AC6">
              <w:rPr>
                <w:color w:val="000000"/>
              </w:rPr>
              <w:t> 29</w:t>
            </w:r>
            <w:r w:rsidRPr="00FE6AC6">
              <w:rPr>
                <w:color w:val="000000"/>
              </w:rPr>
              <w:noBreakHyphen/>
              <w:t>33</w:t>
            </w:r>
          </w:p>
          <w:p w14:paraId="3E5504E6" w14:textId="77777777" w:rsidR="001B628D" w:rsidRPr="00FE6AC6" w:rsidRDefault="001B628D" w:rsidP="0063575E">
            <w:pPr>
              <w:pStyle w:val="EndnoteText"/>
              <w:widowControl w:val="0"/>
              <w:rPr>
                <w:color w:val="000000"/>
              </w:rPr>
            </w:pPr>
            <w:r w:rsidRPr="00FE6AC6">
              <w:rPr>
                <w:color w:val="000000"/>
              </w:rPr>
              <w:t>CPM (300 mg/m</w:t>
            </w:r>
            <w:r w:rsidRPr="00FE6AC6">
              <w:rPr>
                <w:color w:val="000000"/>
                <w:vertAlign w:val="superscript"/>
              </w:rPr>
              <w:t>2</w:t>
            </w:r>
            <w:r w:rsidRPr="00FE6AC6">
              <w:rPr>
                <w:color w:val="000000"/>
              </w:rPr>
              <w:t xml:space="preserve">, IV): </w:t>
            </w:r>
            <w:r w:rsidRPr="00FE6AC6">
              <w:rPr>
                <w:color w:val="000000"/>
                <w:lang w:val="bg-BG"/>
              </w:rPr>
              <w:t>дни</w:t>
            </w:r>
            <w:r w:rsidRPr="00FE6AC6">
              <w:rPr>
                <w:color w:val="000000"/>
              </w:rPr>
              <w:t> 29</w:t>
            </w:r>
            <w:r w:rsidRPr="00FE6AC6">
              <w:rPr>
                <w:color w:val="000000"/>
              </w:rPr>
              <w:noBreakHyphen/>
              <w:t>33</w:t>
            </w:r>
          </w:p>
          <w:p w14:paraId="3E5504E7" w14:textId="77777777" w:rsidR="001B628D" w:rsidRPr="00FE6AC6" w:rsidRDefault="001B628D" w:rsidP="0063575E">
            <w:pPr>
              <w:pStyle w:val="EndnoteText"/>
              <w:widowControl w:val="0"/>
              <w:rPr>
                <w:color w:val="000000"/>
              </w:rPr>
            </w:pPr>
            <w:r w:rsidRPr="00FE6AC6">
              <w:rPr>
                <w:color w:val="000000"/>
              </w:rPr>
              <w:t>M</w:t>
            </w:r>
            <w:r w:rsidRPr="00FE6AC6">
              <w:rPr>
                <w:color w:val="000000"/>
                <w:lang w:val="en-US"/>
              </w:rPr>
              <w:t>ESNA</w:t>
            </w:r>
            <w:r w:rsidRPr="00FE6AC6">
              <w:rPr>
                <w:color w:val="000000"/>
              </w:rPr>
              <w:t xml:space="preserve"> IV </w:t>
            </w:r>
            <w:r w:rsidRPr="00FE6AC6">
              <w:rPr>
                <w:color w:val="000000"/>
                <w:lang w:val="bg-BG"/>
              </w:rPr>
              <w:t>дни</w:t>
            </w:r>
            <w:r w:rsidRPr="00FE6AC6">
              <w:rPr>
                <w:color w:val="000000"/>
              </w:rPr>
              <w:t> 29</w:t>
            </w:r>
            <w:r w:rsidRPr="00FE6AC6">
              <w:rPr>
                <w:color w:val="000000"/>
              </w:rPr>
              <w:noBreakHyphen/>
              <w:t>33</w:t>
            </w:r>
          </w:p>
          <w:p w14:paraId="3E5504E8" w14:textId="77777777" w:rsidR="001B628D" w:rsidRPr="00FE6AC6" w:rsidRDefault="001B628D" w:rsidP="0063575E">
            <w:pPr>
              <w:pStyle w:val="EndnoteText"/>
              <w:widowControl w:val="0"/>
              <w:rPr>
                <w:color w:val="000000"/>
              </w:rPr>
            </w:pPr>
            <w:r w:rsidRPr="00FE6AC6">
              <w:rPr>
                <w:color w:val="000000"/>
              </w:rPr>
              <w:t xml:space="preserve">G-CSF (5 μg/kg, SC): </w:t>
            </w:r>
            <w:r w:rsidRPr="00FE6AC6">
              <w:rPr>
                <w:color w:val="000000"/>
                <w:lang w:val="bg-BG"/>
              </w:rPr>
              <w:t>дни</w:t>
            </w:r>
            <w:r w:rsidRPr="00FE6AC6">
              <w:rPr>
                <w:color w:val="000000"/>
              </w:rPr>
              <w:t> 34</w:t>
            </w:r>
            <w:r w:rsidRPr="00FE6AC6">
              <w:rPr>
                <w:color w:val="000000"/>
              </w:rPr>
              <w:noBreakHyphen/>
              <w:t>43</w:t>
            </w:r>
          </w:p>
        </w:tc>
      </w:tr>
      <w:tr w:rsidR="001B628D" w:rsidRPr="00FE6AC6" w14:paraId="3E5504F4" w14:textId="77777777" w:rsidTr="00EB1684">
        <w:trPr>
          <w:cantSplit/>
        </w:trPr>
        <w:tc>
          <w:tcPr>
            <w:tcW w:w="2358" w:type="dxa"/>
            <w:shd w:val="clear" w:color="auto" w:fill="auto"/>
          </w:tcPr>
          <w:p w14:paraId="3E5504EA" w14:textId="77777777" w:rsidR="001B628D" w:rsidRPr="00FE6AC6" w:rsidRDefault="001B628D" w:rsidP="0063575E">
            <w:pPr>
              <w:pStyle w:val="EndnoteText"/>
              <w:widowControl w:val="0"/>
              <w:rPr>
                <w:color w:val="000000"/>
              </w:rPr>
            </w:pPr>
            <w:r w:rsidRPr="00FE6AC6">
              <w:rPr>
                <w:color w:val="000000"/>
                <w:lang w:val="bg-BG"/>
              </w:rPr>
              <w:t>Поддържане</w:t>
            </w:r>
          </w:p>
          <w:p w14:paraId="3E5504EB" w14:textId="77777777" w:rsidR="001B628D" w:rsidRPr="00FE6AC6" w:rsidRDefault="001B628D" w:rsidP="0063575E">
            <w:pPr>
              <w:pStyle w:val="EndnoteText"/>
              <w:widowControl w:val="0"/>
              <w:rPr>
                <w:color w:val="000000"/>
              </w:rPr>
            </w:pPr>
            <w:r w:rsidRPr="00FE6AC6">
              <w:rPr>
                <w:color w:val="000000"/>
              </w:rPr>
              <w:t>(8-</w:t>
            </w:r>
            <w:r w:rsidRPr="00FE6AC6">
              <w:rPr>
                <w:color w:val="000000"/>
                <w:lang w:val="bg-BG"/>
              </w:rPr>
              <w:t>седмични цикли</w:t>
            </w:r>
            <w:r w:rsidRPr="00FE6AC6">
              <w:rPr>
                <w:color w:val="000000"/>
              </w:rPr>
              <w:t>)</w:t>
            </w:r>
          </w:p>
          <w:p w14:paraId="3E5504EC" w14:textId="77777777" w:rsidR="001B628D" w:rsidRPr="00FE6AC6" w:rsidRDefault="001B628D" w:rsidP="0063575E">
            <w:pPr>
              <w:pStyle w:val="EndnoteText"/>
              <w:widowControl w:val="0"/>
              <w:rPr>
                <w:color w:val="000000"/>
              </w:rPr>
            </w:pPr>
            <w:r w:rsidRPr="00FE6AC6">
              <w:rPr>
                <w:color w:val="000000"/>
                <w:lang w:val="bg-BG"/>
              </w:rPr>
              <w:t>Цикъл</w:t>
            </w:r>
            <w:r w:rsidRPr="00FE6AC6">
              <w:rPr>
                <w:color w:val="000000"/>
              </w:rPr>
              <w:t> 5</w:t>
            </w:r>
          </w:p>
        </w:tc>
        <w:tc>
          <w:tcPr>
            <w:tcW w:w="6929" w:type="dxa"/>
            <w:shd w:val="clear" w:color="auto" w:fill="auto"/>
          </w:tcPr>
          <w:p w14:paraId="3E5504ED" w14:textId="77777777" w:rsidR="001B628D" w:rsidRPr="00FE6AC6" w:rsidRDefault="001B628D" w:rsidP="0063575E">
            <w:pPr>
              <w:pStyle w:val="EndnoteText"/>
              <w:widowControl w:val="0"/>
              <w:rPr>
                <w:color w:val="000000"/>
              </w:rPr>
            </w:pPr>
            <w:r w:rsidRPr="00FE6AC6">
              <w:rPr>
                <w:color w:val="000000"/>
                <w:lang w:val="bg-BG"/>
              </w:rPr>
              <w:t>Краниална ирадиация</w:t>
            </w:r>
            <w:r w:rsidRPr="00FE6AC6">
              <w:rPr>
                <w:color w:val="000000"/>
              </w:rPr>
              <w:t xml:space="preserve"> (</w:t>
            </w:r>
            <w:r w:rsidRPr="00FE6AC6">
              <w:rPr>
                <w:color w:val="000000"/>
                <w:lang w:val="bg-BG"/>
              </w:rPr>
              <w:t>Само блок</w:t>
            </w:r>
            <w:r w:rsidRPr="00FE6AC6">
              <w:rPr>
                <w:color w:val="000000"/>
              </w:rPr>
              <w:t> 5)</w:t>
            </w:r>
          </w:p>
          <w:p w14:paraId="3E5504EE" w14:textId="77777777" w:rsidR="001B628D" w:rsidRPr="00FE6AC6" w:rsidRDefault="001B628D" w:rsidP="0063575E">
            <w:pPr>
              <w:pStyle w:val="EndnoteText"/>
              <w:widowControl w:val="0"/>
              <w:rPr>
                <w:color w:val="000000"/>
              </w:rPr>
            </w:pPr>
            <w:r w:rsidRPr="00FE6AC6">
              <w:rPr>
                <w:color w:val="000000"/>
              </w:rPr>
              <w:t xml:space="preserve">12 Gy </w:t>
            </w:r>
            <w:r w:rsidRPr="00FE6AC6">
              <w:rPr>
                <w:color w:val="000000"/>
                <w:lang w:val="bg-BG"/>
              </w:rPr>
              <w:t>на</w:t>
            </w:r>
            <w:r w:rsidRPr="00FE6AC6">
              <w:rPr>
                <w:color w:val="000000"/>
              </w:rPr>
              <w:t xml:space="preserve"> 8 </w:t>
            </w:r>
            <w:r w:rsidRPr="00FE6AC6">
              <w:rPr>
                <w:color w:val="000000"/>
                <w:lang w:val="bg-BG"/>
              </w:rPr>
              <w:t>фракции при всички пациенти, които са</w:t>
            </w:r>
            <w:r w:rsidRPr="00FE6AC6">
              <w:rPr>
                <w:color w:val="000000"/>
              </w:rPr>
              <w:t xml:space="preserve"> CNS1 </w:t>
            </w:r>
            <w:r w:rsidRPr="00FE6AC6">
              <w:rPr>
                <w:color w:val="000000"/>
                <w:lang w:val="bg-BG"/>
              </w:rPr>
              <w:t>и</w:t>
            </w:r>
            <w:r w:rsidRPr="00FE6AC6">
              <w:rPr>
                <w:color w:val="000000"/>
              </w:rPr>
              <w:t xml:space="preserve"> CNS2 </w:t>
            </w:r>
            <w:r w:rsidRPr="00FE6AC6">
              <w:rPr>
                <w:color w:val="000000"/>
                <w:lang w:val="bg-BG"/>
              </w:rPr>
              <w:t>при поставяне на диагнозата</w:t>
            </w:r>
          </w:p>
          <w:p w14:paraId="3E5504EF" w14:textId="77777777" w:rsidR="001B628D" w:rsidRPr="00FE6AC6" w:rsidRDefault="001B628D" w:rsidP="0063575E">
            <w:pPr>
              <w:pStyle w:val="EndnoteText"/>
              <w:widowControl w:val="0"/>
              <w:rPr>
                <w:color w:val="000000"/>
              </w:rPr>
            </w:pPr>
            <w:r w:rsidRPr="00FE6AC6">
              <w:rPr>
                <w:color w:val="000000"/>
              </w:rPr>
              <w:t xml:space="preserve">18 Gy </w:t>
            </w:r>
            <w:r w:rsidRPr="00FE6AC6">
              <w:rPr>
                <w:color w:val="000000"/>
                <w:lang w:val="bg-BG"/>
              </w:rPr>
              <w:t>на</w:t>
            </w:r>
            <w:r w:rsidRPr="00FE6AC6">
              <w:rPr>
                <w:color w:val="000000"/>
              </w:rPr>
              <w:t xml:space="preserve"> 10 </w:t>
            </w:r>
            <w:r w:rsidRPr="00FE6AC6">
              <w:rPr>
                <w:color w:val="000000"/>
                <w:lang w:val="bg-BG"/>
              </w:rPr>
              <w:t xml:space="preserve">фракции при пациенти, които са </w:t>
            </w:r>
            <w:r w:rsidRPr="00FE6AC6">
              <w:rPr>
                <w:color w:val="000000"/>
              </w:rPr>
              <w:t xml:space="preserve">CNS3 </w:t>
            </w:r>
            <w:r w:rsidRPr="00FE6AC6">
              <w:rPr>
                <w:color w:val="000000"/>
                <w:lang w:val="bg-BG"/>
              </w:rPr>
              <w:t>при поставяне на диагнозата</w:t>
            </w:r>
          </w:p>
          <w:p w14:paraId="3E5504F0" w14:textId="77777777" w:rsidR="001B628D" w:rsidRPr="00FE6AC6" w:rsidRDefault="001B628D" w:rsidP="0063575E">
            <w:pPr>
              <w:pStyle w:val="EndnoteText"/>
              <w:widowControl w:val="0"/>
              <w:rPr>
                <w:color w:val="000000"/>
              </w:rPr>
            </w:pPr>
            <w:r w:rsidRPr="00FE6AC6">
              <w:rPr>
                <w:color w:val="000000"/>
              </w:rPr>
              <w:t>VCR (1</w:t>
            </w:r>
            <w:r w:rsidRPr="00FE6AC6">
              <w:rPr>
                <w:color w:val="000000"/>
                <w:lang w:val="bg-BG"/>
              </w:rPr>
              <w:t>,</w:t>
            </w:r>
            <w:r w:rsidRPr="00FE6AC6">
              <w:rPr>
                <w:color w:val="000000"/>
              </w:rPr>
              <w:t>5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1, 29</w:t>
            </w:r>
          </w:p>
          <w:p w14:paraId="3E5504F1" w14:textId="77777777" w:rsidR="001B628D" w:rsidRPr="00FE6AC6" w:rsidRDefault="001B628D" w:rsidP="0063575E">
            <w:pPr>
              <w:pStyle w:val="EndnoteText"/>
              <w:widowControl w:val="0"/>
              <w:rPr>
                <w:color w:val="000000"/>
              </w:rPr>
            </w:pPr>
            <w:r w:rsidRPr="00FE6AC6">
              <w:rPr>
                <w:color w:val="000000"/>
              </w:rPr>
              <w:t>DEX (6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Pr="00FE6AC6">
              <w:rPr>
                <w:color w:val="000000"/>
                <w:lang w:val="bg-BG"/>
              </w:rPr>
              <w:t>дни</w:t>
            </w:r>
            <w:r w:rsidRPr="00FE6AC6">
              <w:rPr>
                <w:color w:val="000000"/>
              </w:rPr>
              <w:t> 1</w:t>
            </w:r>
            <w:r w:rsidRPr="00FE6AC6">
              <w:rPr>
                <w:color w:val="000000"/>
              </w:rPr>
              <w:noBreakHyphen/>
              <w:t>5; 29</w:t>
            </w:r>
            <w:r w:rsidRPr="00FE6AC6">
              <w:rPr>
                <w:color w:val="000000"/>
              </w:rPr>
              <w:noBreakHyphen/>
              <w:t>33</w:t>
            </w:r>
          </w:p>
          <w:p w14:paraId="3E5504F2" w14:textId="77777777" w:rsidR="001B628D" w:rsidRPr="00FE6AC6" w:rsidRDefault="001B628D" w:rsidP="0063575E">
            <w:pPr>
              <w:pStyle w:val="EndnoteText"/>
              <w:widowControl w:val="0"/>
              <w:rPr>
                <w:color w:val="000000"/>
              </w:rPr>
            </w:pPr>
            <w:r w:rsidRPr="00FE6AC6">
              <w:rPr>
                <w:color w:val="000000"/>
              </w:rPr>
              <w:t>6-MP (75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Pr="00FE6AC6">
              <w:rPr>
                <w:color w:val="000000"/>
                <w:lang w:val="bg-BG"/>
              </w:rPr>
              <w:t>дни</w:t>
            </w:r>
            <w:r w:rsidRPr="00FE6AC6">
              <w:rPr>
                <w:color w:val="000000"/>
              </w:rPr>
              <w:t> 11</w:t>
            </w:r>
            <w:r w:rsidRPr="00FE6AC6">
              <w:rPr>
                <w:color w:val="000000"/>
              </w:rPr>
              <w:noBreakHyphen/>
              <w:t>56 (</w:t>
            </w:r>
            <w:r w:rsidRPr="00FE6AC6">
              <w:rPr>
                <w:color w:val="000000"/>
                <w:lang w:val="bg-BG"/>
              </w:rPr>
              <w:t>Спиране на</w:t>
            </w:r>
            <w:r w:rsidRPr="00FE6AC6">
              <w:rPr>
                <w:color w:val="000000"/>
              </w:rPr>
              <w:t xml:space="preserve"> 6-MP</w:t>
            </w:r>
            <w:r w:rsidRPr="00FE6AC6">
              <w:rPr>
                <w:color w:val="000000"/>
                <w:lang w:val="bg-BG"/>
              </w:rPr>
              <w:t xml:space="preserve">, започнат на ден 1 от Цикъл 5 по време на </w:t>
            </w:r>
            <w:r w:rsidRPr="00FE6AC6">
              <w:rPr>
                <w:color w:val="000000"/>
              </w:rPr>
              <w:t>6</w:t>
            </w:r>
            <w:r w:rsidRPr="00FE6AC6">
              <w:rPr>
                <w:color w:val="000000"/>
              </w:rPr>
              <w:noBreakHyphen/>
              <w:t>10 </w:t>
            </w:r>
            <w:r w:rsidRPr="00FE6AC6">
              <w:rPr>
                <w:color w:val="000000"/>
                <w:lang w:val="bg-BG"/>
              </w:rPr>
              <w:t>дни краниална ирадиация</w:t>
            </w:r>
            <w:r w:rsidRPr="00FE6AC6">
              <w:rPr>
                <w:color w:val="000000"/>
              </w:rPr>
              <w:t xml:space="preserve">. </w:t>
            </w:r>
            <w:r w:rsidRPr="00FE6AC6">
              <w:rPr>
                <w:color w:val="000000"/>
                <w:lang w:val="bg-BG"/>
              </w:rPr>
              <w:t>Започване на</w:t>
            </w:r>
            <w:r w:rsidRPr="00FE6AC6">
              <w:rPr>
                <w:color w:val="000000"/>
              </w:rPr>
              <w:t xml:space="preserve"> 6-MP </w:t>
            </w:r>
            <w:r w:rsidRPr="00FE6AC6">
              <w:rPr>
                <w:color w:val="000000"/>
                <w:lang w:val="bg-BG"/>
              </w:rPr>
              <w:t>на 1</w:t>
            </w:r>
            <w:r w:rsidRPr="00FE6AC6">
              <w:rPr>
                <w:color w:val="000000"/>
                <w:lang w:val="bg-BG"/>
              </w:rPr>
              <w:noBreakHyphen/>
              <w:t>ия ден след приключване на краниалната ирадиация</w:t>
            </w:r>
            <w:r w:rsidRPr="00FE6AC6">
              <w:rPr>
                <w:color w:val="000000"/>
              </w:rPr>
              <w:t>.)</w:t>
            </w:r>
          </w:p>
          <w:p w14:paraId="3E5504F3" w14:textId="0CD7461A" w:rsidR="001B628D" w:rsidRPr="00FE6AC6" w:rsidRDefault="001B628D" w:rsidP="00A46216">
            <w:pPr>
              <w:pStyle w:val="EndnoteText"/>
              <w:widowControl w:val="0"/>
              <w:rPr>
                <w:color w:val="000000"/>
              </w:rPr>
            </w:pPr>
            <w:r w:rsidRPr="00FE6AC6">
              <w:rPr>
                <w:color w:val="000000"/>
                <w:lang w:val="bg-BG"/>
              </w:rPr>
              <w:t>Метотрексат</w:t>
            </w:r>
            <w:r w:rsidRPr="00FE6AC6">
              <w:rPr>
                <w:color w:val="000000"/>
              </w:rPr>
              <w:t xml:space="preserve"> (20 mg/m</w:t>
            </w:r>
            <w:r w:rsidRPr="00FE6AC6">
              <w:rPr>
                <w:color w:val="000000"/>
                <w:vertAlign w:val="superscript"/>
              </w:rPr>
              <w:t>2</w:t>
            </w:r>
            <w:r w:rsidRPr="00FE6AC6">
              <w:rPr>
                <w:color w:val="000000"/>
              </w:rPr>
              <w:t>/</w:t>
            </w:r>
            <w:r w:rsidRPr="00FE6AC6">
              <w:rPr>
                <w:color w:val="000000"/>
                <w:lang w:val="bg-BG"/>
              </w:rPr>
              <w:t>седмица</w:t>
            </w:r>
            <w:r w:rsidRPr="00FE6AC6">
              <w:rPr>
                <w:color w:val="000000"/>
              </w:rPr>
              <w:t xml:space="preserve">, PO): </w:t>
            </w:r>
            <w:r w:rsidRPr="00FE6AC6">
              <w:rPr>
                <w:color w:val="000000"/>
                <w:lang w:val="bg-BG"/>
              </w:rPr>
              <w:t>дни</w:t>
            </w:r>
            <w:r w:rsidRPr="00FE6AC6">
              <w:rPr>
                <w:color w:val="000000"/>
              </w:rPr>
              <w:t> 8, 15, 22, 29, 36, 43, 50</w:t>
            </w:r>
          </w:p>
        </w:tc>
      </w:tr>
      <w:tr w:rsidR="001B628D" w:rsidRPr="00FE6AC6" w14:paraId="3E5504FC" w14:textId="77777777" w:rsidTr="00EB1684">
        <w:trPr>
          <w:cantSplit/>
        </w:trPr>
        <w:tc>
          <w:tcPr>
            <w:tcW w:w="2358" w:type="dxa"/>
            <w:shd w:val="clear" w:color="auto" w:fill="auto"/>
          </w:tcPr>
          <w:p w14:paraId="3E5504F5" w14:textId="77777777" w:rsidR="001B628D" w:rsidRPr="00FE6AC6" w:rsidRDefault="001B628D" w:rsidP="00C90F9F">
            <w:pPr>
              <w:pStyle w:val="EndnoteText"/>
              <w:keepNext/>
              <w:widowControl w:val="0"/>
              <w:rPr>
                <w:color w:val="000000"/>
              </w:rPr>
            </w:pPr>
            <w:r w:rsidRPr="00FE6AC6">
              <w:rPr>
                <w:color w:val="000000"/>
                <w:lang w:val="bg-BG"/>
              </w:rPr>
              <w:t>Поддържане</w:t>
            </w:r>
          </w:p>
          <w:p w14:paraId="3E5504F6" w14:textId="77777777" w:rsidR="001B628D" w:rsidRPr="00FE6AC6" w:rsidRDefault="001B628D" w:rsidP="00C90F9F">
            <w:pPr>
              <w:pStyle w:val="EndnoteText"/>
              <w:keepNext/>
              <w:widowControl w:val="0"/>
              <w:rPr>
                <w:color w:val="000000"/>
              </w:rPr>
            </w:pPr>
            <w:r w:rsidRPr="00FE6AC6">
              <w:rPr>
                <w:color w:val="000000"/>
              </w:rPr>
              <w:t>(8-</w:t>
            </w:r>
            <w:r w:rsidRPr="00FE6AC6">
              <w:rPr>
                <w:color w:val="000000"/>
                <w:lang w:val="bg-BG"/>
              </w:rPr>
              <w:t>седмични цикли</w:t>
            </w:r>
            <w:r w:rsidRPr="00FE6AC6">
              <w:rPr>
                <w:color w:val="000000"/>
              </w:rPr>
              <w:t>)</w:t>
            </w:r>
          </w:p>
          <w:p w14:paraId="3E5504F7" w14:textId="77777777" w:rsidR="001B628D" w:rsidRPr="00FE6AC6" w:rsidRDefault="001B628D" w:rsidP="00C90F9F">
            <w:pPr>
              <w:pStyle w:val="EndnoteText"/>
              <w:keepNext/>
              <w:widowControl w:val="0"/>
              <w:rPr>
                <w:color w:val="000000"/>
              </w:rPr>
            </w:pPr>
            <w:r w:rsidRPr="00FE6AC6">
              <w:rPr>
                <w:color w:val="000000"/>
                <w:lang w:val="bg-BG"/>
              </w:rPr>
              <w:t>Цикли</w:t>
            </w:r>
            <w:r w:rsidRPr="00FE6AC6">
              <w:rPr>
                <w:color w:val="000000"/>
              </w:rPr>
              <w:t> 6</w:t>
            </w:r>
            <w:r w:rsidRPr="00FE6AC6">
              <w:rPr>
                <w:color w:val="000000"/>
              </w:rPr>
              <w:noBreakHyphen/>
              <w:t>12</w:t>
            </w:r>
          </w:p>
        </w:tc>
        <w:tc>
          <w:tcPr>
            <w:tcW w:w="6929" w:type="dxa"/>
            <w:shd w:val="clear" w:color="auto" w:fill="auto"/>
          </w:tcPr>
          <w:p w14:paraId="3E5504F8" w14:textId="77777777" w:rsidR="001B628D" w:rsidRPr="00FE6AC6" w:rsidRDefault="001B628D" w:rsidP="00C90F9F">
            <w:pPr>
              <w:pStyle w:val="EndnoteText"/>
              <w:keepNext/>
              <w:widowControl w:val="0"/>
              <w:rPr>
                <w:color w:val="000000"/>
              </w:rPr>
            </w:pPr>
            <w:r w:rsidRPr="00FE6AC6">
              <w:rPr>
                <w:color w:val="000000"/>
              </w:rPr>
              <w:t>VCR (1</w:t>
            </w:r>
            <w:r w:rsidRPr="00FE6AC6">
              <w:rPr>
                <w:color w:val="000000"/>
                <w:lang w:val="bg-BG"/>
              </w:rPr>
              <w:t>,</w:t>
            </w:r>
            <w:r w:rsidRPr="00FE6AC6">
              <w:rPr>
                <w:color w:val="000000"/>
              </w:rPr>
              <w:t>5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IV): </w:t>
            </w:r>
            <w:r w:rsidRPr="00FE6AC6">
              <w:rPr>
                <w:color w:val="000000"/>
                <w:lang w:val="bg-BG"/>
              </w:rPr>
              <w:t>дни</w:t>
            </w:r>
            <w:r w:rsidRPr="00FE6AC6">
              <w:rPr>
                <w:color w:val="000000"/>
              </w:rPr>
              <w:t> 1, 29</w:t>
            </w:r>
          </w:p>
          <w:p w14:paraId="3E5504F9" w14:textId="77777777" w:rsidR="001B628D" w:rsidRPr="00FE6AC6" w:rsidRDefault="001B628D" w:rsidP="00C90F9F">
            <w:pPr>
              <w:pStyle w:val="EndnoteText"/>
              <w:keepNext/>
              <w:widowControl w:val="0"/>
              <w:rPr>
                <w:color w:val="000000"/>
              </w:rPr>
            </w:pPr>
            <w:r w:rsidRPr="00FE6AC6">
              <w:rPr>
                <w:color w:val="000000"/>
              </w:rPr>
              <w:t>DEX (6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Pr="00FE6AC6">
              <w:rPr>
                <w:color w:val="000000"/>
                <w:lang w:val="bg-BG"/>
              </w:rPr>
              <w:t>дни</w:t>
            </w:r>
            <w:r w:rsidRPr="00FE6AC6">
              <w:rPr>
                <w:color w:val="000000"/>
              </w:rPr>
              <w:t> 1</w:t>
            </w:r>
            <w:r w:rsidRPr="00FE6AC6">
              <w:rPr>
                <w:color w:val="000000"/>
              </w:rPr>
              <w:noBreakHyphen/>
              <w:t>5; 29</w:t>
            </w:r>
            <w:r w:rsidRPr="00FE6AC6">
              <w:rPr>
                <w:color w:val="000000"/>
              </w:rPr>
              <w:noBreakHyphen/>
              <w:t>33</w:t>
            </w:r>
          </w:p>
          <w:p w14:paraId="3E5504FA" w14:textId="77777777" w:rsidR="001B628D" w:rsidRPr="00FE6AC6" w:rsidRDefault="001B628D" w:rsidP="00C90F9F">
            <w:pPr>
              <w:pStyle w:val="EndnoteText"/>
              <w:keepNext/>
              <w:widowControl w:val="0"/>
              <w:rPr>
                <w:color w:val="000000"/>
              </w:rPr>
            </w:pPr>
            <w:r w:rsidRPr="00FE6AC6">
              <w:rPr>
                <w:color w:val="000000"/>
              </w:rPr>
              <w:t>6-MP (75 mg/m</w:t>
            </w:r>
            <w:r w:rsidRPr="00FE6AC6">
              <w:rPr>
                <w:color w:val="000000"/>
                <w:vertAlign w:val="superscript"/>
              </w:rPr>
              <w:t>2</w:t>
            </w:r>
            <w:r w:rsidRPr="00FE6AC6">
              <w:rPr>
                <w:color w:val="000000"/>
              </w:rPr>
              <w:t>/</w:t>
            </w:r>
            <w:r w:rsidRPr="00FE6AC6">
              <w:rPr>
                <w:color w:val="000000"/>
                <w:lang w:val="bg-BG"/>
              </w:rPr>
              <w:t>ден</w:t>
            </w:r>
            <w:r w:rsidRPr="00FE6AC6">
              <w:rPr>
                <w:color w:val="000000"/>
              </w:rPr>
              <w:t xml:space="preserve">, </w:t>
            </w:r>
            <w:smartTag w:uri="urn:schemas-microsoft-com:office:smarttags" w:element="place">
              <w:r w:rsidRPr="00FE6AC6">
                <w:rPr>
                  <w:color w:val="000000"/>
                </w:rPr>
                <w:t>PO</w:t>
              </w:r>
            </w:smartTag>
            <w:r w:rsidRPr="00FE6AC6">
              <w:rPr>
                <w:color w:val="000000"/>
              </w:rPr>
              <w:t xml:space="preserve">): </w:t>
            </w:r>
            <w:r w:rsidRPr="00FE6AC6">
              <w:rPr>
                <w:color w:val="000000"/>
                <w:lang w:val="bg-BG"/>
              </w:rPr>
              <w:t>дни</w:t>
            </w:r>
            <w:r w:rsidRPr="00FE6AC6">
              <w:rPr>
                <w:color w:val="000000"/>
              </w:rPr>
              <w:t> 1</w:t>
            </w:r>
            <w:r w:rsidRPr="00FE6AC6">
              <w:rPr>
                <w:color w:val="000000"/>
              </w:rPr>
              <w:noBreakHyphen/>
              <w:t>56</w:t>
            </w:r>
          </w:p>
          <w:p w14:paraId="3E5504FB" w14:textId="77777777" w:rsidR="001B628D" w:rsidRPr="00FE6AC6" w:rsidRDefault="001B628D" w:rsidP="00C90F9F">
            <w:pPr>
              <w:pStyle w:val="EndnoteText"/>
              <w:keepNext/>
              <w:widowControl w:val="0"/>
              <w:rPr>
                <w:color w:val="000000"/>
              </w:rPr>
            </w:pPr>
            <w:r w:rsidRPr="00FE6AC6">
              <w:rPr>
                <w:color w:val="000000"/>
                <w:lang w:val="bg-BG"/>
              </w:rPr>
              <w:t>Метотрексат</w:t>
            </w:r>
            <w:r w:rsidRPr="00FE6AC6">
              <w:rPr>
                <w:color w:val="000000"/>
              </w:rPr>
              <w:t xml:space="preserve"> (20 mg/m</w:t>
            </w:r>
            <w:r w:rsidRPr="00FE6AC6">
              <w:rPr>
                <w:color w:val="000000"/>
                <w:vertAlign w:val="superscript"/>
              </w:rPr>
              <w:t>2</w:t>
            </w:r>
            <w:r w:rsidRPr="00FE6AC6">
              <w:rPr>
                <w:color w:val="000000"/>
              </w:rPr>
              <w:t>/</w:t>
            </w:r>
            <w:r w:rsidRPr="00FE6AC6">
              <w:rPr>
                <w:color w:val="000000"/>
                <w:lang w:val="bg-BG"/>
              </w:rPr>
              <w:t>седмица</w:t>
            </w:r>
            <w:r w:rsidRPr="00FE6AC6">
              <w:rPr>
                <w:color w:val="000000"/>
              </w:rPr>
              <w:t xml:space="preserve">, PO): </w:t>
            </w:r>
            <w:r w:rsidRPr="00FE6AC6">
              <w:rPr>
                <w:color w:val="000000"/>
                <w:lang w:val="bg-BG"/>
              </w:rPr>
              <w:t>дни</w:t>
            </w:r>
            <w:r w:rsidRPr="00FE6AC6">
              <w:rPr>
                <w:color w:val="000000"/>
              </w:rPr>
              <w:t> 1, 8, 15, 22, 29, 36, 43, 50</w:t>
            </w:r>
          </w:p>
        </w:tc>
      </w:tr>
    </w:tbl>
    <w:p w14:paraId="3E5504FD" w14:textId="77777777" w:rsidR="001B628D" w:rsidRPr="00FE6AC6" w:rsidRDefault="001B628D" w:rsidP="00C90F9F">
      <w:pPr>
        <w:pStyle w:val="EndnoteText"/>
        <w:keepLines/>
        <w:widowControl w:val="0"/>
        <w:rPr>
          <w:color w:val="000000"/>
          <w:szCs w:val="22"/>
        </w:rPr>
      </w:pPr>
      <w:r w:rsidRPr="00FE6AC6">
        <w:rPr>
          <w:color w:val="000000"/>
          <w:szCs w:val="22"/>
        </w:rPr>
        <w:t xml:space="preserve">G-CSF = </w:t>
      </w:r>
      <w:r w:rsidRPr="00FE6AC6">
        <w:rPr>
          <w:color w:val="000000"/>
          <w:szCs w:val="22"/>
          <w:lang w:val="bg-BG"/>
        </w:rPr>
        <w:t>гранулоцит</w:t>
      </w:r>
      <w:r w:rsidRPr="00FE6AC6">
        <w:rPr>
          <w:color w:val="000000"/>
          <w:szCs w:val="22"/>
          <w:lang w:val="en-US"/>
        </w:rPr>
        <w:t>-</w:t>
      </w:r>
      <w:r w:rsidRPr="00FE6AC6">
        <w:rPr>
          <w:color w:val="000000"/>
          <w:szCs w:val="22"/>
          <w:lang w:val="bg-BG"/>
        </w:rPr>
        <w:t>колониостимулиращ фактор</w:t>
      </w:r>
      <w:r w:rsidRPr="00FE6AC6">
        <w:rPr>
          <w:color w:val="000000"/>
          <w:szCs w:val="22"/>
        </w:rPr>
        <w:t xml:space="preserve">, VP-16 = </w:t>
      </w:r>
      <w:r w:rsidRPr="00FE6AC6">
        <w:rPr>
          <w:color w:val="000000"/>
          <w:szCs w:val="22"/>
          <w:lang w:val="bg-BG"/>
        </w:rPr>
        <w:t>етопозид</w:t>
      </w:r>
      <w:r w:rsidRPr="00FE6AC6">
        <w:rPr>
          <w:color w:val="000000"/>
          <w:szCs w:val="22"/>
        </w:rPr>
        <w:t xml:space="preserve">, MTX = </w:t>
      </w:r>
      <w:r w:rsidRPr="00FE6AC6">
        <w:rPr>
          <w:color w:val="000000"/>
          <w:szCs w:val="22"/>
          <w:lang w:val="bg-BG"/>
        </w:rPr>
        <w:t>метотрексат</w:t>
      </w:r>
      <w:r w:rsidRPr="00FE6AC6">
        <w:rPr>
          <w:color w:val="000000"/>
          <w:szCs w:val="22"/>
        </w:rPr>
        <w:t xml:space="preserve">, IV = </w:t>
      </w:r>
      <w:r w:rsidRPr="00FE6AC6">
        <w:rPr>
          <w:color w:val="000000"/>
          <w:szCs w:val="22"/>
          <w:lang w:val="bg-BG"/>
        </w:rPr>
        <w:t>интравенозно</w:t>
      </w:r>
      <w:r w:rsidRPr="00FE6AC6">
        <w:rPr>
          <w:color w:val="000000"/>
          <w:szCs w:val="22"/>
        </w:rPr>
        <w:t xml:space="preserve">, SC = </w:t>
      </w:r>
      <w:r w:rsidRPr="00FE6AC6">
        <w:rPr>
          <w:color w:val="000000"/>
          <w:szCs w:val="22"/>
          <w:lang w:val="bg-BG"/>
        </w:rPr>
        <w:t>подкожно</w:t>
      </w:r>
      <w:r w:rsidRPr="00FE6AC6">
        <w:rPr>
          <w:color w:val="000000"/>
          <w:szCs w:val="22"/>
        </w:rPr>
        <w:t xml:space="preserve">, IT = </w:t>
      </w:r>
      <w:r w:rsidRPr="00FE6AC6">
        <w:rPr>
          <w:color w:val="000000"/>
          <w:szCs w:val="22"/>
          <w:lang w:val="bg-BG"/>
        </w:rPr>
        <w:t>интратекално</w:t>
      </w:r>
      <w:r w:rsidRPr="00FE6AC6">
        <w:rPr>
          <w:color w:val="000000"/>
          <w:szCs w:val="22"/>
        </w:rPr>
        <w:t xml:space="preserve">, PO = </w:t>
      </w:r>
      <w:r w:rsidRPr="00FE6AC6">
        <w:rPr>
          <w:color w:val="000000"/>
          <w:szCs w:val="22"/>
          <w:lang w:val="bg-BG"/>
        </w:rPr>
        <w:t>перорално</w:t>
      </w:r>
      <w:r w:rsidRPr="00FE6AC6">
        <w:rPr>
          <w:color w:val="000000"/>
          <w:szCs w:val="22"/>
        </w:rPr>
        <w:t xml:space="preserve">, IM = </w:t>
      </w:r>
      <w:r w:rsidRPr="00FE6AC6">
        <w:rPr>
          <w:color w:val="000000"/>
          <w:szCs w:val="22"/>
          <w:lang w:val="bg-BG"/>
        </w:rPr>
        <w:t>интрамускулно</w:t>
      </w:r>
      <w:r w:rsidRPr="00FE6AC6">
        <w:rPr>
          <w:color w:val="000000"/>
          <w:szCs w:val="22"/>
        </w:rPr>
        <w:t>, ARA</w:t>
      </w:r>
      <w:r w:rsidRPr="00FE6AC6">
        <w:rPr>
          <w:color w:val="000000"/>
          <w:szCs w:val="22"/>
        </w:rPr>
        <w:noBreakHyphen/>
        <w:t xml:space="preserve">C = </w:t>
      </w:r>
      <w:r w:rsidRPr="00FE6AC6">
        <w:rPr>
          <w:color w:val="000000"/>
          <w:szCs w:val="22"/>
          <w:lang w:val="bg-BG"/>
        </w:rPr>
        <w:t>цитарабин</w:t>
      </w:r>
      <w:r w:rsidRPr="00FE6AC6">
        <w:rPr>
          <w:color w:val="000000"/>
          <w:szCs w:val="22"/>
        </w:rPr>
        <w:t xml:space="preserve">, CPM = </w:t>
      </w:r>
      <w:r w:rsidRPr="00FE6AC6">
        <w:rPr>
          <w:color w:val="000000"/>
          <w:szCs w:val="22"/>
          <w:lang w:val="bg-BG"/>
        </w:rPr>
        <w:t>циклофосфамид</w:t>
      </w:r>
      <w:r w:rsidRPr="00FE6AC6">
        <w:rPr>
          <w:color w:val="000000"/>
          <w:szCs w:val="22"/>
        </w:rPr>
        <w:t xml:space="preserve">, VCR = </w:t>
      </w:r>
      <w:r w:rsidRPr="00FE6AC6">
        <w:rPr>
          <w:color w:val="000000"/>
          <w:szCs w:val="22"/>
          <w:lang w:val="bg-BG"/>
        </w:rPr>
        <w:t>винкристин</w:t>
      </w:r>
      <w:r w:rsidRPr="00FE6AC6">
        <w:rPr>
          <w:color w:val="000000"/>
          <w:szCs w:val="22"/>
        </w:rPr>
        <w:t xml:space="preserve">, DEX = </w:t>
      </w:r>
      <w:r w:rsidRPr="00FE6AC6">
        <w:rPr>
          <w:color w:val="000000"/>
          <w:szCs w:val="22"/>
          <w:lang w:val="bg-BG"/>
        </w:rPr>
        <w:t>дексаметазон</w:t>
      </w:r>
      <w:r w:rsidRPr="00FE6AC6">
        <w:rPr>
          <w:color w:val="000000"/>
          <w:szCs w:val="22"/>
        </w:rPr>
        <w:t xml:space="preserve">, DAUN = </w:t>
      </w:r>
      <w:r w:rsidRPr="00FE6AC6">
        <w:rPr>
          <w:color w:val="000000"/>
          <w:szCs w:val="22"/>
          <w:lang w:val="bg-BG"/>
        </w:rPr>
        <w:t>даунорубицин</w:t>
      </w:r>
      <w:r w:rsidRPr="00FE6AC6">
        <w:rPr>
          <w:color w:val="000000"/>
          <w:szCs w:val="22"/>
        </w:rPr>
        <w:t>, 6-MP = 6-</w:t>
      </w:r>
      <w:r w:rsidRPr="00FE6AC6">
        <w:rPr>
          <w:color w:val="000000"/>
          <w:szCs w:val="22"/>
          <w:lang w:val="bg-BG"/>
        </w:rPr>
        <w:t>меркаптопурин</w:t>
      </w:r>
      <w:r w:rsidRPr="00FE6AC6">
        <w:rPr>
          <w:color w:val="000000"/>
          <w:szCs w:val="22"/>
        </w:rPr>
        <w:t>, E.Coli L-ASP = L-</w:t>
      </w:r>
      <w:r w:rsidRPr="00FE6AC6">
        <w:rPr>
          <w:color w:val="000000"/>
          <w:szCs w:val="22"/>
          <w:lang w:val="bg-BG"/>
        </w:rPr>
        <w:t>аспаргиназа</w:t>
      </w:r>
      <w:r w:rsidRPr="00FE6AC6">
        <w:rPr>
          <w:color w:val="000000"/>
          <w:szCs w:val="22"/>
        </w:rPr>
        <w:t xml:space="preserve">, PEG-ASP = PEG </w:t>
      </w:r>
      <w:r w:rsidRPr="00FE6AC6">
        <w:rPr>
          <w:color w:val="000000"/>
          <w:szCs w:val="22"/>
          <w:lang w:val="bg-BG"/>
        </w:rPr>
        <w:t>аспаргиназа</w:t>
      </w:r>
      <w:r w:rsidRPr="00FE6AC6">
        <w:rPr>
          <w:color w:val="000000"/>
          <w:szCs w:val="22"/>
        </w:rPr>
        <w:t>, MESNA= 2-</w:t>
      </w:r>
      <w:r w:rsidRPr="00FE6AC6">
        <w:rPr>
          <w:color w:val="000000"/>
          <w:szCs w:val="22"/>
          <w:lang w:val="bg-BG"/>
        </w:rPr>
        <w:t>меркаптоетан</w:t>
      </w:r>
      <w:r w:rsidRPr="00FE6AC6">
        <w:rPr>
          <w:color w:val="000000"/>
          <w:szCs w:val="22"/>
        </w:rPr>
        <w:t xml:space="preserve"> </w:t>
      </w:r>
      <w:r w:rsidRPr="00FE6AC6">
        <w:rPr>
          <w:color w:val="000000"/>
          <w:szCs w:val="22"/>
          <w:lang w:val="bg-BG"/>
        </w:rPr>
        <w:t>сулфонат натрий</w:t>
      </w:r>
      <w:r w:rsidRPr="00FE6AC6">
        <w:rPr>
          <w:color w:val="000000"/>
          <w:szCs w:val="22"/>
        </w:rPr>
        <w:t xml:space="preserve">, iii= </w:t>
      </w:r>
      <w:r w:rsidRPr="00FE6AC6">
        <w:rPr>
          <w:color w:val="000000"/>
          <w:szCs w:val="22"/>
          <w:lang w:val="bg-BG"/>
        </w:rPr>
        <w:t xml:space="preserve">или докато нивото на </w:t>
      </w:r>
      <w:r w:rsidRPr="00FE6AC6">
        <w:rPr>
          <w:color w:val="000000"/>
          <w:szCs w:val="22"/>
        </w:rPr>
        <w:t xml:space="preserve">MTX </w:t>
      </w:r>
      <w:r w:rsidRPr="00FE6AC6">
        <w:rPr>
          <w:color w:val="000000"/>
          <w:szCs w:val="22"/>
          <w:lang w:val="bg-BG"/>
        </w:rPr>
        <w:t>е</w:t>
      </w:r>
      <w:r w:rsidRPr="00FE6AC6">
        <w:rPr>
          <w:color w:val="000000"/>
          <w:szCs w:val="22"/>
        </w:rPr>
        <w:t xml:space="preserve"> &lt;0</w:t>
      </w:r>
      <w:r w:rsidRPr="00FE6AC6">
        <w:rPr>
          <w:color w:val="000000"/>
          <w:szCs w:val="22"/>
          <w:lang w:val="bg-BG"/>
        </w:rPr>
        <w:t>,</w:t>
      </w:r>
      <w:r w:rsidRPr="00FE6AC6">
        <w:rPr>
          <w:color w:val="000000"/>
          <w:szCs w:val="22"/>
        </w:rPr>
        <w:t xml:space="preserve">1 µM, </w:t>
      </w:r>
      <w:r w:rsidRPr="00FE6AC6">
        <w:rPr>
          <w:color w:val="000000"/>
          <w:szCs w:val="22"/>
          <w:lang w:val="bg-BG"/>
        </w:rPr>
        <w:t xml:space="preserve">на </w:t>
      </w:r>
      <w:r w:rsidRPr="00FE6AC6">
        <w:rPr>
          <w:color w:val="000000"/>
          <w:szCs w:val="22"/>
        </w:rPr>
        <w:t>6</w:t>
      </w:r>
      <w:r w:rsidRPr="00FE6AC6">
        <w:rPr>
          <w:color w:val="000000"/>
          <w:szCs w:val="22"/>
          <w:lang w:val="bg-BG"/>
        </w:rPr>
        <w:t> ч</w:t>
      </w:r>
      <w:r w:rsidRPr="00FE6AC6">
        <w:rPr>
          <w:color w:val="000000"/>
          <w:szCs w:val="22"/>
        </w:rPr>
        <w:t xml:space="preserve"> = </w:t>
      </w:r>
      <w:r w:rsidRPr="00FE6AC6">
        <w:rPr>
          <w:color w:val="000000"/>
          <w:szCs w:val="22"/>
          <w:lang w:val="bg-BG"/>
        </w:rPr>
        <w:t>на всеки</w:t>
      </w:r>
      <w:r w:rsidRPr="00FE6AC6">
        <w:rPr>
          <w:color w:val="000000"/>
          <w:szCs w:val="22"/>
        </w:rPr>
        <w:t xml:space="preserve"> 6 </w:t>
      </w:r>
      <w:r w:rsidRPr="00FE6AC6">
        <w:rPr>
          <w:color w:val="000000"/>
          <w:szCs w:val="22"/>
          <w:lang w:val="bg-BG"/>
        </w:rPr>
        <w:t>часа</w:t>
      </w:r>
      <w:r w:rsidRPr="00FE6AC6">
        <w:rPr>
          <w:color w:val="000000"/>
          <w:szCs w:val="22"/>
        </w:rPr>
        <w:t xml:space="preserve">, Gy= </w:t>
      </w:r>
      <w:r w:rsidRPr="00FE6AC6">
        <w:rPr>
          <w:color w:val="000000"/>
          <w:szCs w:val="22"/>
          <w:lang w:val="bg-BG"/>
        </w:rPr>
        <w:t>Грей</w:t>
      </w:r>
    </w:p>
    <w:p w14:paraId="3E5504FE" w14:textId="77777777" w:rsidR="001B628D" w:rsidRPr="00FE6AC6" w:rsidRDefault="001B628D" w:rsidP="0063575E">
      <w:pPr>
        <w:pStyle w:val="EndnoteText"/>
        <w:widowControl w:val="0"/>
        <w:jc w:val="both"/>
        <w:rPr>
          <w:color w:val="000000"/>
          <w:sz w:val="20"/>
        </w:rPr>
      </w:pPr>
    </w:p>
    <w:p w14:paraId="3E5504FF" w14:textId="77777777" w:rsidR="001B628D" w:rsidRPr="00FE6AC6" w:rsidRDefault="001B628D" w:rsidP="0063575E">
      <w:pPr>
        <w:pStyle w:val="EndnoteText"/>
        <w:widowControl w:val="0"/>
        <w:rPr>
          <w:color w:val="000000"/>
          <w:lang w:val="bg-BG"/>
        </w:rPr>
      </w:pPr>
      <w:r w:rsidRPr="00FE6AC6">
        <w:rPr>
          <w:color w:val="000000"/>
          <w:szCs w:val="22"/>
          <w:lang w:val="bg-BG"/>
        </w:rPr>
        <w:t>Проучване</w:t>
      </w:r>
      <w:r w:rsidRPr="00FE6AC6">
        <w:rPr>
          <w:color w:val="000000"/>
          <w:szCs w:val="22"/>
        </w:rPr>
        <w:t xml:space="preserve"> AIT07 </w:t>
      </w:r>
      <w:r w:rsidRPr="00FE6AC6">
        <w:rPr>
          <w:color w:val="000000"/>
          <w:szCs w:val="22"/>
          <w:lang w:val="bg-BG"/>
        </w:rPr>
        <w:t>е многоцентрово, отворено, рандомизирано, фаза</w:t>
      </w:r>
      <w:r w:rsidRPr="00FE6AC6">
        <w:rPr>
          <w:color w:val="000000"/>
          <w:szCs w:val="22"/>
        </w:rPr>
        <w:t xml:space="preserve"> II/III </w:t>
      </w:r>
      <w:r w:rsidRPr="00FE6AC6">
        <w:rPr>
          <w:color w:val="000000"/>
          <w:szCs w:val="22"/>
          <w:lang w:val="bg-BG"/>
        </w:rPr>
        <w:t>проучване, което включва</w:t>
      </w:r>
      <w:r w:rsidRPr="00FE6AC6">
        <w:rPr>
          <w:color w:val="000000"/>
          <w:szCs w:val="22"/>
        </w:rPr>
        <w:t xml:space="preserve"> 128 </w:t>
      </w:r>
      <w:r w:rsidRPr="00FE6AC6">
        <w:rPr>
          <w:color w:val="000000"/>
          <w:szCs w:val="22"/>
          <w:lang w:val="bg-BG"/>
        </w:rPr>
        <w:t>пациенти</w:t>
      </w:r>
      <w:r w:rsidRPr="00FE6AC6">
        <w:rPr>
          <w:color w:val="000000"/>
          <w:szCs w:val="22"/>
        </w:rPr>
        <w:t xml:space="preserve"> (1 </w:t>
      </w:r>
      <w:r w:rsidRPr="00FE6AC6">
        <w:rPr>
          <w:color w:val="000000"/>
          <w:szCs w:val="22"/>
          <w:lang w:val="bg-BG"/>
        </w:rPr>
        <w:t>до</w:t>
      </w:r>
      <w:r w:rsidRPr="00FE6AC6">
        <w:rPr>
          <w:color w:val="000000"/>
          <w:szCs w:val="22"/>
        </w:rPr>
        <w:t xml:space="preserve"> &lt;18 </w:t>
      </w:r>
      <w:r w:rsidRPr="00FE6AC6">
        <w:rPr>
          <w:color w:val="000000"/>
          <w:szCs w:val="22"/>
          <w:lang w:val="bg-BG"/>
        </w:rPr>
        <w:t>години</w:t>
      </w:r>
      <w:r w:rsidRPr="00FE6AC6">
        <w:rPr>
          <w:color w:val="000000"/>
          <w:szCs w:val="22"/>
        </w:rPr>
        <w:t>)</w:t>
      </w:r>
      <w:r w:rsidRPr="00FE6AC6">
        <w:rPr>
          <w:color w:val="000000"/>
          <w:szCs w:val="22"/>
          <w:lang w:val="bg-BG"/>
        </w:rPr>
        <w:t xml:space="preserve">, лекувани с иматиниб в комбинация с химиотерапия. Получените от проучването данни за безопасността, съответстват на профила на безопасност на иматиниб при пациенти с </w:t>
      </w:r>
      <w:r w:rsidRPr="00FE6AC6">
        <w:rPr>
          <w:color w:val="000000"/>
          <w:szCs w:val="22"/>
        </w:rPr>
        <w:t>Ph</w:t>
      </w:r>
      <w:r w:rsidRPr="00FE6AC6">
        <w:rPr>
          <w:color w:val="000000"/>
          <w:szCs w:val="22"/>
          <w:lang w:val="bg-BG"/>
        </w:rPr>
        <w:t>+ ОЛЛ.</w:t>
      </w:r>
    </w:p>
    <w:p w14:paraId="3E550500" w14:textId="77777777" w:rsidR="001B628D" w:rsidRPr="00FE6AC6" w:rsidRDefault="001B628D" w:rsidP="0063575E">
      <w:pPr>
        <w:pStyle w:val="EndnoteText"/>
        <w:widowControl w:val="0"/>
        <w:rPr>
          <w:color w:val="000000"/>
          <w:lang w:val="ru-RU"/>
        </w:rPr>
      </w:pPr>
    </w:p>
    <w:p w14:paraId="3E550501" w14:textId="77777777" w:rsidR="001B628D" w:rsidRPr="00FE6AC6" w:rsidRDefault="001B628D" w:rsidP="0063575E">
      <w:pPr>
        <w:widowControl w:val="0"/>
        <w:spacing w:line="240" w:lineRule="auto"/>
        <w:rPr>
          <w:color w:val="000000"/>
          <w:lang w:val="ru-RU"/>
        </w:rPr>
      </w:pPr>
      <w:r w:rsidRPr="00FE6AC6">
        <w:rPr>
          <w:i/>
          <w:color w:val="000000"/>
          <w:lang w:val="bg-BG"/>
        </w:rPr>
        <w:t>Рецидив</w:t>
      </w:r>
      <w:r w:rsidRPr="00FE6AC6">
        <w:rPr>
          <w:i/>
          <w:color w:val="000000"/>
          <w:lang w:val="ru-RU"/>
        </w:rPr>
        <w:t>/</w:t>
      </w:r>
      <w:r w:rsidRPr="00FE6AC6">
        <w:rPr>
          <w:i/>
          <w:color w:val="000000"/>
          <w:lang w:val="bg-BG"/>
        </w:rPr>
        <w:t xml:space="preserve">рефрактерна </w:t>
      </w:r>
      <w:r w:rsidRPr="00FE6AC6">
        <w:rPr>
          <w:i/>
          <w:color w:val="000000"/>
        </w:rPr>
        <w:t>Ph</w:t>
      </w:r>
      <w:r w:rsidRPr="00FE6AC6">
        <w:rPr>
          <w:i/>
          <w:color w:val="000000"/>
          <w:lang w:val="ru-RU"/>
        </w:rPr>
        <w:t xml:space="preserve">+ </w:t>
      </w:r>
      <w:r w:rsidRPr="00FE6AC6">
        <w:rPr>
          <w:i/>
          <w:color w:val="000000"/>
          <w:lang w:val="bg-BG"/>
        </w:rPr>
        <w:t xml:space="preserve">ОЛЛ: </w:t>
      </w:r>
      <w:r w:rsidRPr="00FE6AC6">
        <w:rPr>
          <w:color w:val="000000"/>
          <w:lang w:val="bg-BG"/>
        </w:rPr>
        <w:t xml:space="preserve">Употребата на иматиниб като самостоятелно средство при пациенти с рецидив/рефрактерна </w:t>
      </w:r>
      <w:r w:rsidRPr="00FE6AC6">
        <w:rPr>
          <w:color w:val="000000"/>
        </w:rPr>
        <w:t>Ph</w:t>
      </w:r>
      <w:r w:rsidRPr="00FE6AC6">
        <w:rPr>
          <w:color w:val="000000"/>
          <w:lang w:val="ru-RU"/>
        </w:rPr>
        <w:t xml:space="preserve">+ </w:t>
      </w:r>
      <w:r w:rsidRPr="00FE6AC6">
        <w:rPr>
          <w:color w:val="000000"/>
          <w:lang w:val="bg-BG"/>
        </w:rPr>
        <w:t xml:space="preserve">ОЛЛ води, при 53 от 411 оценявани за отговор пациенти, до честота на хематологичен отговор от 30% (9% пълен) и честота на голям цитогенетичен отговор от 23%. (Трябва да се отбележи, че от 411 пациенти, 353 са лекувани в програма за разширен достъп без събрани данни за първичен отговор). Медианата на времето до прогресия в общата група от 411 пациенти с рецидив/рефрактерна </w:t>
      </w:r>
      <w:r w:rsidRPr="00FE6AC6">
        <w:rPr>
          <w:color w:val="000000"/>
          <w:lang w:val="en-US"/>
        </w:rPr>
        <w:t>Ph</w:t>
      </w:r>
      <w:r w:rsidRPr="00FE6AC6">
        <w:rPr>
          <w:color w:val="000000"/>
          <w:lang w:val="ru-RU"/>
        </w:rPr>
        <w:t>+ОЛЛ варира от 2,6 до 3,1 месеца, а медината на общата преживяемост при 401 оценявани пациента варира от 4,9 до 9 месеца. Данните са подобни при провеждане на повторен анализ за включване само на пациентите на възраст на и над 55 години.</w:t>
      </w:r>
    </w:p>
    <w:p w14:paraId="3E550502" w14:textId="77777777" w:rsidR="001B628D" w:rsidRPr="00FE6AC6" w:rsidRDefault="001B628D" w:rsidP="0063575E">
      <w:pPr>
        <w:pStyle w:val="EndnoteText"/>
        <w:widowControl w:val="0"/>
        <w:rPr>
          <w:color w:val="000000"/>
          <w:u w:val="single"/>
          <w:lang w:val="bg-BG"/>
        </w:rPr>
      </w:pPr>
    </w:p>
    <w:p w14:paraId="3E550503" w14:textId="77777777" w:rsidR="001B628D" w:rsidRPr="00FE6AC6" w:rsidRDefault="001B628D" w:rsidP="0063575E">
      <w:pPr>
        <w:pStyle w:val="EndnoteText"/>
        <w:keepNext/>
        <w:widowControl w:val="0"/>
        <w:rPr>
          <w:color w:val="000000"/>
          <w:u w:val="single"/>
          <w:lang w:val="bg-BG"/>
        </w:rPr>
      </w:pPr>
      <w:r w:rsidRPr="00FE6AC6">
        <w:rPr>
          <w:color w:val="000000"/>
          <w:u w:val="single"/>
          <w:lang w:val="bg-BG"/>
        </w:rPr>
        <w:t>Клинични проучвания при МДС/МПЗ</w:t>
      </w:r>
    </w:p>
    <w:p w14:paraId="3E550504" w14:textId="77777777" w:rsidR="0016342F" w:rsidRPr="00FE6AC6" w:rsidRDefault="001B628D" w:rsidP="0063575E">
      <w:pPr>
        <w:pStyle w:val="EndnoteText"/>
        <w:widowControl w:val="0"/>
        <w:tabs>
          <w:tab w:val="clear" w:pos="567"/>
        </w:tabs>
        <w:rPr>
          <w:color w:val="000000"/>
          <w:szCs w:val="22"/>
          <w:lang w:val="bg-BG" w:eastAsia="ja-JP"/>
        </w:rPr>
      </w:pPr>
      <w:r w:rsidRPr="00FE6AC6">
        <w:rPr>
          <w:color w:val="000000"/>
          <w:szCs w:val="22"/>
          <w:lang w:val="bg-BG"/>
        </w:rPr>
        <w:t xml:space="preserve">Опитът с </w:t>
      </w:r>
      <w:r w:rsidRPr="00FE6AC6">
        <w:rPr>
          <w:color w:val="000000"/>
          <w:szCs w:val="22"/>
        </w:rPr>
        <w:t>Glivec</w:t>
      </w:r>
      <w:r w:rsidRPr="00FE6AC6">
        <w:rPr>
          <w:color w:val="000000"/>
          <w:szCs w:val="22"/>
          <w:lang w:val="bg-BG"/>
        </w:rPr>
        <w:t xml:space="preserve"> при това показание е много ограничен и се базира на степента на повлияване на хематологичния и цитогенетичен отговор. Няма контролирани проучвания, демонстриращи клинична полза или повишена преживяемост. Едно отворено, мултицентрово, фаза </w:t>
      </w:r>
      <w:r w:rsidRPr="00FE6AC6">
        <w:rPr>
          <w:color w:val="000000"/>
          <w:szCs w:val="22"/>
        </w:rPr>
        <w:t>II</w:t>
      </w:r>
      <w:r w:rsidRPr="00FE6AC6">
        <w:rPr>
          <w:color w:val="000000"/>
          <w:szCs w:val="22"/>
          <w:lang w:val="bg-BG"/>
        </w:rPr>
        <w:t xml:space="preserve"> клинично проучване (проучване </w:t>
      </w:r>
      <w:r w:rsidRPr="00FE6AC6">
        <w:rPr>
          <w:color w:val="000000"/>
          <w:szCs w:val="22"/>
        </w:rPr>
        <w:t>B</w:t>
      </w:r>
      <w:r w:rsidRPr="00FE6AC6">
        <w:rPr>
          <w:color w:val="000000"/>
          <w:szCs w:val="22"/>
          <w:lang w:val="bg-BG"/>
        </w:rPr>
        <w:t xml:space="preserve">2225) е било проведено за изпитване на </w:t>
      </w:r>
      <w:r w:rsidRPr="00FE6AC6">
        <w:rPr>
          <w:color w:val="000000"/>
          <w:szCs w:val="22"/>
          <w:lang w:eastAsia="ja-JP"/>
        </w:rPr>
        <w:t>Glivec</w:t>
      </w:r>
      <w:r w:rsidRPr="00FE6AC6">
        <w:rPr>
          <w:color w:val="000000"/>
          <w:szCs w:val="22"/>
          <w:lang w:val="bg-BG" w:eastAsia="ja-JP"/>
        </w:rPr>
        <w:t xml:space="preserve"> при различни популации пациенти, страдащи от живото-застрашаващи заболявания, свързани с </w:t>
      </w:r>
      <w:r w:rsidRPr="00FE6AC6">
        <w:rPr>
          <w:color w:val="000000"/>
          <w:szCs w:val="22"/>
          <w:lang w:eastAsia="ja-JP"/>
        </w:rPr>
        <w:t>Abl</w:t>
      </w:r>
      <w:r w:rsidRPr="00FE6AC6">
        <w:rPr>
          <w:color w:val="000000"/>
          <w:szCs w:val="22"/>
          <w:lang w:val="bg-BG" w:eastAsia="ja-JP"/>
        </w:rPr>
        <w:t xml:space="preserve">, </w:t>
      </w:r>
      <w:r w:rsidRPr="00FE6AC6">
        <w:rPr>
          <w:color w:val="000000"/>
          <w:szCs w:val="22"/>
          <w:lang w:eastAsia="ja-JP"/>
        </w:rPr>
        <w:t>Kit</w:t>
      </w:r>
      <w:r w:rsidRPr="00FE6AC6">
        <w:rPr>
          <w:color w:val="000000"/>
          <w:szCs w:val="22"/>
          <w:lang w:val="bg-BG" w:eastAsia="ja-JP"/>
        </w:rPr>
        <w:t xml:space="preserve"> или </w:t>
      </w:r>
      <w:r w:rsidRPr="00FE6AC6">
        <w:rPr>
          <w:color w:val="000000"/>
          <w:szCs w:val="22"/>
          <w:lang w:eastAsia="ja-JP"/>
        </w:rPr>
        <w:t>PDGFR</w:t>
      </w:r>
      <w:r w:rsidRPr="00FE6AC6">
        <w:rPr>
          <w:color w:val="000000"/>
          <w:szCs w:val="22"/>
          <w:lang w:val="bg-BG" w:eastAsia="ja-JP"/>
        </w:rPr>
        <w:t xml:space="preserve"> протеин тирозин кинази</w:t>
      </w:r>
      <w:r w:rsidRPr="00FE6AC6">
        <w:rPr>
          <w:color w:val="000000"/>
          <w:szCs w:val="22"/>
          <w:lang w:val="bg-BG"/>
        </w:rPr>
        <w:t>. Проучването е включвало 7</w:t>
      </w:r>
      <w:r w:rsidRPr="00FE6AC6">
        <w:rPr>
          <w:color w:val="000000"/>
          <w:szCs w:val="22"/>
        </w:rPr>
        <w:t> </w:t>
      </w:r>
      <w:r w:rsidRPr="00FE6AC6">
        <w:rPr>
          <w:color w:val="000000"/>
          <w:szCs w:val="22"/>
          <w:lang w:val="bg-BG"/>
        </w:rPr>
        <w:t xml:space="preserve">пациента с МДС/МПЗ, които са били лекувани с </w:t>
      </w:r>
      <w:r w:rsidRPr="00FE6AC6">
        <w:rPr>
          <w:color w:val="000000"/>
          <w:szCs w:val="22"/>
        </w:rPr>
        <w:t>Glivec</w:t>
      </w:r>
      <w:r w:rsidRPr="00FE6AC6">
        <w:rPr>
          <w:color w:val="000000"/>
          <w:szCs w:val="22"/>
          <w:lang w:val="bg-BG"/>
        </w:rPr>
        <w:t> 400</w:t>
      </w:r>
      <w:r w:rsidRPr="00FE6AC6">
        <w:rPr>
          <w:color w:val="000000"/>
          <w:szCs w:val="22"/>
        </w:rPr>
        <w:t> mg</w:t>
      </w:r>
      <w:r w:rsidRPr="00FE6AC6">
        <w:rPr>
          <w:color w:val="000000"/>
          <w:szCs w:val="22"/>
          <w:lang w:val="bg-BG"/>
        </w:rPr>
        <w:t xml:space="preserve"> дневно. При трима пациента е наблюдаван пълен хематологичен отговор (</w:t>
      </w:r>
      <w:r w:rsidRPr="00FE6AC6">
        <w:rPr>
          <w:color w:val="000000"/>
          <w:szCs w:val="22"/>
        </w:rPr>
        <w:t>CHR</w:t>
      </w:r>
      <w:r w:rsidRPr="00FE6AC6">
        <w:rPr>
          <w:color w:val="000000"/>
          <w:szCs w:val="22"/>
          <w:lang w:val="bg-BG"/>
        </w:rPr>
        <w:t>) и при един пациент – частичен хематологичен отговор (</w:t>
      </w:r>
      <w:r w:rsidRPr="00FE6AC6">
        <w:rPr>
          <w:color w:val="000000"/>
          <w:szCs w:val="22"/>
        </w:rPr>
        <w:t>PHR</w:t>
      </w:r>
      <w:r w:rsidRPr="00FE6AC6">
        <w:rPr>
          <w:color w:val="000000"/>
          <w:szCs w:val="22"/>
          <w:lang w:val="bg-BG"/>
        </w:rPr>
        <w:t xml:space="preserve">). Към момента на началния анализ, трима от четиримата пациента с </w:t>
      </w:r>
      <w:r w:rsidRPr="00FE6AC6">
        <w:rPr>
          <w:color w:val="000000"/>
          <w:szCs w:val="22"/>
        </w:rPr>
        <w:t>PDGFR</w:t>
      </w:r>
      <w:r w:rsidRPr="00FE6AC6">
        <w:rPr>
          <w:color w:val="000000"/>
          <w:szCs w:val="22"/>
          <w:lang w:val="bg-BG"/>
        </w:rPr>
        <w:t xml:space="preserve"> генни пренареждания са достигнали хематологичен отговор (2 </w:t>
      </w:r>
      <w:r w:rsidRPr="00FE6AC6">
        <w:rPr>
          <w:color w:val="000000"/>
          <w:szCs w:val="22"/>
        </w:rPr>
        <w:t>CHR</w:t>
      </w:r>
      <w:r w:rsidRPr="00FE6AC6">
        <w:rPr>
          <w:color w:val="000000"/>
          <w:szCs w:val="22"/>
          <w:lang w:val="bg-BG"/>
        </w:rPr>
        <w:t xml:space="preserve"> и 1 </w:t>
      </w:r>
      <w:r w:rsidRPr="00FE6AC6">
        <w:rPr>
          <w:color w:val="000000"/>
          <w:szCs w:val="22"/>
        </w:rPr>
        <w:t>PHR</w:t>
      </w:r>
      <w:r w:rsidRPr="00FE6AC6">
        <w:rPr>
          <w:color w:val="000000"/>
          <w:szCs w:val="22"/>
          <w:lang w:val="bg-BG"/>
        </w:rPr>
        <w:t xml:space="preserve">). </w:t>
      </w:r>
      <w:r w:rsidRPr="00FE6AC6">
        <w:rPr>
          <w:color w:val="000000"/>
          <w:szCs w:val="22"/>
          <w:lang w:val="bg-BG" w:eastAsia="ja-JP"/>
        </w:rPr>
        <w:t>Възрастта на пациентите е варирала от 20 до 72</w:t>
      </w:r>
      <w:r w:rsidRPr="00FE6AC6">
        <w:rPr>
          <w:color w:val="000000"/>
          <w:szCs w:val="22"/>
          <w:lang w:eastAsia="ja-JP"/>
        </w:rPr>
        <w:t> </w:t>
      </w:r>
      <w:r w:rsidRPr="00FE6AC6">
        <w:rPr>
          <w:color w:val="000000"/>
          <w:szCs w:val="22"/>
          <w:lang w:val="bg-BG" w:eastAsia="ja-JP"/>
        </w:rPr>
        <w:t>години.</w:t>
      </w:r>
    </w:p>
    <w:p w14:paraId="3E550505" w14:textId="77777777" w:rsidR="0016342F" w:rsidRPr="00FE6AC6" w:rsidRDefault="0016342F" w:rsidP="0063575E">
      <w:pPr>
        <w:pStyle w:val="EndnoteText"/>
        <w:widowControl w:val="0"/>
        <w:tabs>
          <w:tab w:val="clear" w:pos="567"/>
        </w:tabs>
        <w:rPr>
          <w:color w:val="000000"/>
          <w:szCs w:val="22"/>
          <w:lang w:val="bg-BG" w:eastAsia="ja-JP"/>
        </w:rPr>
      </w:pPr>
    </w:p>
    <w:p w14:paraId="3E550506" w14:textId="77777777" w:rsidR="0016342F" w:rsidRPr="00FE6AC6" w:rsidRDefault="0016342F" w:rsidP="0063575E">
      <w:pPr>
        <w:pStyle w:val="EndnoteText"/>
        <w:widowControl w:val="0"/>
        <w:tabs>
          <w:tab w:val="clear" w:pos="567"/>
        </w:tabs>
        <w:rPr>
          <w:color w:val="000000"/>
          <w:szCs w:val="22"/>
          <w:lang w:val="bg-BG" w:eastAsia="ja-JP"/>
        </w:rPr>
      </w:pPr>
      <w:r w:rsidRPr="00FE6AC6">
        <w:rPr>
          <w:color w:val="000000"/>
          <w:szCs w:val="22"/>
          <w:lang w:val="bg-BG"/>
        </w:rPr>
        <w:t xml:space="preserve">Заведен е обсервационен регистър (проучване </w:t>
      </w:r>
      <w:r w:rsidRPr="00FE6AC6">
        <w:rPr>
          <w:color w:val="000000"/>
          <w:szCs w:val="22"/>
        </w:rPr>
        <w:t>L</w:t>
      </w:r>
      <w:r w:rsidRPr="00FE6AC6">
        <w:rPr>
          <w:color w:val="000000"/>
          <w:szCs w:val="22"/>
          <w:lang w:val="bg-BG"/>
        </w:rPr>
        <w:t>2401), за да се съберат дългосрочните данни за безопасност и ефикасност при пациенти с миелопролиферативни заболявания с PDGFR- β генни пренареждания, приемали</w:t>
      </w:r>
      <w:r w:rsidRPr="00FE6AC6">
        <w:rPr>
          <w:rFonts w:eastAsia="TimesNewRoman"/>
          <w:szCs w:val="22"/>
          <w:lang w:val="bg-BG"/>
        </w:rPr>
        <w:t xml:space="preserve"> </w:t>
      </w:r>
      <w:r w:rsidRPr="00FE6AC6">
        <w:rPr>
          <w:rFonts w:eastAsia="TimesNewRoman"/>
          <w:szCs w:val="22"/>
          <w:lang w:val="en-US"/>
        </w:rPr>
        <w:t>Glivec</w:t>
      </w:r>
      <w:r w:rsidRPr="00FE6AC6">
        <w:rPr>
          <w:rFonts w:eastAsia="TimesNewRoman"/>
          <w:szCs w:val="22"/>
          <w:lang w:val="bg-BG"/>
        </w:rPr>
        <w:t>.</w:t>
      </w:r>
      <w:r w:rsidRPr="00FE6AC6">
        <w:rPr>
          <w:color w:val="000000"/>
          <w:szCs w:val="22"/>
          <w:lang w:val="bg-BG"/>
        </w:rPr>
        <w:t xml:space="preserve"> 23</w:t>
      </w:r>
      <w:r w:rsidRPr="00FE6AC6">
        <w:rPr>
          <w:color w:val="000000"/>
          <w:szCs w:val="22"/>
          <w:lang w:val="bg-BG"/>
        </w:rPr>
        <w:noBreakHyphen/>
        <w:t xml:space="preserve">мата пациенти, включени в регистъра са приемали </w:t>
      </w:r>
      <w:r w:rsidRPr="00FE6AC6">
        <w:rPr>
          <w:color w:val="000000"/>
          <w:szCs w:val="22"/>
        </w:rPr>
        <w:t>Glivec</w:t>
      </w:r>
      <w:r w:rsidRPr="00FE6AC6">
        <w:rPr>
          <w:color w:val="000000"/>
          <w:szCs w:val="22"/>
          <w:lang w:val="bg-BG"/>
        </w:rPr>
        <w:t xml:space="preserve"> като медианата на дневната доза е 264</w:t>
      </w:r>
      <w:r w:rsidRPr="00FE6AC6">
        <w:rPr>
          <w:color w:val="000000"/>
          <w:szCs w:val="22"/>
        </w:rPr>
        <w:t> mg</w:t>
      </w:r>
      <w:r w:rsidRPr="00FE6AC6">
        <w:rPr>
          <w:color w:val="000000"/>
          <w:szCs w:val="22"/>
          <w:lang w:val="bg-BG"/>
        </w:rPr>
        <w:t xml:space="preserve"> (интервал: 100 до 400</w:t>
      </w:r>
      <w:r w:rsidRPr="00FE6AC6">
        <w:rPr>
          <w:color w:val="000000"/>
          <w:szCs w:val="22"/>
        </w:rPr>
        <w:t> mg</w:t>
      </w:r>
      <w:r w:rsidRPr="00FE6AC6">
        <w:rPr>
          <w:color w:val="000000"/>
          <w:szCs w:val="22"/>
          <w:lang w:val="bg-BG"/>
        </w:rPr>
        <w:t>), а медианата на продължителността на приема е 7,2</w:t>
      </w:r>
      <w:r w:rsidRPr="00FE6AC6">
        <w:rPr>
          <w:color w:val="000000"/>
          <w:szCs w:val="22"/>
        </w:rPr>
        <w:t> </w:t>
      </w:r>
      <w:r w:rsidRPr="00FE6AC6">
        <w:rPr>
          <w:color w:val="000000"/>
          <w:szCs w:val="22"/>
          <w:lang w:val="bg-BG"/>
        </w:rPr>
        <w:t>години (интервал 0,1 до 12,7</w:t>
      </w:r>
      <w:r w:rsidRPr="00FE6AC6">
        <w:rPr>
          <w:color w:val="000000"/>
          <w:szCs w:val="22"/>
        </w:rPr>
        <w:t> </w:t>
      </w:r>
      <w:r w:rsidRPr="00FE6AC6">
        <w:rPr>
          <w:color w:val="000000"/>
          <w:szCs w:val="22"/>
          <w:lang w:val="bg-BG"/>
        </w:rPr>
        <w:t>години). Поради обсервационния характер на регистъра, данни, оценяващи хематологичния, цитогенетичния и молекулярния отговор са налични съответно при 22, 9 и 17 от 23</w:t>
      </w:r>
      <w:r w:rsidRPr="00FE6AC6">
        <w:rPr>
          <w:color w:val="000000"/>
          <w:szCs w:val="22"/>
          <w:lang w:val="bg-BG"/>
        </w:rPr>
        <w:noBreakHyphen/>
        <w:t>мата</w:t>
      </w:r>
      <w:r w:rsidRPr="00FE6AC6">
        <w:rPr>
          <w:color w:val="000000"/>
          <w:szCs w:val="22"/>
        </w:rPr>
        <w:t> </w:t>
      </w:r>
      <w:r w:rsidRPr="00FE6AC6">
        <w:rPr>
          <w:color w:val="000000"/>
          <w:szCs w:val="22"/>
          <w:lang w:val="bg-BG"/>
        </w:rPr>
        <w:t>включени пациенти. Ако допуснем консервативно, че пациентите, при които липсват данни, са нереспондери, ПХО се наблюдава съответно при 20/23 (87%) пациенти, ПЦО при 9/23 (39,1%) пациенти, а МО при 11/23 (47,8%) пациенти. Когато степента на повлияване се изчислява при пациенти с поне една валидна оценка, степента на повлияване по отношение на ПХО, ПЦО и МО е съответно 20/22 (90,9%), 9/9 (100%) и 11/17 (64,7%).</w:t>
      </w:r>
    </w:p>
    <w:p w14:paraId="3E550507" w14:textId="77777777" w:rsidR="0016342F" w:rsidRPr="00FE6AC6" w:rsidRDefault="0016342F" w:rsidP="0063575E">
      <w:pPr>
        <w:pStyle w:val="EndnoteText"/>
        <w:widowControl w:val="0"/>
        <w:tabs>
          <w:tab w:val="clear" w:pos="567"/>
        </w:tabs>
        <w:rPr>
          <w:color w:val="000000"/>
          <w:szCs w:val="22"/>
          <w:lang w:val="bg-BG" w:eastAsia="ja-JP"/>
        </w:rPr>
      </w:pPr>
    </w:p>
    <w:p w14:paraId="3E550508" w14:textId="77777777" w:rsidR="001B628D" w:rsidRPr="00FE6AC6" w:rsidRDefault="001B628D" w:rsidP="0063575E">
      <w:pPr>
        <w:pStyle w:val="EndnoteText"/>
        <w:widowControl w:val="0"/>
        <w:tabs>
          <w:tab w:val="clear" w:pos="567"/>
        </w:tabs>
        <w:rPr>
          <w:color w:val="000000"/>
          <w:szCs w:val="22"/>
          <w:lang w:val="bg-BG"/>
        </w:rPr>
      </w:pPr>
      <w:r w:rsidRPr="00FE6AC6">
        <w:rPr>
          <w:color w:val="000000"/>
          <w:szCs w:val="22"/>
          <w:lang w:val="bg-BG"/>
        </w:rPr>
        <w:t>Освен това, други 24</w:t>
      </w:r>
      <w:r w:rsidRPr="00FE6AC6">
        <w:rPr>
          <w:color w:val="000000"/>
          <w:szCs w:val="22"/>
        </w:rPr>
        <w:t> </w:t>
      </w:r>
      <w:r w:rsidRPr="00FE6AC6">
        <w:rPr>
          <w:color w:val="000000"/>
          <w:szCs w:val="22"/>
          <w:lang w:val="bg-BG"/>
        </w:rPr>
        <w:t>пациента с МДС/МПЗ са били докладвани в 13</w:t>
      </w:r>
      <w:r w:rsidRPr="00FE6AC6">
        <w:rPr>
          <w:color w:val="000000"/>
          <w:szCs w:val="22"/>
        </w:rPr>
        <w:t> </w:t>
      </w:r>
      <w:r w:rsidRPr="00FE6AC6">
        <w:rPr>
          <w:color w:val="000000"/>
          <w:szCs w:val="22"/>
          <w:lang w:val="bg-BG"/>
        </w:rPr>
        <w:t>публикации. 21</w:t>
      </w:r>
      <w:r w:rsidRPr="00FE6AC6">
        <w:rPr>
          <w:color w:val="000000"/>
          <w:szCs w:val="22"/>
        </w:rPr>
        <w:t> </w:t>
      </w:r>
      <w:r w:rsidRPr="00FE6AC6">
        <w:rPr>
          <w:color w:val="000000"/>
          <w:szCs w:val="22"/>
          <w:lang w:val="bg-BG"/>
        </w:rPr>
        <w:t xml:space="preserve">пациента са били лекувани с </w:t>
      </w:r>
      <w:r w:rsidRPr="00FE6AC6">
        <w:rPr>
          <w:color w:val="000000"/>
          <w:szCs w:val="22"/>
        </w:rPr>
        <w:t>Glivec</w:t>
      </w:r>
      <w:r w:rsidRPr="00FE6AC6">
        <w:rPr>
          <w:color w:val="000000"/>
          <w:szCs w:val="22"/>
          <w:lang w:val="bg-BG"/>
        </w:rPr>
        <w:t xml:space="preserve"> 400</w:t>
      </w:r>
      <w:r w:rsidRPr="00FE6AC6">
        <w:rPr>
          <w:color w:val="000000"/>
          <w:szCs w:val="22"/>
        </w:rPr>
        <w:t> mg</w:t>
      </w:r>
      <w:r w:rsidRPr="00FE6AC6">
        <w:rPr>
          <w:color w:val="000000"/>
          <w:szCs w:val="22"/>
          <w:lang w:val="bg-BG"/>
        </w:rPr>
        <w:t xml:space="preserve"> дневно, докато другите 3</w:t>
      </w:r>
      <w:r w:rsidRPr="00FE6AC6">
        <w:rPr>
          <w:color w:val="000000"/>
          <w:szCs w:val="22"/>
        </w:rPr>
        <w:t> </w:t>
      </w:r>
      <w:r w:rsidRPr="00FE6AC6">
        <w:rPr>
          <w:color w:val="000000"/>
          <w:szCs w:val="22"/>
          <w:lang w:val="bg-BG"/>
        </w:rPr>
        <w:t>пациента са получавали по-ниски дози. При 11</w:t>
      </w:r>
      <w:r w:rsidRPr="00FE6AC6">
        <w:rPr>
          <w:color w:val="000000"/>
          <w:szCs w:val="22"/>
          <w:lang w:val="de-CH"/>
        </w:rPr>
        <w:t> </w:t>
      </w:r>
      <w:r w:rsidRPr="00FE6AC6">
        <w:rPr>
          <w:color w:val="000000"/>
          <w:szCs w:val="22"/>
          <w:lang w:val="bg-BG"/>
        </w:rPr>
        <w:t xml:space="preserve">пациента са открити </w:t>
      </w:r>
      <w:r w:rsidRPr="00FE6AC6">
        <w:rPr>
          <w:color w:val="000000"/>
          <w:szCs w:val="22"/>
        </w:rPr>
        <w:t>PDGFR</w:t>
      </w:r>
      <w:r w:rsidRPr="00FE6AC6">
        <w:rPr>
          <w:color w:val="000000"/>
          <w:szCs w:val="22"/>
          <w:lang w:val="bg-BG"/>
        </w:rPr>
        <w:t xml:space="preserve"> генни пренареждания, 9 от тях са достигнали </w:t>
      </w:r>
      <w:r w:rsidRPr="00FE6AC6">
        <w:rPr>
          <w:color w:val="000000"/>
          <w:szCs w:val="22"/>
        </w:rPr>
        <w:t>CHR</w:t>
      </w:r>
      <w:r w:rsidRPr="00FE6AC6">
        <w:rPr>
          <w:color w:val="000000"/>
          <w:szCs w:val="22"/>
          <w:lang w:val="bg-BG"/>
        </w:rPr>
        <w:t xml:space="preserve"> и 1-</w:t>
      </w:r>
      <w:r w:rsidRPr="00FE6AC6">
        <w:rPr>
          <w:color w:val="000000"/>
          <w:szCs w:val="22"/>
        </w:rPr>
        <w:t>PHR</w:t>
      </w:r>
      <w:r w:rsidRPr="00FE6AC6">
        <w:rPr>
          <w:color w:val="000000"/>
          <w:szCs w:val="22"/>
          <w:lang w:val="bg-BG"/>
        </w:rPr>
        <w:t>. Възрастта на тези пациенти варира от 2 до 79</w:t>
      </w:r>
      <w:r w:rsidRPr="00FE6AC6">
        <w:rPr>
          <w:color w:val="000000"/>
          <w:szCs w:val="22"/>
        </w:rPr>
        <w:t> </w:t>
      </w:r>
      <w:r w:rsidRPr="00FE6AC6">
        <w:rPr>
          <w:color w:val="000000"/>
          <w:szCs w:val="22"/>
          <w:lang w:val="bg-BG"/>
        </w:rPr>
        <w:t>години. В скорошна публикация осъвременени данни за 6 от тези 11</w:t>
      </w:r>
      <w:r w:rsidRPr="00FE6AC6">
        <w:rPr>
          <w:color w:val="000000"/>
          <w:szCs w:val="22"/>
        </w:rPr>
        <w:t> </w:t>
      </w:r>
      <w:r w:rsidRPr="00FE6AC6">
        <w:rPr>
          <w:color w:val="000000"/>
          <w:szCs w:val="22"/>
          <w:lang w:val="bg-BG"/>
        </w:rPr>
        <w:t>пациента разкриват, че всички тези пациенти са останали в цитогенетична ремисия (варираща между 32</w:t>
      </w:r>
      <w:r w:rsidRPr="00FE6AC6">
        <w:rPr>
          <w:color w:val="000000"/>
          <w:szCs w:val="22"/>
          <w:lang w:val="bg-BG"/>
        </w:rPr>
        <w:noBreakHyphen/>
        <w:t>38</w:t>
      </w:r>
      <w:r w:rsidRPr="00FE6AC6">
        <w:rPr>
          <w:color w:val="000000"/>
          <w:szCs w:val="22"/>
        </w:rPr>
        <w:t> </w:t>
      </w:r>
      <w:r w:rsidRPr="00FE6AC6">
        <w:rPr>
          <w:color w:val="000000"/>
          <w:szCs w:val="22"/>
          <w:lang w:val="bg-BG"/>
        </w:rPr>
        <w:t>месеца). Същата публикация докладва данни от дългосрочно проследяване на 12</w:t>
      </w:r>
      <w:r w:rsidRPr="00FE6AC6">
        <w:rPr>
          <w:color w:val="000000"/>
          <w:szCs w:val="22"/>
        </w:rPr>
        <w:t> </w:t>
      </w:r>
      <w:r w:rsidRPr="00FE6AC6">
        <w:rPr>
          <w:color w:val="000000"/>
          <w:szCs w:val="22"/>
          <w:lang w:val="bg-BG"/>
        </w:rPr>
        <w:t xml:space="preserve">МДС/МПЗ пациента с </w:t>
      </w:r>
      <w:r w:rsidRPr="00FE6AC6">
        <w:rPr>
          <w:color w:val="000000"/>
          <w:szCs w:val="22"/>
        </w:rPr>
        <w:t>PDGFR</w:t>
      </w:r>
      <w:r w:rsidRPr="00FE6AC6">
        <w:rPr>
          <w:color w:val="000000"/>
          <w:szCs w:val="22"/>
          <w:lang w:val="bg-BG"/>
        </w:rPr>
        <w:t xml:space="preserve"> генни пренареждания (5</w:t>
      </w:r>
      <w:r w:rsidRPr="00FE6AC6">
        <w:rPr>
          <w:color w:val="000000"/>
          <w:szCs w:val="22"/>
        </w:rPr>
        <w:t> </w:t>
      </w:r>
      <w:r w:rsidRPr="00FE6AC6">
        <w:rPr>
          <w:color w:val="000000"/>
          <w:szCs w:val="22"/>
          <w:lang w:val="bg-BG"/>
        </w:rPr>
        <w:t xml:space="preserve">пациента от проучване </w:t>
      </w:r>
      <w:r w:rsidRPr="00FE6AC6">
        <w:rPr>
          <w:color w:val="000000"/>
          <w:szCs w:val="22"/>
        </w:rPr>
        <w:t>B</w:t>
      </w:r>
      <w:r w:rsidRPr="00FE6AC6">
        <w:rPr>
          <w:color w:val="000000"/>
          <w:szCs w:val="22"/>
          <w:lang w:val="bg-BG"/>
        </w:rPr>
        <w:t xml:space="preserve">2225). Тези пациенти са приемали </w:t>
      </w:r>
      <w:r w:rsidRPr="00FE6AC6">
        <w:rPr>
          <w:color w:val="000000"/>
          <w:szCs w:val="22"/>
        </w:rPr>
        <w:t>Glivec</w:t>
      </w:r>
      <w:r w:rsidRPr="00FE6AC6">
        <w:rPr>
          <w:color w:val="000000"/>
          <w:szCs w:val="22"/>
          <w:lang w:val="bg-BG"/>
        </w:rPr>
        <w:t xml:space="preserve"> за медиана на време от 47</w:t>
      </w:r>
      <w:r w:rsidRPr="00FE6AC6">
        <w:rPr>
          <w:color w:val="000000"/>
          <w:szCs w:val="22"/>
        </w:rPr>
        <w:t> </w:t>
      </w:r>
      <w:r w:rsidRPr="00FE6AC6">
        <w:rPr>
          <w:color w:val="000000"/>
          <w:szCs w:val="22"/>
          <w:lang w:val="bg-BG"/>
        </w:rPr>
        <w:t>месеца (от 24</w:t>
      </w:r>
      <w:r w:rsidRPr="00FE6AC6">
        <w:rPr>
          <w:color w:val="000000"/>
          <w:szCs w:val="22"/>
        </w:rPr>
        <w:t> </w:t>
      </w:r>
      <w:r w:rsidRPr="00FE6AC6">
        <w:rPr>
          <w:color w:val="000000"/>
          <w:szCs w:val="22"/>
          <w:lang w:val="bg-BG"/>
        </w:rPr>
        <w:t>дни – 60</w:t>
      </w:r>
      <w:r w:rsidRPr="00FE6AC6">
        <w:rPr>
          <w:color w:val="000000"/>
          <w:szCs w:val="22"/>
        </w:rPr>
        <w:t> </w:t>
      </w:r>
      <w:r w:rsidRPr="00FE6AC6">
        <w:rPr>
          <w:color w:val="000000"/>
          <w:szCs w:val="22"/>
          <w:lang w:val="bg-BG"/>
        </w:rPr>
        <w:t>месеца). При 6 от тези пациенти проследяването към момента надвишава 4</w:t>
      </w:r>
      <w:r w:rsidRPr="00FE6AC6">
        <w:rPr>
          <w:color w:val="000000"/>
          <w:szCs w:val="22"/>
        </w:rPr>
        <w:t> </w:t>
      </w:r>
      <w:r w:rsidRPr="00FE6AC6">
        <w:rPr>
          <w:color w:val="000000"/>
          <w:szCs w:val="22"/>
          <w:lang w:val="bg-BG"/>
        </w:rPr>
        <w:t xml:space="preserve">години. Единадесет пациента са достигнали бърз </w:t>
      </w:r>
      <w:r w:rsidRPr="00FE6AC6">
        <w:rPr>
          <w:color w:val="000000"/>
          <w:szCs w:val="22"/>
        </w:rPr>
        <w:t>CHR</w:t>
      </w:r>
      <w:r w:rsidRPr="00FE6AC6">
        <w:rPr>
          <w:color w:val="000000"/>
          <w:szCs w:val="22"/>
          <w:lang w:val="bg-BG"/>
        </w:rPr>
        <w:t xml:space="preserve">; при десет се наблюдава пълно отзвучаване на цитогенетичните аномалии и намаляване или изчезване на измерените с </w:t>
      </w:r>
      <w:r w:rsidRPr="00FE6AC6">
        <w:rPr>
          <w:color w:val="000000"/>
          <w:szCs w:val="22"/>
        </w:rPr>
        <w:t>RT</w:t>
      </w:r>
      <w:r w:rsidRPr="00FE6AC6">
        <w:rPr>
          <w:color w:val="000000"/>
          <w:szCs w:val="22"/>
          <w:lang w:val="bg-BG"/>
        </w:rPr>
        <w:t>-</w:t>
      </w:r>
      <w:r w:rsidRPr="00FE6AC6">
        <w:rPr>
          <w:color w:val="000000"/>
          <w:szCs w:val="22"/>
        </w:rPr>
        <w:t>PCR</w:t>
      </w:r>
      <w:r w:rsidRPr="00FE6AC6">
        <w:rPr>
          <w:color w:val="000000"/>
          <w:szCs w:val="22"/>
          <w:lang w:val="bg-BG"/>
        </w:rPr>
        <w:t xml:space="preserve"> фузионни транскрипти. Хематологичния и цитогенетичен отговор са били поддържани за медиана на време от 49</w:t>
      </w:r>
      <w:r w:rsidRPr="00FE6AC6">
        <w:rPr>
          <w:color w:val="000000"/>
          <w:szCs w:val="22"/>
        </w:rPr>
        <w:t> </w:t>
      </w:r>
      <w:r w:rsidRPr="00FE6AC6">
        <w:rPr>
          <w:color w:val="000000"/>
          <w:szCs w:val="22"/>
          <w:lang w:val="bg-BG"/>
        </w:rPr>
        <w:t>месеца (варират 19</w:t>
      </w:r>
      <w:r w:rsidRPr="00FE6AC6">
        <w:rPr>
          <w:color w:val="000000"/>
          <w:szCs w:val="22"/>
          <w:lang w:val="bg-BG"/>
        </w:rPr>
        <w:noBreakHyphen/>
        <w:t>60) и 47</w:t>
      </w:r>
      <w:r w:rsidRPr="00FE6AC6">
        <w:rPr>
          <w:color w:val="000000"/>
          <w:szCs w:val="22"/>
        </w:rPr>
        <w:t> </w:t>
      </w:r>
      <w:r w:rsidRPr="00FE6AC6">
        <w:rPr>
          <w:color w:val="000000"/>
          <w:szCs w:val="22"/>
          <w:lang w:val="bg-BG"/>
        </w:rPr>
        <w:t>месеца (варират 16</w:t>
      </w:r>
      <w:r w:rsidRPr="00FE6AC6">
        <w:rPr>
          <w:color w:val="000000"/>
          <w:szCs w:val="22"/>
          <w:lang w:val="bg-BG"/>
        </w:rPr>
        <w:noBreakHyphen/>
        <w:t>59), съответно. Общата преживяемост е 65</w:t>
      </w:r>
      <w:r w:rsidRPr="00FE6AC6">
        <w:rPr>
          <w:color w:val="000000"/>
          <w:szCs w:val="22"/>
        </w:rPr>
        <w:t> </w:t>
      </w:r>
      <w:r w:rsidRPr="00FE6AC6">
        <w:rPr>
          <w:color w:val="000000"/>
          <w:szCs w:val="22"/>
          <w:lang w:val="bg-BG"/>
        </w:rPr>
        <w:t>месеца от диагностицирането (варира 25</w:t>
      </w:r>
      <w:r w:rsidRPr="00FE6AC6">
        <w:rPr>
          <w:color w:val="000000"/>
          <w:szCs w:val="22"/>
          <w:lang w:val="bg-BG"/>
        </w:rPr>
        <w:noBreakHyphen/>
        <w:t xml:space="preserve">234). Прилагането на </w:t>
      </w:r>
      <w:r w:rsidRPr="00FE6AC6">
        <w:rPr>
          <w:color w:val="000000"/>
          <w:szCs w:val="22"/>
        </w:rPr>
        <w:t>Glivec</w:t>
      </w:r>
      <w:r w:rsidRPr="00FE6AC6">
        <w:rPr>
          <w:color w:val="000000"/>
          <w:szCs w:val="22"/>
          <w:lang w:val="bg-BG"/>
        </w:rPr>
        <w:t xml:space="preserve"> при пациенти без генетичната транслокация като цяло не води до подобрение.</w:t>
      </w:r>
    </w:p>
    <w:p w14:paraId="3E550509" w14:textId="77777777" w:rsidR="001B628D" w:rsidRPr="00FE6AC6" w:rsidRDefault="001B628D" w:rsidP="0063575E">
      <w:pPr>
        <w:pStyle w:val="EndnoteText"/>
        <w:widowControl w:val="0"/>
        <w:tabs>
          <w:tab w:val="clear" w:pos="567"/>
        </w:tabs>
        <w:rPr>
          <w:color w:val="000000"/>
          <w:szCs w:val="22"/>
          <w:lang w:val="bg-BG"/>
        </w:rPr>
      </w:pPr>
    </w:p>
    <w:p w14:paraId="3E55050A" w14:textId="77777777" w:rsidR="001B628D" w:rsidRPr="00FE6AC6" w:rsidRDefault="001B628D" w:rsidP="0063575E">
      <w:pPr>
        <w:pStyle w:val="EndnoteText"/>
        <w:widowControl w:val="0"/>
        <w:tabs>
          <w:tab w:val="clear" w:pos="567"/>
        </w:tabs>
        <w:rPr>
          <w:color w:val="000000"/>
          <w:szCs w:val="22"/>
          <w:lang w:val="bg-BG"/>
        </w:rPr>
      </w:pPr>
      <w:r w:rsidRPr="00FE6AC6">
        <w:rPr>
          <w:color w:val="000000"/>
          <w:szCs w:val="22"/>
          <w:lang w:val="bg-BG"/>
        </w:rPr>
        <w:t xml:space="preserve">Няма контролирани изпитвания при педиатрични пациенти с МДС/МПЗ. В 4 публикации се съобщава за 5 пациенти с МДС/МПЗ, свързани с </w:t>
      </w:r>
      <w:r w:rsidRPr="00FE6AC6">
        <w:rPr>
          <w:color w:val="000000"/>
          <w:szCs w:val="22"/>
        </w:rPr>
        <w:t>PDGFR</w:t>
      </w:r>
      <w:r w:rsidRPr="00FE6AC6">
        <w:rPr>
          <w:color w:val="000000"/>
          <w:szCs w:val="22"/>
          <w:lang w:val="bg-BG"/>
        </w:rPr>
        <w:t xml:space="preserve"> генни пренареждания. Възрастта на тези пациенти варира от 3 месеца до 4 години, а иматиниб е прилаган в доза от 50</w:t>
      </w:r>
      <w:r w:rsidRPr="00FE6AC6">
        <w:rPr>
          <w:color w:val="000000"/>
          <w:szCs w:val="22"/>
          <w:lang w:val="en-US"/>
        </w:rPr>
        <w:t> mg</w:t>
      </w:r>
      <w:r w:rsidRPr="00FE6AC6">
        <w:rPr>
          <w:color w:val="000000"/>
          <w:szCs w:val="22"/>
          <w:lang w:val="bg-BG"/>
        </w:rPr>
        <w:t xml:space="preserve"> дневно или в дози в интервала от 92,5 до 340</w:t>
      </w:r>
      <w:r w:rsidRPr="00FE6AC6">
        <w:rPr>
          <w:color w:val="000000"/>
          <w:szCs w:val="22"/>
        </w:rPr>
        <w:t> mg</w:t>
      </w:r>
      <w:r w:rsidRPr="00FE6AC6">
        <w:rPr>
          <w:color w:val="000000"/>
          <w:szCs w:val="22"/>
          <w:lang w:val="bg-BG"/>
        </w:rPr>
        <w:t>/</w:t>
      </w:r>
      <w:r w:rsidRPr="00FE6AC6">
        <w:rPr>
          <w:color w:val="000000"/>
          <w:szCs w:val="22"/>
        </w:rPr>
        <w:t>m</w:t>
      </w:r>
      <w:r w:rsidRPr="00FE6AC6">
        <w:rPr>
          <w:color w:val="000000"/>
          <w:szCs w:val="22"/>
          <w:vertAlign w:val="superscript"/>
          <w:lang w:val="bg-BG"/>
        </w:rPr>
        <w:t>2</w:t>
      </w:r>
      <w:r w:rsidRPr="00FE6AC6">
        <w:rPr>
          <w:color w:val="000000"/>
          <w:szCs w:val="22"/>
          <w:lang w:val="bg-BG"/>
        </w:rPr>
        <w:t xml:space="preserve"> дневно. При всички пациенти е постигнат пълен хематологичен, цитогенетичен и/или клиничен отговор.</w:t>
      </w:r>
    </w:p>
    <w:p w14:paraId="3E55050B" w14:textId="77777777" w:rsidR="001B628D" w:rsidRPr="00FE6AC6" w:rsidRDefault="001B628D" w:rsidP="0063575E">
      <w:pPr>
        <w:pStyle w:val="EndnoteText"/>
        <w:widowControl w:val="0"/>
        <w:tabs>
          <w:tab w:val="clear" w:pos="567"/>
        </w:tabs>
        <w:rPr>
          <w:color w:val="000000"/>
          <w:szCs w:val="22"/>
          <w:lang w:val="bg-BG"/>
        </w:rPr>
      </w:pPr>
    </w:p>
    <w:p w14:paraId="3E55050C" w14:textId="77777777" w:rsidR="001B628D" w:rsidRPr="00FE6AC6" w:rsidRDefault="001B628D" w:rsidP="0063575E">
      <w:pPr>
        <w:pStyle w:val="EndnoteText"/>
        <w:keepNext/>
        <w:widowControl w:val="0"/>
        <w:tabs>
          <w:tab w:val="clear" w:pos="567"/>
        </w:tabs>
        <w:rPr>
          <w:color w:val="000000"/>
          <w:szCs w:val="22"/>
          <w:u w:val="single"/>
          <w:lang w:val="bg-BG"/>
        </w:rPr>
      </w:pPr>
      <w:r w:rsidRPr="00FE6AC6">
        <w:rPr>
          <w:color w:val="000000"/>
          <w:szCs w:val="22"/>
          <w:u w:val="single"/>
          <w:lang w:val="bg-BG"/>
        </w:rPr>
        <w:t>Клинични проучвания при ХЕС/ХЕЛ</w:t>
      </w:r>
    </w:p>
    <w:p w14:paraId="3E55050D" w14:textId="77777777" w:rsidR="001B628D" w:rsidRPr="00FE6AC6" w:rsidRDefault="001B628D" w:rsidP="0063575E">
      <w:pPr>
        <w:pStyle w:val="Text"/>
        <w:widowControl w:val="0"/>
        <w:spacing w:before="0"/>
        <w:jc w:val="left"/>
        <w:rPr>
          <w:color w:val="000000"/>
          <w:sz w:val="22"/>
          <w:szCs w:val="22"/>
          <w:lang w:val="bg-BG"/>
        </w:rPr>
      </w:pPr>
      <w:r w:rsidRPr="00FE6AC6">
        <w:rPr>
          <w:color w:val="000000"/>
          <w:sz w:val="22"/>
          <w:szCs w:val="22"/>
          <w:lang w:val="bg-BG" w:eastAsia="ja-JP"/>
        </w:rPr>
        <w:t xml:space="preserve">Отворено, мултицентрово, фаза </w:t>
      </w:r>
      <w:r w:rsidRPr="00FE6AC6">
        <w:rPr>
          <w:color w:val="000000"/>
          <w:sz w:val="22"/>
          <w:szCs w:val="22"/>
          <w:lang w:val="en-GB" w:eastAsia="ja-JP"/>
        </w:rPr>
        <w:t>II</w:t>
      </w:r>
      <w:r w:rsidRPr="00FE6AC6">
        <w:rPr>
          <w:color w:val="000000"/>
          <w:sz w:val="22"/>
          <w:szCs w:val="22"/>
          <w:lang w:val="bg-BG" w:eastAsia="ja-JP"/>
        </w:rPr>
        <w:t xml:space="preserve"> клинично проучване (проучване </w:t>
      </w:r>
      <w:r w:rsidRPr="00FE6AC6">
        <w:rPr>
          <w:color w:val="000000"/>
          <w:sz w:val="22"/>
          <w:szCs w:val="22"/>
          <w:lang w:val="en-GB" w:eastAsia="ja-JP"/>
        </w:rPr>
        <w:t>B</w:t>
      </w:r>
      <w:r w:rsidRPr="00FE6AC6">
        <w:rPr>
          <w:color w:val="000000"/>
          <w:sz w:val="22"/>
          <w:szCs w:val="22"/>
          <w:lang w:val="bg-BG" w:eastAsia="ja-JP"/>
        </w:rPr>
        <w:t xml:space="preserve">2225) е било проведено за изпитване на </w:t>
      </w:r>
      <w:r w:rsidRPr="00FE6AC6">
        <w:rPr>
          <w:color w:val="000000"/>
          <w:sz w:val="22"/>
          <w:szCs w:val="22"/>
          <w:lang w:val="en-GB" w:eastAsia="ja-JP"/>
        </w:rPr>
        <w:t>Glivec</w:t>
      </w:r>
      <w:r w:rsidRPr="00FE6AC6">
        <w:rPr>
          <w:color w:val="000000"/>
          <w:sz w:val="22"/>
          <w:szCs w:val="22"/>
          <w:lang w:val="bg-BG" w:eastAsia="ja-JP"/>
        </w:rPr>
        <w:t xml:space="preserve"> при различни популации пациенти, страдащи от животозастрашаващи заболявания свързани с </w:t>
      </w:r>
      <w:r w:rsidRPr="00FE6AC6">
        <w:rPr>
          <w:color w:val="000000"/>
          <w:sz w:val="22"/>
          <w:szCs w:val="22"/>
          <w:lang w:val="en-GB" w:eastAsia="ja-JP"/>
        </w:rPr>
        <w:t>Abl</w:t>
      </w:r>
      <w:r w:rsidRPr="00FE6AC6">
        <w:rPr>
          <w:color w:val="000000"/>
          <w:sz w:val="22"/>
          <w:szCs w:val="22"/>
          <w:lang w:val="bg-BG" w:eastAsia="ja-JP"/>
        </w:rPr>
        <w:t xml:space="preserve">, </w:t>
      </w:r>
      <w:r w:rsidRPr="00FE6AC6">
        <w:rPr>
          <w:color w:val="000000"/>
          <w:sz w:val="22"/>
          <w:szCs w:val="22"/>
          <w:lang w:val="en-GB" w:eastAsia="ja-JP"/>
        </w:rPr>
        <w:t>Kit</w:t>
      </w:r>
      <w:r w:rsidRPr="00FE6AC6">
        <w:rPr>
          <w:color w:val="000000"/>
          <w:sz w:val="22"/>
          <w:szCs w:val="22"/>
          <w:lang w:val="bg-BG" w:eastAsia="ja-JP"/>
        </w:rPr>
        <w:t xml:space="preserve"> или </w:t>
      </w:r>
      <w:r w:rsidRPr="00FE6AC6">
        <w:rPr>
          <w:color w:val="000000"/>
          <w:sz w:val="22"/>
          <w:szCs w:val="22"/>
          <w:lang w:val="en-GB" w:eastAsia="ja-JP"/>
        </w:rPr>
        <w:t>PDGFR</w:t>
      </w:r>
      <w:r w:rsidRPr="00FE6AC6">
        <w:rPr>
          <w:color w:val="000000"/>
          <w:sz w:val="22"/>
          <w:szCs w:val="22"/>
          <w:lang w:val="bg-BG" w:eastAsia="ja-JP"/>
        </w:rPr>
        <w:t xml:space="preserve"> протеин тирозин кинази. При това проучване, 14</w:t>
      </w:r>
      <w:r w:rsidRPr="00FE6AC6">
        <w:rPr>
          <w:color w:val="000000"/>
          <w:sz w:val="22"/>
          <w:szCs w:val="22"/>
          <w:lang w:val="en-GB" w:eastAsia="ja-JP"/>
        </w:rPr>
        <w:t> </w:t>
      </w:r>
      <w:r w:rsidRPr="00FE6AC6">
        <w:rPr>
          <w:color w:val="000000"/>
          <w:sz w:val="22"/>
          <w:szCs w:val="22"/>
          <w:lang w:val="bg-BG" w:eastAsia="ja-JP"/>
        </w:rPr>
        <w:t>пациента с ХЕС/ХЕЛ са били лекувани с от 100</w:t>
      </w:r>
      <w:r w:rsidRPr="00FE6AC6">
        <w:rPr>
          <w:color w:val="000000"/>
          <w:sz w:val="22"/>
          <w:szCs w:val="22"/>
          <w:lang w:val="en-GB" w:eastAsia="ja-JP"/>
        </w:rPr>
        <w:t> mg</w:t>
      </w:r>
      <w:r w:rsidRPr="00FE6AC6">
        <w:rPr>
          <w:color w:val="000000"/>
          <w:sz w:val="22"/>
          <w:szCs w:val="22"/>
          <w:lang w:val="bg-BG" w:eastAsia="ja-JP"/>
        </w:rPr>
        <w:t xml:space="preserve"> до 1</w:t>
      </w:r>
      <w:r w:rsidRPr="00FE6AC6">
        <w:rPr>
          <w:color w:val="000000"/>
          <w:sz w:val="22"/>
          <w:szCs w:val="22"/>
          <w:lang w:val="de-CH" w:eastAsia="ja-JP"/>
        </w:rPr>
        <w:t> </w:t>
      </w:r>
      <w:r w:rsidRPr="00FE6AC6">
        <w:rPr>
          <w:color w:val="000000"/>
          <w:sz w:val="22"/>
          <w:szCs w:val="22"/>
          <w:lang w:val="bg-BG" w:eastAsia="ja-JP"/>
        </w:rPr>
        <w:t>000</w:t>
      </w:r>
      <w:r w:rsidRPr="00FE6AC6">
        <w:rPr>
          <w:color w:val="000000"/>
          <w:sz w:val="22"/>
          <w:szCs w:val="22"/>
          <w:lang w:val="en-GB" w:eastAsia="ja-JP"/>
        </w:rPr>
        <w:t> mg</w:t>
      </w:r>
      <w:r w:rsidRPr="00FE6AC6">
        <w:rPr>
          <w:color w:val="000000"/>
          <w:sz w:val="22"/>
          <w:szCs w:val="22"/>
          <w:lang w:val="bg-BG" w:eastAsia="ja-JP"/>
        </w:rPr>
        <w:t xml:space="preserve"> </w:t>
      </w:r>
      <w:r w:rsidRPr="00FE6AC6">
        <w:rPr>
          <w:color w:val="000000"/>
          <w:sz w:val="22"/>
          <w:szCs w:val="22"/>
          <w:lang w:val="en-GB" w:eastAsia="ja-JP"/>
        </w:rPr>
        <w:t>Glivec</w:t>
      </w:r>
      <w:r w:rsidRPr="00FE6AC6">
        <w:rPr>
          <w:color w:val="000000"/>
          <w:sz w:val="22"/>
          <w:szCs w:val="22"/>
          <w:lang w:val="bg-BG" w:eastAsia="ja-JP"/>
        </w:rPr>
        <w:t xml:space="preserve"> дневно. Други 162</w:t>
      </w:r>
      <w:r w:rsidRPr="00FE6AC6">
        <w:rPr>
          <w:color w:val="000000"/>
          <w:sz w:val="22"/>
          <w:szCs w:val="22"/>
          <w:lang w:val="en-GB" w:eastAsia="ja-JP"/>
        </w:rPr>
        <w:t> </w:t>
      </w:r>
      <w:r w:rsidRPr="00FE6AC6">
        <w:rPr>
          <w:color w:val="000000"/>
          <w:sz w:val="22"/>
          <w:szCs w:val="22"/>
          <w:lang w:val="bg-BG" w:eastAsia="ja-JP"/>
        </w:rPr>
        <w:t xml:space="preserve">пациента с ХЕС/ХЕЛ, докладвани в </w:t>
      </w:r>
      <w:r w:rsidRPr="00FE6AC6">
        <w:rPr>
          <w:color w:val="000000"/>
          <w:sz w:val="22"/>
          <w:szCs w:val="22"/>
          <w:lang w:val="bg-BG"/>
        </w:rPr>
        <w:t>35</w:t>
      </w:r>
      <w:r w:rsidRPr="00FE6AC6">
        <w:rPr>
          <w:color w:val="000000"/>
          <w:sz w:val="22"/>
          <w:szCs w:val="22"/>
          <w:lang w:val="en-GB"/>
        </w:rPr>
        <w:t> </w:t>
      </w:r>
      <w:r w:rsidRPr="00FE6AC6">
        <w:rPr>
          <w:color w:val="000000"/>
          <w:sz w:val="22"/>
          <w:szCs w:val="22"/>
          <w:lang w:val="bg-BG"/>
        </w:rPr>
        <w:t xml:space="preserve">публикувани клинични случая и серии от случаи са приемали </w:t>
      </w:r>
      <w:r w:rsidRPr="00FE6AC6">
        <w:rPr>
          <w:color w:val="000000"/>
          <w:sz w:val="22"/>
          <w:szCs w:val="22"/>
          <w:lang w:val="en-GB"/>
        </w:rPr>
        <w:t>Glivec</w:t>
      </w:r>
      <w:r w:rsidRPr="00FE6AC6">
        <w:rPr>
          <w:color w:val="000000"/>
          <w:sz w:val="22"/>
          <w:szCs w:val="22"/>
          <w:lang w:val="bg-BG"/>
        </w:rPr>
        <w:t xml:space="preserve"> в дози от 75</w:t>
      </w:r>
      <w:r w:rsidRPr="00FE6AC6">
        <w:rPr>
          <w:color w:val="000000"/>
          <w:sz w:val="22"/>
          <w:szCs w:val="22"/>
          <w:lang w:val="en-GB"/>
        </w:rPr>
        <w:t> mg</w:t>
      </w:r>
      <w:r w:rsidRPr="00FE6AC6">
        <w:rPr>
          <w:color w:val="000000"/>
          <w:sz w:val="22"/>
          <w:szCs w:val="22"/>
          <w:lang w:val="bg-BG"/>
        </w:rPr>
        <w:t xml:space="preserve"> до 800</w:t>
      </w:r>
      <w:r w:rsidRPr="00FE6AC6">
        <w:rPr>
          <w:color w:val="000000"/>
          <w:sz w:val="22"/>
          <w:szCs w:val="22"/>
          <w:lang w:val="en-GB"/>
        </w:rPr>
        <w:t> mg</w:t>
      </w:r>
      <w:r w:rsidRPr="00FE6AC6">
        <w:rPr>
          <w:color w:val="000000"/>
          <w:sz w:val="22"/>
          <w:szCs w:val="22"/>
          <w:lang w:val="bg-BG"/>
        </w:rPr>
        <w:t xml:space="preserve"> дневно. Цитогенетичните аномалии са оценени при 117 от общата популация от 176</w:t>
      </w:r>
      <w:r w:rsidRPr="00FE6AC6">
        <w:rPr>
          <w:color w:val="000000"/>
          <w:sz w:val="22"/>
          <w:szCs w:val="22"/>
          <w:lang w:val="en-GB"/>
        </w:rPr>
        <w:t> </w:t>
      </w:r>
      <w:r w:rsidRPr="00FE6AC6">
        <w:rPr>
          <w:color w:val="000000"/>
          <w:sz w:val="22"/>
          <w:szCs w:val="22"/>
          <w:lang w:val="bg-BG"/>
        </w:rPr>
        <w:t>пациента. При 61 от тези 117</w:t>
      </w:r>
      <w:r w:rsidRPr="00FE6AC6">
        <w:rPr>
          <w:color w:val="000000"/>
          <w:sz w:val="22"/>
          <w:szCs w:val="22"/>
          <w:lang w:val="en-GB"/>
        </w:rPr>
        <w:t> </w:t>
      </w:r>
      <w:r w:rsidRPr="00FE6AC6">
        <w:rPr>
          <w:color w:val="000000"/>
          <w:sz w:val="22"/>
          <w:szCs w:val="22"/>
          <w:lang w:val="bg-BG"/>
        </w:rPr>
        <w:t xml:space="preserve">пациента е идентифицирана </w:t>
      </w:r>
      <w:r w:rsidRPr="00FE6AC6">
        <w:rPr>
          <w:color w:val="000000"/>
          <w:sz w:val="22"/>
          <w:szCs w:val="22"/>
          <w:lang w:val="en-GB"/>
        </w:rPr>
        <w:t>FIP</w:t>
      </w:r>
      <w:r w:rsidRPr="00FE6AC6">
        <w:rPr>
          <w:color w:val="000000"/>
          <w:sz w:val="22"/>
          <w:szCs w:val="22"/>
          <w:lang w:val="bg-BG"/>
        </w:rPr>
        <w:t>1</w:t>
      </w:r>
      <w:r w:rsidRPr="00FE6AC6">
        <w:rPr>
          <w:color w:val="000000"/>
          <w:sz w:val="22"/>
          <w:szCs w:val="22"/>
          <w:lang w:val="en-GB"/>
        </w:rPr>
        <w:t>L</w:t>
      </w:r>
      <w:r w:rsidRPr="00FE6AC6">
        <w:rPr>
          <w:color w:val="000000"/>
          <w:sz w:val="22"/>
          <w:szCs w:val="22"/>
          <w:lang w:val="bg-BG"/>
        </w:rPr>
        <w:t>1-</w:t>
      </w:r>
      <w:r w:rsidRPr="00FE6AC6">
        <w:rPr>
          <w:color w:val="000000"/>
          <w:sz w:val="22"/>
          <w:szCs w:val="22"/>
          <w:lang w:val="en-GB"/>
        </w:rPr>
        <w:t>PDGFRα</w:t>
      </w:r>
      <w:r w:rsidRPr="00FE6AC6">
        <w:rPr>
          <w:color w:val="000000"/>
          <w:sz w:val="22"/>
          <w:szCs w:val="22"/>
          <w:lang w:val="bg-BG"/>
        </w:rPr>
        <w:t xml:space="preserve"> фузионна киназа. Освен това, четири </w:t>
      </w:r>
      <w:r w:rsidRPr="00FE6AC6">
        <w:rPr>
          <w:color w:val="000000"/>
          <w:sz w:val="22"/>
          <w:szCs w:val="22"/>
          <w:lang w:val="en-GB"/>
        </w:rPr>
        <w:t>HES</w:t>
      </w:r>
      <w:r w:rsidRPr="00FE6AC6">
        <w:rPr>
          <w:color w:val="000000"/>
          <w:sz w:val="22"/>
          <w:szCs w:val="22"/>
          <w:lang w:val="bg-BG"/>
        </w:rPr>
        <w:t xml:space="preserve"> пациента са диагностицирани като </w:t>
      </w:r>
      <w:r w:rsidRPr="00FE6AC6">
        <w:rPr>
          <w:color w:val="000000"/>
          <w:sz w:val="22"/>
          <w:szCs w:val="22"/>
          <w:lang w:val="en-GB"/>
        </w:rPr>
        <w:t>FIP</w:t>
      </w:r>
      <w:r w:rsidRPr="00FE6AC6">
        <w:rPr>
          <w:color w:val="000000"/>
          <w:sz w:val="22"/>
          <w:szCs w:val="22"/>
          <w:lang w:val="bg-BG"/>
        </w:rPr>
        <w:t>1</w:t>
      </w:r>
      <w:r w:rsidRPr="00FE6AC6">
        <w:rPr>
          <w:color w:val="000000"/>
          <w:sz w:val="22"/>
          <w:szCs w:val="22"/>
          <w:lang w:val="en-GB"/>
        </w:rPr>
        <w:t>L</w:t>
      </w:r>
      <w:r w:rsidRPr="00FE6AC6">
        <w:rPr>
          <w:color w:val="000000"/>
          <w:sz w:val="22"/>
          <w:szCs w:val="22"/>
          <w:lang w:val="bg-BG"/>
        </w:rPr>
        <w:t>1-</w:t>
      </w:r>
      <w:r w:rsidRPr="00FE6AC6">
        <w:rPr>
          <w:color w:val="000000"/>
          <w:sz w:val="22"/>
          <w:szCs w:val="22"/>
          <w:lang w:val="en-GB"/>
        </w:rPr>
        <w:t>PDGFRα</w:t>
      </w:r>
      <w:r w:rsidRPr="00FE6AC6">
        <w:rPr>
          <w:color w:val="000000"/>
          <w:sz w:val="22"/>
          <w:szCs w:val="22"/>
          <w:lang w:val="bg-BG"/>
        </w:rPr>
        <w:t>-позитивни в 3</w:t>
      </w:r>
      <w:r w:rsidRPr="00FE6AC6">
        <w:rPr>
          <w:color w:val="000000"/>
          <w:sz w:val="22"/>
          <w:szCs w:val="22"/>
          <w:lang w:val="en-GB"/>
        </w:rPr>
        <w:t> </w:t>
      </w:r>
      <w:r w:rsidRPr="00FE6AC6">
        <w:rPr>
          <w:color w:val="000000"/>
          <w:sz w:val="22"/>
          <w:szCs w:val="22"/>
          <w:lang w:val="bg-BG"/>
        </w:rPr>
        <w:t>други публикувани доклада. Всички 65 </w:t>
      </w:r>
      <w:r w:rsidRPr="00FE6AC6">
        <w:rPr>
          <w:color w:val="000000"/>
          <w:sz w:val="22"/>
          <w:szCs w:val="22"/>
          <w:lang w:val="en-GB"/>
        </w:rPr>
        <w:t>FIP</w:t>
      </w:r>
      <w:r w:rsidRPr="00FE6AC6">
        <w:rPr>
          <w:color w:val="000000"/>
          <w:sz w:val="22"/>
          <w:szCs w:val="22"/>
          <w:lang w:val="bg-BG"/>
        </w:rPr>
        <w:t>1</w:t>
      </w:r>
      <w:r w:rsidRPr="00FE6AC6">
        <w:rPr>
          <w:color w:val="000000"/>
          <w:sz w:val="22"/>
          <w:szCs w:val="22"/>
          <w:lang w:val="en-GB"/>
        </w:rPr>
        <w:t>L</w:t>
      </w:r>
      <w:r w:rsidRPr="00FE6AC6">
        <w:rPr>
          <w:color w:val="000000"/>
          <w:sz w:val="22"/>
          <w:szCs w:val="22"/>
          <w:lang w:val="bg-BG"/>
        </w:rPr>
        <w:t>1-</w:t>
      </w:r>
      <w:r w:rsidRPr="00FE6AC6">
        <w:rPr>
          <w:color w:val="000000"/>
          <w:sz w:val="22"/>
          <w:szCs w:val="22"/>
          <w:lang w:val="en-GB"/>
        </w:rPr>
        <w:t>PDGFRα</w:t>
      </w:r>
      <w:r w:rsidRPr="00FE6AC6">
        <w:rPr>
          <w:color w:val="000000"/>
          <w:sz w:val="22"/>
          <w:szCs w:val="22"/>
          <w:lang w:val="bg-BG"/>
        </w:rPr>
        <w:t xml:space="preserve"> фузионна киназа-позитивни пациенти са постигнали </w:t>
      </w:r>
      <w:r w:rsidRPr="00FE6AC6">
        <w:rPr>
          <w:color w:val="000000"/>
          <w:sz w:val="22"/>
          <w:szCs w:val="22"/>
          <w:lang w:val="en-GB"/>
        </w:rPr>
        <w:t>CHR</w:t>
      </w:r>
      <w:r w:rsidRPr="00FE6AC6">
        <w:rPr>
          <w:color w:val="000000"/>
          <w:sz w:val="22"/>
          <w:szCs w:val="22"/>
          <w:lang w:val="bg-BG"/>
        </w:rPr>
        <w:t>, подържан в продължение на месеци (варира от 1+ до 44+ месеца измерени към датата на докладване). Както се докладва в скорошна публикация, 21 от тези 65</w:t>
      </w:r>
      <w:r w:rsidRPr="00FE6AC6">
        <w:rPr>
          <w:color w:val="000000"/>
          <w:sz w:val="22"/>
          <w:szCs w:val="22"/>
          <w:lang w:val="en-GB"/>
        </w:rPr>
        <w:t> </w:t>
      </w:r>
      <w:r w:rsidRPr="00FE6AC6">
        <w:rPr>
          <w:color w:val="000000"/>
          <w:sz w:val="22"/>
          <w:szCs w:val="22"/>
          <w:lang w:val="bg-BG"/>
        </w:rPr>
        <w:t>пациента също са постигнали пълна молекулярна ремисия при медиана на проследяване от 28</w:t>
      </w:r>
      <w:r w:rsidRPr="00FE6AC6">
        <w:rPr>
          <w:color w:val="000000"/>
          <w:sz w:val="22"/>
          <w:szCs w:val="22"/>
          <w:lang w:val="en-GB"/>
        </w:rPr>
        <w:t> </w:t>
      </w:r>
      <w:r w:rsidRPr="00FE6AC6">
        <w:rPr>
          <w:color w:val="000000"/>
          <w:sz w:val="22"/>
          <w:szCs w:val="22"/>
          <w:lang w:val="bg-BG"/>
        </w:rPr>
        <w:t>месеца (варира 13</w:t>
      </w:r>
      <w:r w:rsidRPr="00FE6AC6">
        <w:rPr>
          <w:color w:val="000000"/>
          <w:sz w:val="22"/>
          <w:szCs w:val="22"/>
          <w:lang w:val="bg-BG"/>
        </w:rPr>
        <w:noBreakHyphen/>
        <w:t>67</w:t>
      </w:r>
      <w:r w:rsidRPr="00FE6AC6">
        <w:rPr>
          <w:color w:val="000000"/>
          <w:sz w:val="22"/>
          <w:szCs w:val="22"/>
          <w:lang w:val="en-GB"/>
        </w:rPr>
        <w:t> </w:t>
      </w:r>
      <w:r w:rsidRPr="00FE6AC6">
        <w:rPr>
          <w:color w:val="000000"/>
          <w:sz w:val="22"/>
          <w:szCs w:val="22"/>
          <w:lang w:val="bg-BG"/>
        </w:rPr>
        <w:t>месеца). Възрастта на тези пациенти варира от 25 до 72</w:t>
      </w:r>
      <w:r w:rsidRPr="00FE6AC6">
        <w:rPr>
          <w:color w:val="000000"/>
          <w:sz w:val="22"/>
          <w:szCs w:val="22"/>
        </w:rPr>
        <w:t> </w:t>
      </w:r>
      <w:r w:rsidRPr="00FE6AC6">
        <w:rPr>
          <w:color w:val="000000"/>
          <w:sz w:val="22"/>
          <w:szCs w:val="22"/>
          <w:lang w:val="bg-BG"/>
        </w:rPr>
        <w:t>години.</w:t>
      </w:r>
      <w:r w:rsidRPr="00FE6AC6">
        <w:rPr>
          <w:color w:val="000000"/>
          <w:szCs w:val="22"/>
          <w:lang w:val="bg-BG"/>
        </w:rPr>
        <w:t xml:space="preserve"> </w:t>
      </w:r>
      <w:r w:rsidRPr="00FE6AC6">
        <w:rPr>
          <w:color w:val="000000"/>
          <w:sz w:val="22"/>
          <w:szCs w:val="22"/>
          <w:lang w:val="bg-BG"/>
        </w:rPr>
        <w:t>В допълнение, от изследователите са били докладвани в отделни клинични случаи подобрение в симптоматиката и другите органни нарушения. Подобрения се докладват в сърдечната, нервната, кожа/подкожни тъкани, дихателна/торакална/медиастинална, скелетно-мускулна/съединителнотъкънна/съдова и стомашно-чревна органни системи.</w:t>
      </w:r>
    </w:p>
    <w:p w14:paraId="3E55050E" w14:textId="77777777" w:rsidR="001B628D" w:rsidRPr="00FE6AC6" w:rsidRDefault="001B628D" w:rsidP="0063575E">
      <w:pPr>
        <w:pStyle w:val="Text"/>
        <w:widowControl w:val="0"/>
        <w:spacing w:before="0"/>
        <w:jc w:val="left"/>
        <w:rPr>
          <w:color w:val="000000"/>
          <w:sz w:val="22"/>
          <w:szCs w:val="22"/>
          <w:lang w:val="bg-BG"/>
        </w:rPr>
      </w:pPr>
    </w:p>
    <w:p w14:paraId="3E55050F" w14:textId="77777777" w:rsidR="001B628D" w:rsidRPr="00FE6AC6" w:rsidRDefault="001B628D" w:rsidP="0063575E">
      <w:pPr>
        <w:pStyle w:val="Text"/>
        <w:widowControl w:val="0"/>
        <w:spacing w:before="0"/>
        <w:jc w:val="left"/>
        <w:rPr>
          <w:color w:val="000000"/>
          <w:sz w:val="22"/>
          <w:szCs w:val="22"/>
          <w:lang w:val="bg-BG"/>
        </w:rPr>
      </w:pPr>
      <w:r w:rsidRPr="00FE6AC6">
        <w:rPr>
          <w:color w:val="000000"/>
          <w:sz w:val="22"/>
          <w:szCs w:val="22"/>
          <w:lang w:val="bg-BG"/>
        </w:rPr>
        <w:t xml:space="preserve">Няма контролирани клинични изпитвания при педиатрични пациенти с ХЕС/ХЕЛ. В 3 публикации се съобщава за 3 пациенти с ХЕС и ХЕЛ, свързани с </w:t>
      </w:r>
      <w:r w:rsidRPr="00FE6AC6">
        <w:rPr>
          <w:color w:val="000000"/>
          <w:sz w:val="22"/>
          <w:szCs w:val="22"/>
        </w:rPr>
        <w:t>PDGFR</w:t>
      </w:r>
      <w:r w:rsidRPr="00FE6AC6">
        <w:rPr>
          <w:color w:val="000000"/>
          <w:sz w:val="22"/>
          <w:szCs w:val="22"/>
          <w:lang w:val="bg-BG"/>
        </w:rPr>
        <w:t xml:space="preserve"> генни пренареждания. Възрастта на тези пациенти варира от 2 до 16 години, а иматиниб е прилаган в доза от 300</w:t>
      </w:r>
      <w:r w:rsidRPr="00FE6AC6">
        <w:rPr>
          <w:color w:val="000000"/>
          <w:sz w:val="22"/>
          <w:szCs w:val="22"/>
        </w:rPr>
        <w:t> </w:t>
      </w:r>
      <w:r w:rsidRPr="00FE6AC6">
        <w:rPr>
          <w:color w:val="000000"/>
          <w:sz w:val="22"/>
          <w:szCs w:val="22"/>
          <w:lang w:val="en-GB"/>
        </w:rPr>
        <w:t>mg</w:t>
      </w:r>
      <w:r w:rsidRPr="00FE6AC6">
        <w:rPr>
          <w:color w:val="000000"/>
          <w:sz w:val="22"/>
          <w:szCs w:val="22"/>
          <w:lang w:val="bg-BG"/>
        </w:rPr>
        <w:t>/</w:t>
      </w:r>
      <w:r w:rsidRPr="00FE6AC6">
        <w:rPr>
          <w:color w:val="000000"/>
          <w:sz w:val="22"/>
          <w:szCs w:val="22"/>
          <w:lang w:val="en-GB"/>
        </w:rPr>
        <w:t>m</w:t>
      </w:r>
      <w:r w:rsidRPr="00FE6AC6">
        <w:rPr>
          <w:color w:val="000000"/>
          <w:sz w:val="22"/>
          <w:szCs w:val="22"/>
          <w:vertAlign w:val="superscript"/>
          <w:lang w:val="bg-BG"/>
        </w:rPr>
        <w:t>2</w:t>
      </w:r>
      <w:r w:rsidRPr="00FE6AC6">
        <w:rPr>
          <w:color w:val="000000"/>
          <w:sz w:val="22"/>
          <w:szCs w:val="22"/>
          <w:lang w:val="bg-BG"/>
        </w:rPr>
        <w:t xml:space="preserve"> дневно или в дози в интервала от 200 до 400</w:t>
      </w:r>
      <w:r w:rsidRPr="00FE6AC6">
        <w:rPr>
          <w:color w:val="000000"/>
          <w:sz w:val="22"/>
          <w:szCs w:val="22"/>
        </w:rPr>
        <w:t> </w:t>
      </w:r>
      <w:r w:rsidRPr="00FE6AC6">
        <w:rPr>
          <w:color w:val="000000"/>
          <w:sz w:val="22"/>
          <w:szCs w:val="22"/>
          <w:lang w:val="en-GB"/>
        </w:rPr>
        <w:t>mg</w:t>
      </w:r>
      <w:r w:rsidRPr="00FE6AC6">
        <w:rPr>
          <w:color w:val="000000"/>
          <w:sz w:val="22"/>
          <w:szCs w:val="22"/>
          <w:lang w:val="bg-BG"/>
        </w:rPr>
        <w:t xml:space="preserve"> дневно. При всички пациенти е постигнат пълен хематологичен, пълен цитогенетичен и/или пълен молекулярен отговор.</w:t>
      </w:r>
    </w:p>
    <w:p w14:paraId="3E550510" w14:textId="77777777" w:rsidR="001B628D" w:rsidRPr="00FE6AC6" w:rsidRDefault="001B628D" w:rsidP="0063575E">
      <w:pPr>
        <w:widowControl w:val="0"/>
        <w:spacing w:line="240" w:lineRule="auto"/>
        <w:rPr>
          <w:color w:val="000000"/>
          <w:lang w:val="ru-RU"/>
        </w:rPr>
      </w:pPr>
    </w:p>
    <w:p w14:paraId="3E550511"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Клинични проучвания при неподлежащи на резекция и/или метастатични ГИСТ</w:t>
      </w:r>
    </w:p>
    <w:p w14:paraId="3E550512" w14:textId="77777777" w:rsidR="001B628D" w:rsidRPr="00FE6AC6" w:rsidRDefault="001B628D" w:rsidP="0063575E">
      <w:pPr>
        <w:widowControl w:val="0"/>
        <w:spacing w:line="240" w:lineRule="auto"/>
        <w:rPr>
          <w:color w:val="000000"/>
          <w:lang w:val="bg-BG"/>
        </w:rPr>
      </w:pPr>
      <w:r w:rsidRPr="00FE6AC6">
        <w:rPr>
          <w:color w:val="000000"/>
          <w:lang w:val="bg-BG"/>
        </w:rPr>
        <w:t xml:space="preserve">Проведено е едно фаза ІІ, отворено, рандомизирано, неконтролирано мултинационално проучване при пациенти с неподлежащи на резекция или метастатични злокачествени гастро-интестинални стромални тумори (ГИСТ). В това проучване са включени 147 пациенти, които са рандомизирани да получават перорално 400 mg или 600 mg веднъж дневно за период до 36 месеца. Възрастта на тези пациенти е от 18 до 83 години и са с патохистологична диагноза за положителен за Kit злокачествен ГИСТ, който не подлежи на хирургично отстраняване и/или е метастатичен. Извършено е рутинно имунохистохимично изследване с антитяло за Kit (A-4502, заешки поликлонален антисерум, 1:100; </w:t>
      </w:r>
      <w:r w:rsidRPr="00FE6AC6">
        <w:rPr>
          <w:i/>
          <w:color w:val="000000"/>
          <w:lang w:val="bg-BG"/>
        </w:rPr>
        <w:t>DAKO Corporation, Carpinteria, CA</w:t>
      </w:r>
      <w:r w:rsidRPr="00FE6AC6">
        <w:rPr>
          <w:color w:val="000000"/>
          <w:lang w:val="bg-BG"/>
        </w:rPr>
        <w:t>) в съответствие с анализа по авидин-биотин-пероксидазен метод след антигенно възстановяване.</w:t>
      </w:r>
    </w:p>
    <w:p w14:paraId="3E550513" w14:textId="77777777" w:rsidR="001B628D" w:rsidRPr="00FE6AC6" w:rsidRDefault="001B628D" w:rsidP="0063575E">
      <w:pPr>
        <w:widowControl w:val="0"/>
        <w:spacing w:line="240" w:lineRule="auto"/>
        <w:rPr>
          <w:color w:val="000000"/>
          <w:lang w:val="bg-BG"/>
        </w:rPr>
      </w:pPr>
    </w:p>
    <w:p w14:paraId="3E550514" w14:textId="77777777" w:rsidR="001B628D" w:rsidRPr="00FE6AC6" w:rsidRDefault="001B628D" w:rsidP="0063575E">
      <w:pPr>
        <w:widowControl w:val="0"/>
        <w:spacing w:line="240" w:lineRule="auto"/>
        <w:rPr>
          <w:color w:val="000000"/>
          <w:lang w:val="bg-BG"/>
        </w:rPr>
      </w:pPr>
      <w:r w:rsidRPr="00FE6AC6">
        <w:rPr>
          <w:color w:val="000000"/>
          <w:lang w:val="bg-BG"/>
        </w:rPr>
        <w:t xml:space="preserve">Първичните данни за ефикасността се основават на обективната степен на отговор. Необходимо е туморите да са измерими в поне едно от местата на засягане, а характеристиката на отговора се основава на критериите на </w:t>
      </w:r>
      <w:r w:rsidRPr="00FE6AC6">
        <w:rPr>
          <w:i/>
          <w:color w:val="000000"/>
          <w:lang w:val="bg-BG"/>
        </w:rPr>
        <w:t>Southwestern Oncology Group (SWOG).</w:t>
      </w:r>
      <w:r w:rsidRPr="00FE6AC6">
        <w:rPr>
          <w:color w:val="000000"/>
          <w:lang w:val="bg-BG"/>
        </w:rPr>
        <w:t xml:space="preserve"> Резултатите са представени в Таблица </w:t>
      </w:r>
      <w:r w:rsidR="00957E0E" w:rsidRPr="00FE6AC6">
        <w:rPr>
          <w:color w:val="000000"/>
          <w:lang w:val="bg-BG"/>
        </w:rPr>
        <w:t>6</w:t>
      </w:r>
      <w:r w:rsidRPr="00FE6AC6">
        <w:rPr>
          <w:color w:val="000000"/>
          <w:lang w:val="bg-BG"/>
        </w:rPr>
        <w:t>.</w:t>
      </w:r>
    </w:p>
    <w:p w14:paraId="3E550515" w14:textId="77777777" w:rsidR="001B628D" w:rsidRPr="00FE6AC6" w:rsidRDefault="001B628D" w:rsidP="0063575E">
      <w:pPr>
        <w:widowControl w:val="0"/>
        <w:spacing w:line="240" w:lineRule="auto"/>
        <w:rPr>
          <w:color w:val="000000"/>
          <w:lang w:val="bg-BG"/>
        </w:rPr>
      </w:pPr>
    </w:p>
    <w:p w14:paraId="3E550516" w14:textId="77777777" w:rsidR="001B628D" w:rsidRPr="00FE6AC6" w:rsidRDefault="001B628D" w:rsidP="00C90F9F">
      <w:pPr>
        <w:keepNext/>
        <w:widowControl w:val="0"/>
        <w:tabs>
          <w:tab w:val="clear" w:pos="567"/>
          <w:tab w:val="left" w:pos="1134"/>
        </w:tabs>
        <w:spacing w:line="240" w:lineRule="auto"/>
        <w:rPr>
          <w:color w:val="000000"/>
          <w:lang w:val="bg-BG"/>
        </w:rPr>
      </w:pPr>
      <w:r w:rsidRPr="00FE6AC6">
        <w:rPr>
          <w:b/>
          <w:color w:val="000000"/>
          <w:lang w:val="bg-BG"/>
        </w:rPr>
        <w:t>Таблица </w:t>
      </w:r>
      <w:r w:rsidR="00957E0E" w:rsidRPr="00FE6AC6">
        <w:rPr>
          <w:b/>
          <w:color w:val="000000"/>
          <w:lang w:val="bg-BG"/>
        </w:rPr>
        <w:t>6</w:t>
      </w:r>
      <w:r w:rsidRPr="00FE6AC6">
        <w:rPr>
          <w:b/>
          <w:color w:val="000000"/>
          <w:lang w:val="bg-BG"/>
        </w:rPr>
        <w:tab/>
        <w:t>Най–добър отговор от срана на тумора при проучване STIB2222 (ГИСТ)</w:t>
      </w:r>
    </w:p>
    <w:p w14:paraId="3E550517" w14:textId="77777777" w:rsidR="001B628D" w:rsidRPr="00FE6AC6" w:rsidRDefault="001B628D" w:rsidP="00C90F9F">
      <w:pPr>
        <w:keepNext/>
        <w:widowControl w:val="0"/>
        <w:spacing w:line="240" w:lineRule="auto"/>
        <w:rPr>
          <w:color w:val="000000"/>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1B628D" w:rsidRPr="00FE6AC6" w14:paraId="3E550520" w14:textId="77777777" w:rsidTr="00C90F9F">
        <w:trPr>
          <w:cantSplit/>
        </w:trPr>
        <w:tc>
          <w:tcPr>
            <w:tcW w:w="4643" w:type="dxa"/>
            <w:tcBorders>
              <w:left w:val="nil"/>
              <w:bottom w:val="single" w:sz="4" w:space="0" w:color="auto"/>
              <w:right w:val="nil"/>
            </w:tcBorders>
          </w:tcPr>
          <w:p w14:paraId="3E550518" w14:textId="77777777" w:rsidR="001B628D" w:rsidRPr="00FE6AC6" w:rsidRDefault="001B628D" w:rsidP="00C90F9F">
            <w:pPr>
              <w:pStyle w:val="EndnoteText"/>
              <w:keepNext/>
              <w:widowControl w:val="0"/>
              <w:tabs>
                <w:tab w:val="clear" w:pos="567"/>
              </w:tabs>
              <w:rPr>
                <w:color w:val="000000"/>
                <w:lang w:val="bg-BG"/>
              </w:rPr>
            </w:pPr>
          </w:p>
          <w:p w14:paraId="3E550519" w14:textId="77777777" w:rsidR="001B628D" w:rsidRPr="00FE6AC6" w:rsidRDefault="001B628D" w:rsidP="00C90F9F">
            <w:pPr>
              <w:pStyle w:val="EndnoteText"/>
              <w:keepNext/>
              <w:widowControl w:val="0"/>
              <w:tabs>
                <w:tab w:val="clear" w:pos="567"/>
              </w:tabs>
              <w:rPr>
                <w:color w:val="000000"/>
                <w:lang w:val="bg-BG"/>
              </w:rPr>
            </w:pPr>
          </w:p>
          <w:p w14:paraId="3E55051A" w14:textId="77777777" w:rsidR="001B628D" w:rsidRPr="00FE6AC6" w:rsidRDefault="001B628D" w:rsidP="00C90F9F">
            <w:pPr>
              <w:pStyle w:val="EndnoteText"/>
              <w:keepNext/>
              <w:widowControl w:val="0"/>
              <w:tabs>
                <w:tab w:val="clear" w:pos="567"/>
              </w:tabs>
              <w:rPr>
                <w:color w:val="000000"/>
                <w:lang w:val="bg-BG"/>
              </w:rPr>
            </w:pPr>
          </w:p>
          <w:p w14:paraId="3E55051B" w14:textId="77777777" w:rsidR="001B628D" w:rsidRPr="00FE6AC6" w:rsidRDefault="001B628D" w:rsidP="00C90F9F">
            <w:pPr>
              <w:pStyle w:val="EndnoteText"/>
              <w:keepNext/>
              <w:widowControl w:val="0"/>
              <w:tabs>
                <w:tab w:val="clear" w:pos="567"/>
              </w:tabs>
              <w:rPr>
                <w:color w:val="000000"/>
              </w:rPr>
            </w:pPr>
            <w:r w:rsidRPr="00FE6AC6">
              <w:rPr>
                <w:color w:val="000000"/>
                <w:lang w:val="bg-BG"/>
              </w:rPr>
              <w:t>Най-добър отговор</w:t>
            </w:r>
          </w:p>
        </w:tc>
        <w:tc>
          <w:tcPr>
            <w:tcW w:w="4643" w:type="dxa"/>
            <w:tcBorders>
              <w:left w:val="nil"/>
              <w:bottom w:val="single" w:sz="4" w:space="0" w:color="auto"/>
              <w:right w:val="nil"/>
            </w:tcBorders>
          </w:tcPr>
          <w:p w14:paraId="3E55051C" w14:textId="77777777" w:rsidR="001B628D" w:rsidRPr="00FE6AC6" w:rsidRDefault="001B628D" w:rsidP="00C90F9F">
            <w:pPr>
              <w:keepNext/>
              <w:widowControl w:val="0"/>
              <w:spacing w:line="240" w:lineRule="auto"/>
              <w:jc w:val="center"/>
              <w:rPr>
                <w:color w:val="000000"/>
                <w:lang w:val="bg-BG"/>
              </w:rPr>
            </w:pPr>
            <w:r w:rsidRPr="00FE6AC6">
              <w:rPr>
                <w:color w:val="000000"/>
                <w:lang w:val="bg-BG"/>
              </w:rPr>
              <w:t>Всички дози (n=147)</w:t>
            </w:r>
          </w:p>
          <w:p w14:paraId="3E55051D" w14:textId="77777777" w:rsidR="001B628D" w:rsidRPr="00FE6AC6" w:rsidRDefault="001B628D" w:rsidP="00C90F9F">
            <w:pPr>
              <w:keepNext/>
              <w:widowControl w:val="0"/>
              <w:spacing w:line="240" w:lineRule="auto"/>
              <w:jc w:val="center"/>
              <w:rPr>
                <w:color w:val="000000"/>
                <w:lang w:val="bg-BG"/>
              </w:rPr>
            </w:pPr>
            <w:r w:rsidRPr="00FE6AC6">
              <w:rPr>
                <w:color w:val="000000"/>
                <w:lang w:val="bg-BG"/>
              </w:rPr>
              <w:t>400 mg (n=73)</w:t>
            </w:r>
          </w:p>
          <w:p w14:paraId="3E55051E" w14:textId="77777777" w:rsidR="001B628D" w:rsidRPr="00FE6AC6" w:rsidRDefault="001B628D" w:rsidP="00C90F9F">
            <w:pPr>
              <w:pStyle w:val="EndnoteText"/>
              <w:keepNext/>
              <w:widowControl w:val="0"/>
              <w:tabs>
                <w:tab w:val="clear" w:pos="567"/>
              </w:tabs>
              <w:jc w:val="center"/>
              <w:rPr>
                <w:color w:val="000000"/>
              </w:rPr>
            </w:pPr>
            <w:r w:rsidRPr="00FE6AC6">
              <w:rPr>
                <w:color w:val="000000"/>
                <w:lang w:val="bg-BG"/>
              </w:rPr>
              <w:t>600 mg (n=74)</w:t>
            </w:r>
          </w:p>
          <w:p w14:paraId="3E55051F" w14:textId="77777777" w:rsidR="001B628D" w:rsidRPr="00FE6AC6" w:rsidRDefault="001B628D" w:rsidP="00C90F9F">
            <w:pPr>
              <w:pStyle w:val="EndnoteText"/>
              <w:keepNext/>
              <w:widowControl w:val="0"/>
              <w:tabs>
                <w:tab w:val="clear" w:pos="567"/>
              </w:tabs>
              <w:jc w:val="center"/>
              <w:rPr>
                <w:color w:val="000000"/>
              </w:rPr>
            </w:pPr>
            <w:r w:rsidRPr="00FE6AC6">
              <w:rPr>
                <w:color w:val="000000"/>
              </w:rPr>
              <w:t>n (%)</w:t>
            </w:r>
          </w:p>
        </w:tc>
      </w:tr>
      <w:tr w:rsidR="001B628D" w:rsidRPr="00FE6AC6" w14:paraId="3E550523" w14:textId="77777777" w:rsidTr="00C90F9F">
        <w:trPr>
          <w:cantSplit/>
        </w:trPr>
        <w:tc>
          <w:tcPr>
            <w:tcW w:w="4643" w:type="dxa"/>
            <w:tcBorders>
              <w:top w:val="nil"/>
              <w:left w:val="nil"/>
              <w:bottom w:val="nil"/>
              <w:right w:val="nil"/>
            </w:tcBorders>
          </w:tcPr>
          <w:p w14:paraId="3E550521" w14:textId="77777777" w:rsidR="001B628D" w:rsidRPr="00FE6AC6" w:rsidRDefault="001B628D" w:rsidP="00C90F9F">
            <w:pPr>
              <w:pStyle w:val="EndnoteText"/>
              <w:keepNext/>
              <w:widowControl w:val="0"/>
              <w:tabs>
                <w:tab w:val="clear" w:pos="567"/>
              </w:tabs>
              <w:rPr>
                <w:color w:val="000000"/>
              </w:rPr>
            </w:pPr>
            <w:r w:rsidRPr="00FE6AC6">
              <w:rPr>
                <w:color w:val="000000"/>
                <w:lang w:val="bg-BG"/>
              </w:rPr>
              <w:t>Пълен отговор</w:t>
            </w:r>
          </w:p>
        </w:tc>
        <w:tc>
          <w:tcPr>
            <w:tcW w:w="4643" w:type="dxa"/>
            <w:tcBorders>
              <w:top w:val="nil"/>
              <w:left w:val="nil"/>
              <w:bottom w:val="nil"/>
              <w:right w:val="nil"/>
            </w:tcBorders>
          </w:tcPr>
          <w:p w14:paraId="3E550522" w14:textId="77777777" w:rsidR="001B628D" w:rsidRPr="00FE6AC6" w:rsidRDefault="001B628D" w:rsidP="00C90F9F">
            <w:pPr>
              <w:pStyle w:val="EndnoteText"/>
              <w:keepNext/>
              <w:widowControl w:val="0"/>
              <w:tabs>
                <w:tab w:val="clear" w:pos="567"/>
              </w:tabs>
              <w:jc w:val="center"/>
              <w:rPr>
                <w:color w:val="000000"/>
              </w:rPr>
            </w:pPr>
            <w:r w:rsidRPr="00FE6AC6">
              <w:rPr>
                <w:rFonts w:eastAsia="MS Mincho"/>
                <w:color w:val="000000"/>
              </w:rPr>
              <w:t>1 (0</w:t>
            </w:r>
            <w:r w:rsidRPr="00FE6AC6">
              <w:rPr>
                <w:rFonts w:eastAsia="MS Mincho"/>
                <w:color w:val="000000"/>
                <w:lang w:val="bg-BG"/>
              </w:rPr>
              <w:t>,</w:t>
            </w:r>
            <w:r w:rsidRPr="00FE6AC6">
              <w:rPr>
                <w:rFonts w:eastAsia="MS Mincho"/>
                <w:color w:val="000000"/>
              </w:rPr>
              <w:t>7)</w:t>
            </w:r>
          </w:p>
        </w:tc>
      </w:tr>
      <w:tr w:rsidR="001B628D" w:rsidRPr="00FE6AC6" w14:paraId="3E550526" w14:textId="77777777" w:rsidTr="00C90F9F">
        <w:trPr>
          <w:cantSplit/>
        </w:trPr>
        <w:tc>
          <w:tcPr>
            <w:tcW w:w="4643" w:type="dxa"/>
            <w:tcBorders>
              <w:top w:val="nil"/>
              <w:left w:val="nil"/>
              <w:bottom w:val="nil"/>
              <w:right w:val="nil"/>
            </w:tcBorders>
          </w:tcPr>
          <w:p w14:paraId="3E550524" w14:textId="77777777" w:rsidR="001B628D" w:rsidRPr="00FE6AC6" w:rsidRDefault="001B628D" w:rsidP="00C90F9F">
            <w:pPr>
              <w:pStyle w:val="EndnoteText"/>
              <w:keepNext/>
              <w:widowControl w:val="0"/>
              <w:tabs>
                <w:tab w:val="clear" w:pos="567"/>
              </w:tabs>
              <w:rPr>
                <w:color w:val="000000"/>
              </w:rPr>
            </w:pPr>
            <w:r w:rsidRPr="00FE6AC6">
              <w:rPr>
                <w:color w:val="000000"/>
                <w:lang w:val="bg-BG"/>
              </w:rPr>
              <w:t>Частичен отговор</w:t>
            </w:r>
          </w:p>
        </w:tc>
        <w:tc>
          <w:tcPr>
            <w:tcW w:w="4643" w:type="dxa"/>
            <w:tcBorders>
              <w:top w:val="nil"/>
              <w:left w:val="nil"/>
              <w:bottom w:val="nil"/>
              <w:right w:val="nil"/>
            </w:tcBorders>
          </w:tcPr>
          <w:p w14:paraId="3E550525" w14:textId="77777777" w:rsidR="001B628D" w:rsidRPr="00FE6AC6" w:rsidRDefault="001B628D" w:rsidP="00C90F9F">
            <w:pPr>
              <w:pStyle w:val="EndnoteText"/>
              <w:keepNext/>
              <w:widowControl w:val="0"/>
              <w:tabs>
                <w:tab w:val="clear" w:pos="567"/>
              </w:tabs>
              <w:jc w:val="center"/>
              <w:rPr>
                <w:color w:val="000000"/>
              </w:rPr>
            </w:pPr>
            <w:r w:rsidRPr="00FE6AC6">
              <w:rPr>
                <w:rFonts w:eastAsia="MS Mincho"/>
                <w:color w:val="000000"/>
              </w:rPr>
              <w:t>98 (66</w:t>
            </w:r>
            <w:r w:rsidRPr="00FE6AC6">
              <w:rPr>
                <w:rFonts w:eastAsia="MS Mincho"/>
                <w:color w:val="000000"/>
                <w:lang w:val="bg-BG"/>
              </w:rPr>
              <w:t>,</w:t>
            </w:r>
            <w:r w:rsidRPr="00FE6AC6">
              <w:rPr>
                <w:rFonts w:eastAsia="MS Mincho"/>
                <w:color w:val="000000"/>
              </w:rPr>
              <w:t>7)</w:t>
            </w:r>
          </w:p>
        </w:tc>
      </w:tr>
      <w:tr w:rsidR="001B628D" w:rsidRPr="00FE6AC6" w14:paraId="3E550529" w14:textId="77777777" w:rsidTr="00C90F9F">
        <w:trPr>
          <w:cantSplit/>
        </w:trPr>
        <w:tc>
          <w:tcPr>
            <w:tcW w:w="4643" w:type="dxa"/>
            <w:tcBorders>
              <w:top w:val="nil"/>
              <w:left w:val="nil"/>
              <w:bottom w:val="nil"/>
              <w:right w:val="nil"/>
            </w:tcBorders>
          </w:tcPr>
          <w:p w14:paraId="3E550527" w14:textId="77777777" w:rsidR="001B628D" w:rsidRPr="00FE6AC6" w:rsidRDefault="001B628D" w:rsidP="00C90F9F">
            <w:pPr>
              <w:pStyle w:val="EndnoteText"/>
              <w:keepNext/>
              <w:widowControl w:val="0"/>
              <w:tabs>
                <w:tab w:val="clear" w:pos="567"/>
              </w:tabs>
              <w:rPr>
                <w:color w:val="000000"/>
              </w:rPr>
            </w:pPr>
            <w:r w:rsidRPr="00FE6AC6">
              <w:rPr>
                <w:color w:val="000000"/>
                <w:lang w:val="bg-BG"/>
              </w:rPr>
              <w:t>Стабилно заболяване</w:t>
            </w:r>
          </w:p>
        </w:tc>
        <w:tc>
          <w:tcPr>
            <w:tcW w:w="4643" w:type="dxa"/>
            <w:tcBorders>
              <w:top w:val="nil"/>
              <w:left w:val="nil"/>
              <w:bottom w:val="nil"/>
              <w:right w:val="nil"/>
            </w:tcBorders>
          </w:tcPr>
          <w:p w14:paraId="3E550528" w14:textId="77777777" w:rsidR="001B628D" w:rsidRPr="00FE6AC6" w:rsidRDefault="001B628D" w:rsidP="00C90F9F">
            <w:pPr>
              <w:pStyle w:val="EndnoteText"/>
              <w:keepNext/>
              <w:widowControl w:val="0"/>
              <w:tabs>
                <w:tab w:val="clear" w:pos="567"/>
              </w:tabs>
              <w:jc w:val="center"/>
              <w:rPr>
                <w:color w:val="000000"/>
              </w:rPr>
            </w:pPr>
            <w:r w:rsidRPr="00FE6AC6">
              <w:rPr>
                <w:rFonts w:eastAsia="MS Mincho"/>
                <w:color w:val="000000"/>
              </w:rPr>
              <w:t>23 (15</w:t>
            </w:r>
            <w:r w:rsidRPr="00FE6AC6">
              <w:rPr>
                <w:rFonts w:eastAsia="MS Mincho"/>
                <w:color w:val="000000"/>
                <w:lang w:val="bg-BG"/>
              </w:rPr>
              <w:t>,</w:t>
            </w:r>
            <w:r w:rsidRPr="00FE6AC6">
              <w:rPr>
                <w:rFonts w:eastAsia="MS Mincho"/>
                <w:color w:val="000000"/>
              </w:rPr>
              <w:t>6)</w:t>
            </w:r>
          </w:p>
        </w:tc>
      </w:tr>
      <w:tr w:rsidR="001B628D" w:rsidRPr="00FE6AC6" w14:paraId="3E55052C" w14:textId="77777777" w:rsidTr="00C90F9F">
        <w:trPr>
          <w:cantSplit/>
        </w:trPr>
        <w:tc>
          <w:tcPr>
            <w:tcW w:w="4643" w:type="dxa"/>
            <w:tcBorders>
              <w:top w:val="nil"/>
              <w:left w:val="nil"/>
              <w:bottom w:val="nil"/>
              <w:right w:val="nil"/>
            </w:tcBorders>
          </w:tcPr>
          <w:p w14:paraId="3E55052A" w14:textId="77777777" w:rsidR="001B628D" w:rsidRPr="00FE6AC6" w:rsidRDefault="001B628D" w:rsidP="00C90F9F">
            <w:pPr>
              <w:pStyle w:val="EndnoteText"/>
              <w:keepNext/>
              <w:widowControl w:val="0"/>
              <w:tabs>
                <w:tab w:val="clear" w:pos="567"/>
              </w:tabs>
              <w:rPr>
                <w:color w:val="000000"/>
              </w:rPr>
            </w:pPr>
            <w:r w:rsidRPr="00FE6AC6">
              <w:rPr>
                <w:color w:val="000000"/>
                <w:lang w:val="bg-BG"/>
              </w:rPr>
              <w:t>Прогресиращо заболяване</w:t>
            </w:r>
          </w:p>
        </w:tc>
        <w:tc>
          <w:tcPr>
            <w:tcW w:w="4643" w:type="dxa"/>
            <w:tcBorders>
              <w:top w:val="nil"/>
              <w:left w:val="nil"/>
              <w:bottom w:val="nil"/>
              <w:right w:val="nil"/>
            </w:tcBorders>
          </w:tcPr>
          <w:p w14:paraId="3E55052B" w14:textId="77777777" w:rsidR="001B628D" w:rsidRPr="00FE6AC6" w:rsidRDefault="001B628D" w:rsidP="00C90F9F">
            <w:pPr>
              <w:pStyle w:val="EndnoteText"/>
              <w:keepNext/>
              <w:widowControl w:val="0"/>
              <w:tabs>
                <w:tab w:val="clear" w:pos="567"/>
              </w:tabs>
              <w:jc w:val="center"/>
              <w:rPr>
                <w:color w:val="000000"/>
              </w:rPr>
            </w:pPr>
            <w:r w:rsidRPr="00FE6AC6">
              <w:rPr>
                <w:rFonts w:eastAsia="MS Mincho"/>
                <w:color w:val="000000"/>
              </w:rPr>
              <w:t>18 (12</w:t>
            </w:r>
            <w:r w:rsidRPr="00FE6AC6">
              <w:rPr>
                <w:rFonts w:eastAsia="MS Mincho"/>
                <w:color w:val="000000"/>
                <w:lang w:val="bg-BG"/>
              </w:rPr>
              <w:t>,</w:t>
            </w:r>
            <w:r w:rsidRPr="00FE6AC6">
              <w:rPr>
                <w:rFonts w:eastAsia="MS Mincho"/>
                <w:color w:val="000000"/>
              </w:rPr>
              <w:t>2)</w:t>
            </w:r>
          </w:p>
        </w:tc>
      </w:tr>
      <w:tr w:rsidR="001B628D" w:rsidRPr="00FE6AC6" w14:paraId="3E55052F" w14:textId="77777777" w:rsidTr="00C90F9F">
        <w:trPr>
          <w:cantSplit/>
        </w:trPr>
        <w:tc>
          <w:tcPr>
            <w:tcW w:w="4643" w:type="dxa"/>
            <w:tcBorders>
              <w:top w:val="nil"/>
              <w:left w:val="nil"/>
              <w:bottom w:val="nil"/>
              <w:right w:val="nil"/>
            </w:tcBorders>
          </w:tcPr>
          <w:p w14:paraId="3E55052D" w14:textId="77777777" w:rsidR="001B628D" w:rsidRPr="00FE6AC6" w:rsidRDefault="001B628D" w:rsidP="00C90F9F">
            <w:pPr>
              <w:pStyle w:val="EndnoteText"/>
              <w:keepNext/>
              <w:widowControl w:val="0"/>
              <w:tabs>
                <w:tab w:val="clear" w:pos="567"/>
              </w:tabs>
              <w:rPr>
                <w:color w:val="000000"/>
                <w:lang w:val="ru-RU"/>
              </w:rPr>
            </w:pPr>
            <w:r w:rsidRPr="00FE6AC6">
              <w:rPr>
                <w:color w:val="000000"/>
                <w:lang w:val="bg-BG"/>
              </w:rPr>
              <w:t>Не може да бъде оценен</w:t>
            </w:r>
          </w:p>
        </w:tc>
        <w:tc>
          <w:tcPr>
            <w:tcW w:w="4643" w:type="dxa"/>
            <w:tcBorders>
              <w:top w:val="nil"/>
              <w:left w:val="nil"/>
              <w:bottom w:val="nil"/>
              <w:right w:val="nil"/>
            </w:tcBorders>
          </w:tcPr>
          <w:p w14:paraId="3E55052E" w14:textId="77777777" w:rsidR="001B628D" w:rsidRPr="00FE6AC6" w:rsidRDefault="001B628D" w:rsidP="00C90F9F">
            <w:pPr>
              <w:pStyle w:val="EndnoteText"/>
              <w:keepNext/>
              <w:widowControl w:val="0"/>
              <w:tabs>
                <w:tab w:val="clear" w:pos="567"/>
              </w:tabs>
              <w:jc w:val="center"/>
              <w:rPr>
                <w:color w:val="000000"/>
              </w:rPr>
            </w:pPr>
            <w:r w:rsidRPr="00FE6AC6">
              <w:rPr>
                <w:rFonts w:eastAsia="MS Mincho"/>
                <w:color w:val="000000"/>
              </w:rPr>
              <w:t>5 (3</w:t>
            </w:r>
            <w:r w:rsidRPr="00FE6AC6">
              <w:rPr>
                <w:rFonts w:eastAsia="MS Mincho"/>
                <w:color w:val="000000"/>
                <w:lang w:val="bg-BG"/>
              </w:rPr>
              <w:t>,</w:t>
            </w:r>
            <w:r w:rsidRPr="00FE6AC6">
              <w:rPr>
                <w:rFonts w:eastAsia="MS Mincho"/>
                <w:color w:val="000000"/>
              </w:rPr>
              <w:t>4)</w:t>
            </w:r>
          </w:p>
        </w:tc>
      </w:tr>
      <w:tr w:rsidR="001B628D" w:rsidRPr="00FE6AC6" w14:paraId="3E550532" w14:textId="77777777" w:rsidTr="00C90F9F">
        <w:trPr>
          <w:cantSplit/>
        </w:trPr>
        <w:tc>
          <w:tcPr>
            <w:tcW w:w="4643" w:type="dxa"/>
            <w:tcBorders>
              <w:top w:val="nil"/>
              <w:left w:val="nil"/>
              <w:right w:val="nil"/>
            </w:tcBorders>
          </w:tcPr>
          <w:p w14:paraId="3E550530" w14:textId="77777777" w:rsidR="001B628D" w:rsidRPr="00FE6AC6" w:rsidRDefault="001B628D" w:rsidP="00C90F9F">
            <w:pPr>
              <w:pStyle w:val="EndnoteText"/>
              <w:widowControl w:val="0"/>
              <w:tabs>
                <w:tab w:val="clear" w:pos="567"/>
              </w:tabs>
              <w:rPr>
                <w:color w:val="000000"/>
              </w:rPr>
            </w:pPr>
            <w:r w:rsidRPr="00FE6AC6">
              <w:rPr>
                <w:color w:val="000000"/>
                <w:lang w:val="bg-BG"/>
              </w:rPr>
              <w:t>Неизвестен</w:t>
            </w:r>
          </w:p>
        </w:tc>
        <w:tc>
          <w:tcPr>
            <w:tcW w:w="4643" w:type="dxa"/>
            <w:tcBorders>
              <w:top w:val="nil"/>
              <w:left w:val="nil"/>
              <w:right w:val="nil"/>
            </w:tcBorders>
          </w:tcPr>
          <w:p w14:paraId="3E550531" w14:textId="77777777" w:rsidR="001B628D" w:rsidRPr="00FE6AC6" w:rsidRDefault="001B628D" w:rsidP="00C90F9F">
            <w:pPr>
              <w:pStyle w:val="EndnoteText"/>
              <w:widowControl w:val="0"/>
              <w:tabs>
                <w:tab w:val="clear" w:pos="567"/>
              </w:tabs>
              <w:jc w:val="center"/>
              <w:rPr>
                <w:color w:val="000000"/>
              </w:rPr>
            </w:pPr>
            <w:r w:rsidRPr="00FE6AC6">
              <w:rPr>
                <w:color w:val="000000"/>
              </w:rPr>
              <w:t>2 (1</w:t>
            </w:r>
            <w:r w:rsidRPr="00FE6AC6">
              <w:rPr>
                <w:color w:val="000000"/>
                <w:lang w:val="bg-BG"/>
              </w:rPr>
              <w:t>,</w:t>
            </w:r>
            <w:r w:rsidRPr="00FE6AC6">
              <w:rPr>
                <w:color w:val="000000"/>
              </w:rPr>
              <w:t>4)</w:t>
            </w:r>
          </w:p>
        </w:tc>
      </w:tr>
    </w:tbl>
    <w:p w14:paraId="3E550533" w14:textId="77777777" w:rsidR="001B628D" w:rsidRPr="00FE6AC6" w:rsidRDefault="001B628D" w:rsidP="0063575E">
      <w:pPr>
        <w:widowControl w:val="0"/>
        <w:spacing w:line="240" w:lineRule="auto"/>
        <w:rPr>
          <w:color w:val="000000"/>
          <w:lang w:val="bg-BG"/>
        </w:rPr>
      </w:pPr>
    </w:p>
    <w:p w14:paraId="3E550534" w14:textId="77777777" w:rsidR="001B628D" w:rsidRPr="00FE6AC6" w:rsidRDefault="001B628D" w:rsidP="0063575E">
      <w:pPr>
        <w:widowControl w:val="0"/>
        <w:spacing w:line="240" w:lineRule="auto"/>
        <w:rPr>
          <w:color w:val="000000"/>
          <w:lang w:val="bg-BG"/>
        </w:rPr>
      </w:pPr>
      <w:r w:rsidRPr="00FE6AC6">
        <w:rPr>
          <w:color w:val="000000"/>
          <w:lang w:val="bg-BG"/>
        </w:rPr>
        <w:t xml:space="preserve">Няма разлики в степените на отговор между двете дозови групи. Значителен брой от пациенти, които са със стабилно заболяване по време на междинния анализ постигат частичен отговор при по-продължително лечение (средно проследяване 31 месеца). Средното време до постигане на отговор е 13 седмици (95% </w:t>
      </w:r>
      <w:r w:rsidRPr="00FE6AC6">
        <w:rPr>
          <w:color w:val="000000"/>
          <w:lang w:val="en-US"/>
        </w:rPr>
        <w:t>CI</w:t>
      </w:r>
      <w:r w:rsidRPr="00FE6AC6">
        <w:rPr>
          <w:color w:val="000000"/>
          <w:lang w:val="bg-BG"/>
        </w:rPr>
        <w:t> 12</w:t>
      </w:r>
      <w:r w:rsidRPr="00FE6AC6">
        <w:rPr>
          <w:color w:val="000000"/>
          <w:lang w:val="bg-BG"/>
        </w:rPr>
        <w:noBreakHyphen/>
        <w:t xml:space="preserve">23). Средното време до неуспех на лечението при отговорилите е 122 седмици (95% </w:t>
      </w:r>
      <w:r w:rsidRPr="00FE6AC6">
        <w:rPr>
          <w:color w:val="000000"/>
          <w:lang w:val="en-US"/>
        </w:rPr>
        <w:t>CI </w:t>
      </w:r>
      <w:r w:rsidRPr="00FE6AC6">
        <w:rPr>
          <w:color w:val="000000"/>
          <w:lang w:val="bg-BG"/>
        </w:rPr>
        <w:t>106</w:t>
      </w:r>
      <w:r w:rsidRPr="00FE6AC6">
        <w:rPr>
          <w:color w:val="000000"/>
          <w:lang w:val="bg-BG"/>
        </w:rPr>
        <w:noBreakHyphen/>
        <w:t xml:space="preserve">147), докато в общата популация на проучването е 84 седмици (95% </w:t>
      </w:r>
      <w:r w:rsidRPr="00FE6AC6">
        <w:rPr>
          <w:color w:val="000000"/>
          <w:lang w:val="en-US"/>
        </w:rPr>
        <w:t>CI</w:t>
      </w:r>
      <w:r w:rsidRPr="00FE6AC6">
        <w:rPr>
          <w:color w:val="000000"/>
          <w:lang w:val="bg-BG"/>
        </w:rPr>
        <w:t> 71</w:t>
      </w:r>
      <w:r w:rsidRPr="00FE6AC6">
        <w:rPr>
          <w:color w:val="000000"/>
          <w:lang w:val="bg-BG"/>
        </w:rPr>
        <w:noBreakHyphen/>
        <w:t>109). Средната обща преживяемост не е достигната. Оценката по Kaplan-Mеier за преживяемостта след 36 месечно проследяване е 68%.</w:t>
      </w:r>
    </w:p>
    <w:p w14:paraId="3E550535" w14:textId="77777777" w:rsidR="001B628D" w:rsidRPr="00FE6AC6" w:rsidRDefault="001B628D" w:rsidP="0063575E">
      <w:pPr>
        <w:widowControl w:val="0"/>
        <w:spacing w:line="240" w:lineRule="auto"/>
        <w:rPr>
          <w:color w:val="000000"/>
          <w:lang w:val="bg-BG"/>
        </w:rPr>
      </w:pPr>
    </w:p>
    <w:p w14:paraId="3E550536" w14:textId="77777777" w:rsidR="001B628D" w:rsidRPr="00FE6AC6" w:rsidRDefault="001B628D" w:rsidP="0063575E">
      <w:pPr>
        <w:widowControl w:val="0"/>
        <w:spacing w:line="240" w:lineRule="auto"/>
        <w:rPr>
          <w:color w:val="000000"/>
          <w:lang w:val="bg-BG"/>
        </w:rPr>
      </w:pPr>
      <w:r w:rsidRPr="00FE6AC6">
        <w:rPr>
          <w:color w:val="000000"/>
          <w:lang w:val="bg-BG"/>
        </w:rPr>
        <w:t>При две клинични проучвания (проучване B2222 и междугруповото проучване S0033) дневната доза на Glivec е повишена на 800 mg при пациенти с прогресия на заболяването при ниски дневни дози от 400 mg или 600 mg. Дневната доза е повишена на 800 mg при общо 108 пациенти; 6 пациенти постигат частичен отговор и 21 стабилизиране на заболяването си след повишаване на дозата при обща клинична полза от 26%. Наличните данни за безопасност показват, че повишаването на дозата на 800 mg дневно при пациенти с прогресия при ниските дози от 400 mg или 600 mg дневно не се отразява на профила на безопасност на Glivec.</w:t>
      </w:r>
    </w:p>
    <w:p w14:paraId="3E550537" w14:textId="77777777" w:rsidR="001B628D" w:rsidRPr="00FE6AC6" w:rsidRDefault="001B628D" w:rsidP="0063575E">
      <w:pPr>
        <w:widowControl w:val="0"/>
        <w:spacing w:line="240" w:lineRule="auto"/>
        <w:rPr>
          <w:color w:val="000000"/>
          <w:lang w:val="bg-BG"/>
        </w:rPr>
      </w:pPr>
    </w:p>
    <w:p w14:paraId="3E550538"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Клинични проучвания при адювантна терапия на ГИСТ</w:t>
      </w:r>
    </w:p>
    <w:p w14:paraId="3E550539" w14:textId="77777777" w:rsidR="001B628D" w:rsidRPr="00FE6AC6" w:rsidRDefault="001B628D" w:rsidP="0063575E">
      <w:pPr>
        <w:widowControl w:val="0"/>
        <w:spacing w:line="240" w:lineRule="auto"/>
        <w:rPr>
          <w:color w:val="000000"/>
          <w:lang w:val="bg-BG"/>
        </w:rPr>
      </w:pPr>
      <w:r w:rsidRPr="00FE6AC6">
        <w:rPr>
          <w:color w:val="000000"/>
          <w:lang w:val="bg-BG"/>
        </w:rPr>
        <w:t xml:space="preserve">Приложението на </w:t>
      </w:r>
      <w:r w:rsidRPr="00FE6AC6">
        <w:rPr>
          <w:color w:val="000000"/>
          <w:lang w:val="en-US"/>
        </w:rPr>
        <w:t>Glivec</w:t>
      </w:r>
      <w:r w:rsidRPr="00FE6AC6">
        <w:rPr>
          <w:color w:val="000000"/>
          <w:lang w:val="bg-BG"/>
        </w:rPr>
        <w:t xml:space="preserve"> като адювантна терапия е проучено в многоцентрово, двойно-сляпо, проспективно, плацебо контролирано фаза </w:t>
      </w:r>
      <w:r w:rsidRPr="00FE6AC6">
        <w:rPr>
          <w:color w:val="000000"/>
          <w:lang w:val="en-US"/>
        </w:rPr>
        <w:t>III</w:t>
      </w:r>
      <w:r w:rsidRPr="00FE6AC6">
        <w:rPr>
          <w:color w:val="000000"/>
          <w:lang w:val="bg-BG"/>
        </w:rPr>
        <w:t xml:space="preserve"> проучване (</w:t>
      </w:r>
      <w:r w:rsidRPr="00FE6AC6">
        <w:rPr>
          <w:color w:val="000000"/>
          <w:lang w:val="en-US"/>
        </w:rPr>
        <w:t>Z</w:t>
      </w:r>
      <w:r w:rsidRPr="00FE6AC6">
        <w:rPr>
          <w:color w:val="000000"/>
          <w:lang w:val="ru-RU"/>
        </w:rPr>
        <w:t xml:space="preserve">9001), включващо 773 пациенти. Възрастта на пациентите варира от 18 до 91 години. В проучването са включени пациенти с хистологично диагностициран първичен ГИСТ, имунохистохимично експресиращ </w:t>
      </w:r>
      <w:r w:rsidRPr="00FE6AC6">
        <w:rPr>
          <w:color w:val="000000"/>
          <w:lang w:val="en-US"/>
        </w:rPr>
        <w:t>Kit</w:t>
      </w:r>
      <w:r w:rsidRPr="00FE6AC6">
        <w:rPr>
          <w:color w:val="000000"/>
          <w:lang w:val="bg-BG"/>
        </w:rPr>
        <w:t xml:space="preserve"> протеин и с големина на тумора ≥3 </w:t>
      </w:r>
      <w:r w:rsidRPr="00FE6AC6">
        <w:rPr>
          <w:color w:val="000000"/>
          <w:lang w:val="en-US"/>
        </w:rPr>
        <w:t>cm</w:t>
      </w:r>
      <w:r w:rsidRPr="00FE6AC6">
        <w:rPr>
          <w:color w:val="000000"/>
          <w:lang w:val="bg-BG"/>
        </w:rPr>
        <w:t xml:space="preserve"> в най-големия диаметър, претърпели тотална макроскопска резекция на ГИСТ в рамките на 14</w:t>
      </w:r>
      <w:r w:rsidRPr="00FE6AC6">
        <w:rPr>
          <w:color w:val="000000"/>
          <w:lang w:val="ru-RU"/>
        </w:rPr>
        <w:noBreakHyphen/>
      </w:r>
      <w:r w:rsidRPr="00FE6AC6">
        <w:rPr>
          <w:color w:val="000000"/>
          <w:lang w:val="bg-BG"/>
        </w:rPr>
        <w:t xml:space="preserve">70 дни преди регистрацията. След резекцията на първичния ГИСТ пациентите са рандомизирани в две рамена: да получават </w:t>
      </w:r>
      <w:r w:rsidRPr="00FE6AC6">
        <w:rPr>
          <w:color w:val="000000"/>
          <w:lang w:val="en-US"/>
        </w:rPr>
        <w:t>Glivec</w:t>
      </w:r>
      <w:r w:rsidRPr="00FE6AC6">
        <w:rPr>
          <w:color w:val="000000"/>
          <w:lang w:val="ru-RU"/>
        </w:rPr>
        <w:t xml:space="preserve"> 400</w:t>
      </w:r>
      <w:r w:rsidRPr="00FE6AC6">
        <w:rPr>
          <w:color w:val="000000"/>
          <w:lang w:val="en-US"/>
        </w:rPr>
        <w:t> mg</w:t>
      </w:r>
      <w:r w:rsidRPr="00FE6AC6">
        <w:rPr>
          <w:color w:val="000000"/>
          <w:lang w:val="bg-BG"/>
        </w:rPr>
        <w:t>/ден или плацебо в продължение на една година.</w:t>
      </w:r>
    </w:p>
    <w:p w14:paraId="3E55053A" w14:textId="77777777" w:rsidR="001B628D" w:rsidRPr="00FE6AC6" w:rsidRDefault="001B628D" w:rsidP="0063575E">
      <w:pPr>
        <w:widowControl w:val="0"/>
        <w:spacing w:line="240" w:lineRule="auto"/>
        <w:rPr>
          <w:color w:val="000000"/>
          <w:lang w:val="bg-BG"/>
        </w:rPr>
      </w:pPr>
    </w:p>
    <w:p w14:paraId="3E55053B" w14:textId="77777777" w:rsidR="001B628D" w:rsidRPr="00FE6AC6" w:rsidRDefault="001B628D" w:rsidP="0063575E">
      <w:pPr>
        <w:widowControl w:val="0"/>
        <w:spacing w:line="240" w:lineRule="auto"/>
        <w:rPr>
          <w:color w:val="000000"/>
          <w:lang w:val="bg-BG"/>
        </w:rPr>
      </w:pPr>
      <w:r w:rsidRPr="00FE6AC6">
        <w:rPr>
          <w:color w:val="000000"/>
          <w:lang w:val="bg-BG"/>
        </w:rPr>
        <w:t>Първична крайна цел на проучването е преживяемостта без рецидив, определена като време от деня на рандомизацията до деня, в който настъпва рецидив на заболяването или смърт поради някаква друга причина.</w:t>
      </w:r>
    </w:p>
    <w:p w14:paraId="3E55053C" w14:textId="77777777" w:rsidR="001B628D" w:rsidRPr="00FE6AC6" w:rsidRDefault="001B628D" w:rsidP="0063575E">
      <w:pPr>
        <w:widowControl w:val="0"/>
        <w:spacing w:line="240" w:lineRule="auto"/>
        <w:rPr>
          <w:color w:val="000000"/>
          <w:lang w:val="bg-BG"/>
        </w:rPr>
      </w:pPr>
    </w:p>
    <w:p w14:paraId="3E55053D" w14:textId="77777777" w:rsidR="001B628D" w:rsidRPr="00FE6AC6" w:rsidRDefault="001B628D" w:rsidP="0063575E">
      <w:pPr>
        <w:widowControl w:val="0"/>
        <w:spacing w:line="240" w:lineRule="auto"/>
        <w:rPr>
          <w:color w:val="000000"/>
          <w:lang w:val="bg-BG"/>
        </w:rPr>
      </w:pPr>
      <w:r w:rsidRPr="00FE6AC6">
        <w:rPr>
          <w:color w:val="000000"/>
          <w:lang w:val="en-US"/>
        </w:rPr>
        <w:t>Glivec</w:t>
      </w:r>
      <w:r w:rsidRPr="00FE6AC6">
        <w:rPr>
          <w:color w:val="000000"/>
          <w:lang w:val="bg-BG"/>
        </w:rPr>
        <w:t xml:space="preserve"> значимо удължава преживяемостта без рецидив, 75% от пациентите са без рецидив за период от 38 месеца в групата на </w:t>
      </w:r>
      <w:r w:rsidRPr="00FE6AC6">
        <w:rPr>
          <w:color w:val="000000"/>
          <w:lang w:val="en-US"/>
        </w:rPr>
        <w:t>Glivec</w:t>
      </w:r>
      <w:r w:rsidRPr="00FE6AC6">
        <w:rPr>
          <w:color w:val="000000"/>
          <w:lang w:val="bg-BG"/>
        </w:rPr>
        <w:t xml:space="preserve"> спрямо 20 месеца в групата на плацебо (95% </w:t>
      </w:r>
      <w:r w:rsidRPr="00FE6AC6">
        <w:rPr>
          <w:color w:val="000000"/>
          <w:lang w:val="en-US"/>
        </w:rPr>
        <w:t>CI</w:t>
      </w:r>
      <w:r w:rsidRPr="00FE6AC6">
        <w:rPr>
          <w:color w:val="000000"/>
          <w:lang w:val="ru-RU"/>
        </w:rPr>
        <w:t xml:space="preserve"> [30 – неподлежащи на оценка]; съответно [14 – неподлежащи на оценка]); (коефициент на риск = 0,398 [0</w:t>
      </w:r>
      <w:r w:rsidRPr="00FE6AC6">
        <w:rPr>
          <w:color w:val="000000"/>
          <w:lang w:val="bg-BG"/>
        </w:rPr>
        <w:t>,</w:t>
      </w:r>
      <w:r w:rsidRPr="00FE6AC6">
        <w:rPr>
          <w:color w:val="000000"/>
          <w:lang w:val="ru-RU"/>
        </w:rPr>
        <w:t>259</w:t>
      </w:r>
      <w:r w:rsidRPr="00FE6AC6">
        <w:rPr>
          <w:color w:val="000000"/>
          <w:lang w:val="bg-BG"/>
        </w:rPr>
        <w:noBreakHyphen/>
      </w:r>
      <w:r w:rsidRPr="00FE6AC6">
        <w:rPr>
          <w:color w:val="000000"/>
          <w:lang w:val="ru-RU"/>
        </w:rPr>
        <w:t>0</w:t>
      </w:r>
      <w:r w:rsidRPr="00FE6AC6">
        <w:rPr>
          <w:color w:val="000000"/>
          <w:lang w:val="bg-BG"/>
        </w:rPr>
        <w:t>,</w:t>
      </w:r>
      <w:r w:rsidRPr="00FE6AC6">
        <w:rPr>
          <w:color w:val="000000"/>
          <w:lang w:val="ru-RU"/>
        </w:rPr>
        <w:t xml:space="preserve">610], </w:t>
      </w:r>
      <w:r w:rsidRPr="00FE6AC6">
        <w:rPr>
          <w:color w:val="000000"/>
          <w:lang w:val="en-US"/>
        </w:rPr>
        <w:t>p</w:t>
      </w:r>
      <w:r w:rsidRPr="00FE6AC6">
        <w:rPr>
          <w:color w:val="000000"/>
          <w:lang w:val="ru-RU"/>
        </w:rPr>
        <w:t>&lt;0</w:t>
      </w:r>
      <w:r w:rsidRPr="00FE6AC6">
        <w:rPr>
          <w:color w:val="000000"/>
          <w:lang w:val="bg-BG"/>
        </w:rPr>
        <w:t>,</w:t>
      </w:r>
      <w:r w:rsidRPr="00FE6AC6">
        <w:rPr>
          <w:color w:val="000000"/>
          <w:lang w:val="ru-RU"/>
        </w:rPr>
        <w:t xml:space="preserve">0001). На първата година общата преживяемост без рецидив е значимо по-висока при </w:t>
      </w:r>
      <w:r w:rsidRPr="00FE6AC6">
        <w:rPr>
          <w:color w:val="000000"/>
          <w:lang w:val="en-US"/>
        </w:rPr>
        <w:t>Glivec</w:t>
      </w:r>
      <w:r w:rsidRPr="00FE6AC6">
        <w:rPr>
          <w:color w:val="000000"/>
          <w:lang w:val="ru-RU"/>
        </w:rPr>
        <w:t xml:space="preserve"> (97,7%) спрямо плацебо (82,3%) (р&lt;0,0001). Рискът от рецидив на заболяването е редуциран с приблизително 89% в сравнение с плацебо (коефициент на риска = 0,113 [0,049</w:t>
      </w:r>
      <w:r w:rsidRPr="00FE6AC6">
        <w:rPr>
          <w:color w:val="000000"/>
          <w:lang w:val="ru-RU"/>
        </w:rPr>
        <w:noBreakHyphen/>
        <w:t>0,264]</w:t>
      </w:r>
      <w:r w:rsidRPr="00FE6AC6">
        <w:rPr>
          <w:color w:val="000000"/>
          <w:lang w:val="bg-BG"/>
        </w:rPr>
        <w:t>).</w:t>
      </w:r>
    </w:p>
    <w:p w14:paraId="3E55053E" w14:textId="77777777" w:rsidR="001B628D" w:rsidRPr="00FE6AC6" w:rsidRDefault="001B628D" w:rsidP="0063575E">
      <w:pPr>
        <w:widowControl w:val="0"/>
        <w:spacing w:line="240" w:lineRule="auto"/>
        <w:rPr>
          <w:color w:val="000000"/>
          <w:u w:val="single"/>
          <w:lang w:val="bg-BG"/>
        </w:rPr>
      </w:pPr>
    </w:p>
    <w:p w14:paraId="3E55053F" w14:textId="77777777" w:rsidR="001B628D" w:rsidRPr="00FE6AC6" w:rsidRDefault="001B628D" w:rsidP="0063575E">
      <w:pPr>
        <w:widowControl w:val="0"/>
        <w:spacing w:line="240" w:lineRule="auto"/>
        <w:rPr>
          <w:color w:val="000000"/>
          <w:lang w:val="bg-BG"/>
        </w:rPr>
      </w:pPr>
      <w:r w:rsidRPr="00FE6AC6">
        <w:rPr>
          <w:color w:val="000000"/>
          <w:lang w:val="bg-BG"/>
        </w:rPr>
        <w:t>Рискът от рецидив на заболяването при пациенти след оперативно лечение на първичен ГИСТ се оценява ретроспективно на база следните прогностични фактори: големина на тумора, митотичен индекс, локализация на тумора. Данни за митотич</w:t>
      </w:r>
      <w:r w:rsidRPr="00FE6AC6">
        <w:rPr>
          <w:color w:val="000000"/>
          <w:lang w:val="en-US"/>
        </w:rPr>
        <w:t>e</w:t>
      </w:r>
      <w:r w:rsidRPr="00FE6AC6">
        <w:rPr>
          <w:color w:val="000000"/>
          <w:lang w:val="bg-BG"/>
        </w:rPr>
        <w:t>н индекс са налични при 556 от 713</w:t>
      </w:r>
      <w:r w:rsidRPr="00FE6AC6">
        <w:rPr>
          <w:color w:val="000000"/>
          <w:lang w:val="en-US"/>
        </w:rPr>
        <w:t> </w:t>
      </w:r>
      <w:r w:rsidRPr="00FE6AC6">
        <w:rPr>
          <w:rFonts w:eastAsia="MS Mincho"/>
          <w:color w:val="000000"/>
          <w:szCs w:val="22"/>
          <w:lang w:eastAsia="ja-JP"/>
        </w:rPr>
        <w:t>intention</w:t>
      </w:r>
      <w:r w:rsidRPr="00FE6AC6">
        <w:rPr>
          <w:rFonts w:eastAsia="MS Mincho"/>
          <w:color w:val="000000"/>
          <w:szCs w:val="22"/>
          <w:lang w:val="bg-BG" w:eastAsia="ja-JP"/>
        </w:rPr>
        <w:t>-</w:t>
      </w:r>
      <w:r w:rsidRPr="00FE6AC6">
        <w:rPr>
          <w:rFonts w:eastAsia="MS Mincho"/>
          <w:color w:val="000000"/>
          <w:szCs w:val="22"/>
          <w:lang w:eastAsia="ja-JP"/>
        </w:rPr>
        <w:t>to</w:t>
      </w:r>
      <w:r w:rsidRPr="00FE6AC6">
        <w:rPr>
          <w:rFonts w:eastAsia="MS Mincho"/>
          <w:color w:val="000000"/>
          <w:szCs w:val="22"/>
          <w:lang w:val="bg-BG" w:eastAsia="ja-JP"/>
        </w:rPr>
        <w:t>-</w:t>
      </w:r>
      <w:r w:rsidRPr="00FE6AC6">
        <w:rPr>
          <w:rFonts w:eastAsia="MS Mincho"/>
          <w:color w:val="000000"/>
          <w:szCs w:val="22"/>
          <w:lang w:eastAsia="ja-JP"/>
        </w:rPr>
        <w:t>treat</w:t>
      </w:r>
      <w:r w:rsidRPr="00FE6AC6">
        <w:rPr>
          <w:color w:val="000000"/>
          <w:lang w:val="bg-BG"/>
        </w:rPr>
        <w:t xml:space="preserve"> (</w:t>
      </w:r>
      <w:r w:rsidRPr="00FE6AC6">
        <w:rPr>
          <w:color w:val="000000"/>
          <w:lang w:val="en-US"/>
        </w:rPr>
        <w:t>ITT</w:t>
      </w:r>
      <w:r w:rsidRPr="00FE6AC6">
        <w:rPr>
          <w:color w:val="000000"/>
          <w:lang w:val="bg-BG"/>
        </w:rPr>
        <w:t>) пациенти. Резултатите от субгруповите анализи съгласно Националните здравни институти на САЩ (</w:t>
      </w:r>
      <w:r w:rsidRPr="00FE6AC6">
        <w:rPr>
          <w:rFonts w:eastAsia="MS Mincho"/>
          <w:color w:val="000000"/>
          <w:szCs w:val="22"/>
          <w:lang w:eastAsia="ja-JP"/>
        </w:rPr>
        <w:t>United</w:t>
      </w:r>
      <w:r w:rsidRPr="00FE6AC6">
        <w:rPr>
          <w:rFonts w:eastAsia="MS Mincho"/>
          <w:color w:val="000000"/>
          <w:szCs w:val="22"/>
          <w:lang w:val="bg-BG" w:eastAsia="ja-JP"/>
        </w:rPr>
        <w:t xml:space="preserve"> </w:t>
      </w:r>
      <w:r w:rsidRPr="00FE6AC6">
        <w:rPr>
          <w:rFonts w:eastAsia="MS Mincho"/>
          <w:color w:val="000000"/>
          <w:szCs w:val="22"/>
          <w:lang w:eastAsia="ja-JP"/>
        </w:rPr>
        <w:t>States</w:t>
      </w:r>
      <w:r w:rsidRPr="00FE6AC6">
        <w:rPr>
          <w:rFonts w:eastAsia="MS Mincho"/>
          <w:color w:val="000000"/>
          <w:szCs w:val="22"/>
          <w:lang w:val="bg-BG" w:eastAsia="ja-JP"/>
        </w:rPr>
        <w:t xml:space="preserve"> </w:t>
      </w:r>
      <w:r w:rsidRPr="00FE6AC6">
        <w:rPr>
          <w:rFonts w:eastAsia="MS Mincho"/>
          <w:color w:val="000000"/>
          <w:szCs w:val="22"/>
          <w:lang w:eastAsia="ja-JP"/>
        </w:rPr>
        <w:t>National</w:t>
      </w:r>
      <w:r w:rsidRPr="00FE6AC6">
        <w:rPr>
          <w:rFonts w:eastAsia="MS Mincho"/>
          <w:color w:val="000000"/>
          <w:szCs w:val="22"/>
          <w:lang w:val="bg-BG" w:eastAsia="ja-JP"/>
        </w:rPr>
        <w:t xml:space="preserve"> </w:t>
      </w:r>
      <w:r w:rsidRPr="00FE6AC6">
        <w:rPr>
          <w:rFonts w:eastAsia="MS Mincho"/>
          <w:color w:val="000000"/>
          <w:szCs w:val="22"/>
          <w:lang w:eastAsia="ja-JP"/>
        </w:rPr>
        <w:t>Institutes</w:t>
      </w:r>
      <w:r w:rsidRPr="00FE6AC6">
        <w:rPr>
          <w:rFonts w:eastAsia="MS Mincho"/>
          <w:color w:val="000000"/>
          <w:szCs w:val="22"/>
          <w:lang w:val="bg-BG" w:eastAsia="ja-JP"/>
        </w:rPr>
        <w:t xml:space="preserve"> </w:t>
      </w:r>
      <w:r w:rsidRPr="00FE6AC6">
        <w:rPr>
          <w:rFonts w:eastAsia="MS Mincho"/>
          <w:color w:val="000000"/>
          <w:szCs w:val="22"/>
          <w:lang w:eastAsia="ja-JP"/>
        </w:rPr>
        <w:t>of</w:t>
      </w:r>
      <w:r w:rsidRPr="00FE6AC6">
        <w:rPr>
          <w:rFonts w:eastAsia="MS Mincho"/>
          <w:color w:val="000000"/>
          <w:szCs w:val="22"/>
          <w:lang w:val="bg-BG" w:eastAsia="ja-JP"/>
        </w:rPr>
        <w:t xml:space="preserve"> </w:t>
      </w:r>
      <w:r w:rsidRPr="00FE6AC6">
        <w:rPr>
          <w:rFonts w:eastAsia="MS Mincho"/>
          <w:color w:val="000000"/>
          <w:szCs w:val="22"/>
          <w:lang w:eastAsia="ja-JP"/>
        </w:rPr>
        <w:t>Health</w:t>
      </w:r>
      <w:r w:rsidRPr="00FE6AC6">
        <w:rPr>
          <w:rFonts w:eastAsia="MS Mincho"/>
          <w:color w:val="000000"/>
          <w:szCs w:val="22"/>
          <w:lang w:val="bg-BG" w:eastAsia="ja-JP"/>
        </w:rPr>
        <w:t xml:space="preserve"> (</w:t>
      </w:r>
      <w:r w:rsidRPr="00FE6AC6">
        <w:rPr>
          <w:rFonts w:eastAsia="MS Mincho"/>
          <w:color w:val="000000"/>
          <w:szCs w:val="22"/>
          <w:lang w:eastAsia="ja-JP"/>
        </w:rPr>
        <w:t>NIH</w:t>
      </w:r>
      <w:r w:rsidRPr="00FE6AC6">
        <w:rPr>
          <w:rFonts w:eastAsia="MS Mincho"/>
          <w:color w:val="000000"/>
          <w:szCs w:val="22"/>
          <w:lang w:val="bg-BG" w:eastAsia="ja-JP"/>
        </w:rPr>
        <w:t>)) и</w:t>
      </w:r>
      <w:r w:rsidRPr="00FE6AC6">
        <w:rPr>
          <w:color w:val="000000"/>
          <w:lang w:val="bg-BG"/>
        </w:rPr>
        <w:t xml:space="preserve"> класификацията на риска на</w:t>
      </w:r>
      <w:r w:rsidRPr="00FE6AC6">
        <w:rPr>
          <w:rFonts w:eastAsia="MS Mincho"/>
          <w:color w:val="000000"/>
          <w:szCs w:val="22"/>
          <w:lang w:val="bg-BG" w:eastAsia="ja-JP"/>
        </w:rPr>
        <w:t xml:space="preserve"> Института по патология на въоръжените сили (</w:t>
      </w:r>
      <w:r w:rsidRPr="00FE6AC6">
        <w:rPr>
          <w:rFonts w:eastAsia="MS Mincho"/>
          <w:color w:val="000000"/>
          <w:szCs w:val="22"/>
          <w:lang w:eastAsia="ja-JP"/>
        </w:rPr>
        <w:t>Armed</w:t>
      </w:r>
      <w:r w:rsidRPr="00FE6AC6">
        <w:rPr>
          <w:rFonts w:eastAsia="MS Mincho"/>
          <w:color w:val="000000"/>
          <w:szCs w:val="22"/>
          <w:lang w:val="bg-BG" w:eastAsia="ja-JP"/>
        </w:rPr>
        <w:t xml:space="preserve"> </w:t>
      </w:r>
      <w:r w:rsidRPr="00FE6AC6">
        <w:rPr>
          <w:rFonts w:eastAsia="MS Mincho"/>
          <w:color w:val="000000"/>
          <w:szCs w:val="22"/>
          <w:lang w:eastAsia="ja-JP"/>
        </w:rPr>
        <w:t>Forces</w:t>
      </w:r>
      <w:r w:rsidRPr="00FE6AC6">
        <w:rPr>
          <w:rFonts w:eastAsia="MS Mincho"/>
          <w:color w:val="000000"/>
          <w:szCs w:val="22"/>
          <w:lang w:val="bg-BG" w:eastAsia="ja-JP"/>
        </w:rPr>
        <w:t xml:space="preserve"> </w:t>
      </w:r>
      <w:r w:rsidRPr="00FE6AC6">
        <w:rPr>
          <w:rFonts w:eastAsia="MS Mincho"/>
          <w:color w:val="000000"/>
          <w:szCs w:val="22"/>
          <w:lang w:eastAsia="ja-JP"/>
        </w:rPr>
        <w:t>Institute</w:t>
      </w:r>
      <w:r w:rsidRPr="00FE6AC6">
        <w:rPr>
          <w:rFonts w:eastAsia="MS Mincho"/>
          <w:color w:val="000000"/>
          <w:szCs w:val="22"/>
          <w:lang w:val="bg-BG" w:eastAsia="ja-JP"/>
        </w:rPr>
        <w:t xml:space="preserve"> </w:t>
      </w:r>
      <w:r w:rsidRPr="00FE6AC6">
        <w:rPr>
          <w:rFonts w:eastAsia="MS Mincho"/>
          <w:color w:val="000000"/>
          <w:szCs w:val="22"/>
          <w:lang w:eastAsia="ja-JP"/>
        </w:rPr>
        <w:t>of</w:t>
      </w:r>
      <w:r w:rsidRPr="00FE6AC6">
        <w:rPr>
          <w:rFonts w:eastAsia="MS Mincho"/>
          <w:color w:val="000000"/>
          <w:szCs w:val="22"/>
          <w:lang w:val="bg-BG" w:eastAsia="ja-JP"/>
        </w:rPr>
        <w:t xml:space="preserve"> </w:t>
      </w:r>
      <w:r w:rsidRPr="00FE6AC6">
        <w:rPr>
          <w:rFonts w:eastAsia="MS Mincho"/>
          <w:color w:val="000000"/>
          <w:szCs w:val="22"/>
          <w:lang w:eastAsia="ja-JP"/>
        </w:rPr>
        <w:t>Pathology</w:t>
      </w:r>
      <w:r w:rsidRPr="00FE6AC6">
        <w:rPr>
          <w:rFonts w:eastAsia="MS Mincho"/>
          <w:color w:val="000000"/>
          <w:szCs w:val="22"/>
          <w:lang w:val="bg-BG" w:eastAsia="ja-JP"/>
        </w:rPr>
        <w:t xml:space="preserve"> (</w:t>
      </w:r>
      <w:r w:rsidRPr="00FE6AC6">
        <w:rPr>
          <w:rFonts w:eastAsia="MS Mincho"/>
          <w:color w:val="000000"/>
          <w:szCs w:val="22"/>
          <w:lang w:eastAsia="ja-JP"/>
        </w:rPr>
        <w:t>AFIP</w:t>
      </w:r>
      <w:r w:rsidRPr="00FE6AC6">
        <w:rPr>
          <w:rFonts w:eastAsia="MS Mincho"/>
          <w:color w:val="000000"/>
          <w:szCs w:val="22"/>
          <w:lang w:val="bg-BG" w:eastAsia="ja-JP"/>
        </w:rPr>
        <w:t>)</w:t>
      </w:r>
      <w:r w:rsidRPr="00FE6AC6">
        <w:rPr>
          <w:color w:val="000000"/>
          <w:lang w:val="bg-BG"/>
        </w:rPr>
        <w:t>) са показани в Таблица </w:t>
      </w:r>
      <w:r w:rsidR="00957E0E" w:rsidRPr="00FE6AC6">
        <w:rPr>
          <w:color w:val="000000"/>
          <w:lang w:val="bg-BG"/>
        </w:rPr>
        <w:t>7</w:t>
      </w:r>
      <w:r w:rsidRPr="00FE6AC6">
        <w:rPr>
          <w:color w:val="000000"/>
          <w:lang w:val="bg-BG"/>
        </w:rPr>
        <w:t>. В групите с нисък и много нисък риск не се наблюдават клинични ползи. Ползи не се наблюдават и по отношение на общата преживяемост.</w:t>
      </w:r>
    </w:p>
    <w:p w14:paraId="3E550540" w14:textId="77777777" w:rsidR="001B628D" w:rsidRPr="00FE6AC6" w:rsidRDefault="001B628D" w:rsidP="0063575E">
      <w:pPr>
        <w:widowControl w:val="0"/>
        <w:spacing w:line="240" w:lineRule="auto"/>
        <w:rPr>
          <w:color w:val="000000"/>
          <w:u w:val="single"/>
          <w:lang w:val="bg-BG"/>
        </w:rPr>
      </w:pPr>
    </w:p>
    <w:p w14:paraId="3E550541" w14:textId="77777777" w:rsidR="001B628D" w:rsidRPr="00FE6AC6" w:rsidRDefault="001B628D" w:rsidP="00C90F9F">
      <w:pPr>
        <w:pStyle w:val="Heading6"/>
        <w:keepLines/>
        <w:widowControl w:val="0"/>
        <w:tabs>
          <w:tab w:val="clear" w:pos="567"/>
          <w:tab w:val="clear" w:pos="4536"/>
          <w:tab w:val="left" w:pos="1134"/>
        </w:tabs>
        <w:suppressAutoHyphens w:val="0"/>
        <w:spacing w:line="240" w:lineRule="auto"/>
        <w:ind w:left="1134" w:hanging="1134"/>
        <w:rPr>
          <w:rFonts w:eastAsia="MS Mincho"/>
          <w:b/>
          <w:i w:val="0"/>
          <w:color w:val="000000"/>
          <w:szCs w:val="22"/>
          <w:lang w:val="ru-RU" w:eastAsia="ja-JP"/>
        </w:rPr>
      </w:pPr>
      <w:r w:rsidRPr="00FE6AC6">
        <w:rPr>
          <w:rFonts w:eastAsia="MS Mincho"/>
          <w:b/>
          <w:i w:val="0"/>
          <w:color w:val="000000"/>
          <w:szCs w:val="22"/>
          <w:lang w:val="bg-BG" w:eastAsia="ja-JP"/>
        </w:rPr>
        <w:t>Таблица</w:t>
      </w:r>
      <w:r w:rsidRPr="00FE6AC6">
        <w:rPr>
          <w:rFonts w:eastAsia="MS Mincho"/>
          <w:b/>
          <w:i w:val="0"/>
          <w:color w:val="000000"/>
          <w:szCs w:val="22"/>
          <w:lang w:val="en-US" w:eastAsia="ja-JP"/>
        </w:rPr>
        <w:t> </w:t>
      </w:r>
      <w:r w:rsidR="00957E0E" w:rsidRPr="00FE6AC6">
        <w:rPr>
          <w:rFonts w:eastAsia="MS Mincho"/>
          <w:b/>
          <w:i w:val="0"/>
          <w:color w:val="000000"/>
          <w:szCs w:val="22"/>
          <w:lang w:val="bg-BG" w:eastAsia="ja-JP"/>
        </w:rPr>
        <w:t>7</w:t>
      </w:r>
      <w:r w:rsidRPr="00FE6AC6">
        <w:rPr>
          <w:rFonts w:eastAsia="MS Mincho"/>
          <w:b/>
          <w:i w:val="0"/>
          <w:color w:val="000000"/>
          <w:szCs w:val="22"/>
          <w:lang w:val="ru-RU" w:eastAsia="ja-JP"/>
        </w:rPr>
        <w:tab/>
      </w:r>
      <w:r w:rsidRPr="00FE6AC6">
        <w:rPr>
          <w:rFonts w:eastAsia="MS Mincho"/>
          <w:b/>
          <w:i w:val="0"/>
          <w:color w:val="000000"/>
          <w:szCs w:val="22"/>
          <w:lang w:val="bg-BG" w:eastAsia="ja-JP"/>
        </w:rPr>
        <w:t>Обобщение на анализите на преживяемостта без рецидив при проучването</w:t>
      </w:r>
      <w:r w:rsidRPr="00FE6AC6">
        <w:rPr>
          <w:rFonts w:eastAsia="MS Mincho"/>
          <w:b/>
          <w:i w:val="0"/>
          <w:color w:val="000000"/>
          <w:szCs w:val="22"/>
          <w:lang w:val="ru-RU" w:eastAsia="ja-JP"/>
        </w:rPr>
        <w:t xml:space="preserve"> </w:t>
      </w:r>
      <w:r w:rsidRPr="00FE6AC6">
        <w:rPr>
          <w:rFonts w:eastAsia="MS Mincho"/>
          <w:b/>
          <w:i w:val="0"/>
          <w:color w:val="000000"/>
          <w:szCs w:val="22"/>
          <w:lang w:val="en-US" w:eastAsia="ja-JP"/>
        </w:rPr>
        <w:t>Z</w:t>
      </w:r>
      <w:r w:rsidRPr="00FE6AC6">
        <w:rPr>
          <w:rFonts w:eastAsia="MS Mincho"/>
          <w:b/>
          <w:i w:val="0"/>
          <w:color w:val="000000"/>
          <w:szCs w:val="22"/>
          <w:lang w:val="ru-RU" w:eastAsia="ja-JP"/>
        </w:rPr>
        <w:t xml:space="preserve">9001, </w:t>
      </w:r>
      <w:r w:rsidRPr="00FE6AC6">
        <w:rPr>
          <w:rFonts w:eastAsia="MS Mincho"/>
          <w:b/>
          <w:i w:val="0"/>
          <w:color w:val="000000"/>
          <w:szCs w:val="22"/>
          <w:lang w:val="bg-BG" w:eastAsia="ja-JP"/>
        </w:rPr>
        <w:t xml:space="preserve">съгласно класификациите на риска на </w:t>
      </w:r>
      <w:r w:rsidRPr="00FE6AC6">
        <w:rPr>
          <w:rFonts w:eastAsia="MS Mincho"/>
          <w:b/>
          <w:i w:val="0"/>
          <w:color w:val="000000"/>
          <w:szCs w:val="22"/>
          <w:lang w:val="en-US" w:eastAsia="ja-JP"/>
        </w:rPr>
        <w:t>NIH</w:t>
      </w:r>
      <w:r w:rsidRPr="00FE6AC6">
        <w:rPr>
          <w:rFonts w:eastAsia="MS Mincho"/>
          <w:b/>
          <w:i w:val="0"/>
          <w:color w:val="000000"/>
          <w:szCs w:val="22"/>
          <w:lang w:val="ru-RU" w:eastAsia="ja-JP"/>
        </w:rPr>
        <w:t xml:space="preserve"> и </w:t>
      </w:r>
      <w:r w:rsidRPr="00FE6AC6">
        <w:rPr>
          <w:rFonts w:eastAsia="MS Mincho"/>
          <w:b/>
          <w:i w:val="0"/>
          <w:color w:val="000000"/>
          <w:szCs w:val="22"/>
          <w:lang w:val="en-US" w:eastAsia="ja-JP"/>
        </w:rPr>
        <w:t>AFIP</w:t>
      </w:r>
    </w:p>
    <w:p w14:paraId="3E550542" w14:textId="77777777" w:rsidR="001B628D" w:rsidRPr="00FE6AC6" w:rsidRDefault="001B628D" w:rsidP="0063575E">
      <w:pPr>
        <w:keepNext/>
        <w:keepLines/>
        <w:widowControl w:val="0"/>
        <w:spacing w:line="240" w:lineRule="auto"/>
        <w:rPr>
          <w:rFonts w:eastAsia="MS Mincho"/>
          <w:lang w:val="bg-BG" w:eastAsia="ja-JP"/>
        </w:rPr>
      </w:pP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232"/>
        <w:gridCol w:w="1204"/>
        <w:gridCol w:w="1841"/>
        <w:gridCol w:w="1560"/>
        <w:gridCol w:w="1275"/>
        <w:gridCol w:w="1259"/>
      </w:tblGrid>
      <w:tr w:rsidR="001B628D" w:rsidRPr="00FE6AC6" w14:paraId="3E550549" w14:textId="77777777" w:rsidTr="00C90F9F">
        <w:trPr>
          <w:cantSplit/>
        </w:trPr>
        <w:tc>
          <w:tcPr>
            <w:tcW w:w="934" w:type="dxa"/>
            <w:vMerge w:val="restart"/>
          </w:tcPr>
          <w:p w14:paraId="3E550543" w14:textId="77777777" w:rsidR="001B628D" w:rsidRPr="00FE6AC6" w:rsidRDefault="001B628D" w:rsidP="00C90F9F">
            <w:pPr>
              <w:keepNext/>
              <w:widowControl w:val="0"/>
              <w:spacing w:line="240" w:lineRule="auto"/>
              <w:jc w:val="center"/>
              <w:rPr>
                <w:b/>
                <w:szCs w:val="22"/>
              </w:rPr>
            </w:pPr>
            <w:r w:rsidRPr="00FE6AC6">
              <w:rPr>
                <w:b/>
                <w:szCs w:val="22"/>
                <w:lang w:val="bg-BG"/>
              </w:rPr>
              <w:t>Критерии за риск</w:t>
            </w:r>
          </w:p>
        </w:tc>
        <w:tc>
          <w:tcPr>
            <w:tcW w:w="1232" w:type="dxa"/>
            <w:vMerge w:val="restart"/>
            <w:tcBorders>
              <w:right w:val="single" w:sz="4" w:space="0" w:color="auto"/>
            </w:tcBorders>
          </w:tcPr>
          <w:p w14:paraId="3E550544" w14:textId="77777777" w:rsidR="001B628D" w:rsidRPr="00FE6AC6" w:rsidRDefault="001B628D" w:rsidP="00C90F9F">
            <w:pPr>
              <w:keepNext/>
              <w:widowControl w:val="0"/>
              <w:spacing w:line="240" w:lineRule="auto"/>
              <w:rPr>
                <w:b/>
                <w:szCs w:val="22"/>
              </w:rPr>
            </w:pPr>
            <w:r w:rsidRPr="00FE6AC6">
              <w:rPr>
                <w:b/>
                <w:szCs w:val="22"/>
                <w:lang w:val="bg-BG"/>
              </w:rPr>
              <w:t>Степен на риск</w:t>
            </w:r>
          </w:p>
        </w:tc>
        <w:tc>
          <w:tcPr>
            <w:tcW w:w="1204" w:type="dxa"/>
            <w:vMerge w:val="restart"/>
            <w:tcBorders>
              <w:left w:val="single" w:sz="4" w:space="0" w:color="auto"/>
              <w:right w:val="single" w:sz="4" w:space="0" w:color="auto"/>
            </w:tcBorders>
          </w:tcPr>
          <w:p w14:paraId="3E550545" w14:textId="77777777" w:rsidR="001B628D" w:rsidRPr="00FE6AC6" w:rsidRDefault="001B628D" w:rsidP="00C90F9F">
            <w:pPr>
              <w:keepNext/>
              <w:widowControl w:val="0"/>
              <w:spacing w:line="240" w:lineRule="auto"/>
              <w:jc w:val="center"/>
              <w:rPr>
                <w:b/>
                <w:szCs w:val="22"/>
              </w:rPr>
            </w:pPr>
            <w:r w:rsidRPr="00FE6AC6">
              <w:rPr>
                <w:b/>
                <w:szCs w:val="22"/>
              </w:rPr>
              <w:t xml:space="preserve">% </w:t>
            </w:r>
            <w:r w:rsidRPr="00FE6AC6">
              <w:rPr>
                <w:b/>
                <w:szCs w:val="22"/>
                <w:lang w:val="bg-BG"/>
              </w:rPr>
              <w:t>пациенти</w:t>
            </w:r>
          </w:p>
        </w:tc>
        <w:tc>
          <w:tcPr>
            <w:tcW w:w="1841" w:type="dxa"/>
            <w:vMerge w:val="restart"/>
            <w:tcBorders>
              <w:left w:val="single" w:sz="4" w:space="0" w:color="auto"/>
              <w:right w:val="single" w:sz="4" w:space="0" w:color="auto"/>
            </w:tcBorders>
          </w:tcPr>
          <w:p w14:paraId="3E550546" w14:textId="77777777" w:rsidR="001B628D" w:rsidRPr="00FE6AC6" w:rsidRDefault="001B628D" w:rsidP="00C90F9F">
            <w:pPr>
              <w:keepNext/>
              <w:widowControl w:val="0"/>
              <w:spacing w:line="240" w:lineRule="auto"/>
              <w:jc w:val="center"/>
              <w:rPr>
                <w:b/>
                <w:szCs w:val="22"/>
                <w:lang w:val="bg-BG"/>
              </w:rPr>
            </w:pPr>
            <w:r w:rsidRPr="00FE6AC6">
              <w:rPr>
                <w:b/>
                <w:szCs w:val="22"/>
                <w:lang w:val="bg-BG"/>
              </w:rPr>
              <w:t>Брой събития</w:t>
            </w:r>
            <w:r w:rsidRPr="00FE6AC6">
              <w:rPr>
                <w:b/>
                <w:szCs w:val="22"/>
              </w:rPr>
              <w:t>/</w:t>
            </w:r>
            <w:r w:rsidRPr="00FE6AC6">
              <w:rPr>
                <w:b/>
                <w:szCs w:val="22"/>
              </w:rPr>
              <w:br/>
            </w:r>
            <w:r w:rsidRPr="00FE6AC6">
              <w:rPr>
                <w:b/>
                <w:szCs w:val="22"/>
                <w:lang w:val="bg-BG"/>
              </w:rPr>
              <w:t>Брой пациенти</w:t>
            </w:r>
          </w:p>
        </w:tc>
        <w:tc>
          <w:tcPr>
            <w:tcW w:w="1560" w:type="dxa"/>
            <w:vMerge w:val="restart"/>
            <w:tcBorders>
              <w:left w:val="single" w:sz="4" w:space="0" w:color="auto"/>
              <w:right w:val="single" w:sz="4" w:space="0" w:color="auto"/>
            </w:tcBorders>
          </w:tcPr>
          <w:p w14:paraId="3E550547" w14:textId="77777777" w:rsidR="001B628D" w:rsidRPr="00FE6AC6" w:rsidRDefault="001B628D" w:rsidP="00C90F9F">
            <w:pPr>
              <w:keepNext/>
              <w:widowControl w:val="0"/>
              <w:spacing w:line="240" w:lineRule="auto"/>
              <w:jc w:val="center"/>
              <w:rPr>
                <w:b/>
                <w:szCs w:val="22"/>
                <w:lang w:val="ru-RU"/>
              </w:rPr>
            </w:pPr>
            <w:r w:rsidRPr="00FE6AC6">
              <w:rPr>
                <w:b/>
                <w:szCs w:val="22"/>
                <w:lang w:val="bg-BG"/>
              </w:rPr>
              <w:t>Общ коефициент на риск</w:t>
            </w:r>
            <w:r w:rsidRPr="00FE6AC6">
              <w:rPr>
                <w:b/>
                <w:szCs w:val="22"/>
                <w:lang w:val="ru-RU"/>
              </w:rPr>
              <w:t xml:space="preserve"> (95%</w:t>
            </w:r>
            <w:r w:rsidRPr="00FE6AC6">
              <w:rPr>
                <w:b/>
                <w:szCs w:val="22"/>
                <w:lang w:val="bg-BG"/>
              </w:rPr>
              <w:t xml:space="preserve"> </w:t>
            </w:r>
            <w:r w:rsidRPr="00FE6AC6">
              <w:rPr>
                <w:b/>
                <w:szCs w:val="22"/>
                <w:lang w:val="en-US"/>
              </w:rPr>
              <w:t>CI</w:t>
            </w:r>
            <w:r w:rsidRPr="00FE6AC6">
              <w:rPr>
                <w:b/>
                <w:szCs w:val="22"/>
                <w:lang w:val="ru-RU"/>
              </w:rPr>
              <w:t>)*</w:t>
            </w:r>
          </w:p>
        </w:tc>
        <w:tc>
          <w:tcPr>
            <w:tcW w:w="2534" w:type="dxa"/>
            <w:gridSpan w:val="2"/>
            <w:tcBorders>
              <w:left w:val="single" w:sz="4" w:space="0" w:color="auto"/>
            </w:tcBorders>
          </w:tcPr>
          <w:p w14:paraId="3E550548" w14:textId="77777777" w:rsidR="001B628D" w:rsidRPr="00FE6AC6" w:rsidRDefault="001B628D" w:rsidP="00C90F9F">
            <w:pPr>
              <w:keepNext/>
              <w:widowControl w:val="0"/>
              <w:spacing w:line="240" w:lineRule="auto"/>
              <w:jc w:val="center"/>
              <w:rPr>
                <w:b/>
                <w:szCs w:val="22"/>
              </w:rPr>
            </w:pPr>
            <w:r w:rsidRPr="00FE6AC6">
              <w:rPr>
                <w:b/>
                <w:szCs w:val="22"/>
                <w:lang w:val="bg-BG"/>
              </w:rPr>
              <w:t xml:space="preserve">Преживяемост без рецидив </w:t>
            </w:r>
            <w:r w:rsidRPr="00FE6AC6">
              <w:rPr>
                <w:b/>
                <w:szCs w:val="22"/>
              </w:rPr>
              <w:t>(%)</w:t>
            </w:r>
          </w:p>
        </w:tc>
      </w:tr>
      <w:tr w:rsidR="001B628D" w:rsidRPr="00FE6AC6" w14:paraId="3E550551" w14:textId="77777777" w:rsidTr="00C90F9F">
        <w:trPr>
          <w:cantSplit/>
        </w:trPr>
        <w:tc>
          <w:tcPr>
            <w:tcW w:w="934" w:type="dxa"/>
            <w:vMerge/>
          </w:tcPr>
          <w:p w14:paraId="3E55054A" w14:textId="77777777" w:rsidR="001B628D" w:rsidRPr="00FE6AC6" w:rsidRDefault="001B628D" w:rsidP="00C90F9F">
            <w:pPr>
              <w:keepNext/>
              <w:widowControl w:val="0"/>
              <w:spacing w:line="240" w:lineRule="auto"/>
              <w:rPr>
                <w:b/>
                <w:szCs w:val="22"/>
              </w:rPr>
            </w:pPr>
          </w:p>
        </w:tc>
        <w:tc>
          <w:tcPr>
            <w:tcW w:w="1232" w:type="dxa"/>
            <w:vMerge/>
            <w:tcBorders>
              <w:right w:val="single" w:sz="4" w:space="0" w:color="auto"/>
            </w:tcBorders>
          </w:tcPr>
          <w:p w14:paraId="3E55054B" w14:textId="77777777" w:rsidR="001B628D" w:rsidRPr="00FE6AC6" w:rsidRDefault="001B628D" w:rsidP="00C90F9F">
            <w:pPr>
              <w:keepNext/>
              <w:widowControl w:val="0"/>
              <w:spacing w:line="240" w:lineRule="auto"/>
              <w:rPr>
                <w:b/>
                <w:szCs w:val="22"/>
              </w:rPr>
            </w:pPr>
          </w:p>
        </w:tc>
        <w:tc>
          <w:tcPr>
            <w:tcW w:w="1204" w:type="dxa"/>
            <w:vMerge/>
            <w:tcBorders>
              <w:left w:val="single" w:sz="4" w:space="0" w:color="auto"/>
              <w:right w:val="single" w:sz="4" w:space="0" w:color="auto"/>
            </w:tcBorders>
          </w:tcPr>
          <w:p w14:paraId="3E55054C" w14:textId="77777777" w:rsidR="001B628D" w:rsidRPr="00FE6AC6" w:rsidRDefault="001B628D" w:rsidP="00C90F9F">
            <w:pPr>
              <w:keepNext/>
              <w:widowControl w:val="0"/>
              <w:spacing w:line="240" w:lineRule="auto"/>
              <w:jc w:val="center"/>
              <w:rPr>
                <w:b/>
                <w:szCs w:val="22"/>
              </w:rPr>
            </w:pPr>
          </w:p>
        </w:tc>
        <w:tc>
          <w:tcPr>
            <w:tcW w:w="1841" w:type="dxa"/>
            <w:vMerge/>
            <w:tcBorders>
              <w:left w:val="single" w:sz="4" w:space="0" w:color="auto"/>
              <w:right w:val="single" w:sz="4" w:space="0" w:color="auto"/>
            </w:tcBorders>
          </w:tcPr>
          <w:p w14:paraId="3E55054D" w14:textId="77777777" w:rsidR="001B628D" w:rsidRPr="00FE6AC6" w:rsidRDefault="001B628D" w:rsidP="00C90F9F">
            <w:pPr>
              <w:keepNext/>
              <w:widowControl w:val="0"/>
              <w:spacing w:line="240" w:lineRule="auto"/>
              <w:jc w:val="center"/>
              <w:rPr>
                <w:b/>
                <w:szCs w:val="22"/>
              </w:rPr>
            </w:pPr>
          </w:p>
        </w:tc>
        <w:tc>
          <w:tcPr>
            <w:tcW w:w="1560" w:type="dxa"/>
            <w:vMerge/>
            <w:tcBorders>
              <w:left w:val="single" w:sz="4" w:space="0" w:color="auto"/>
              <w:right w:val="single" w:sz="4" w:space="0" w:color="auto"/>
            </w:tcBorders>
          </w:tcPr>
          <w:p w14:paraId="3E55054E" w14:textId="77777777" w:rsidR="001B628D" w:rsidRPr="00FE6AC6" w:rsidRDefault="001B628D" w:rsidP="00C90F9F">
            <w:pPr>
              <w:keepNext/>
              <w:widowControl w:val="0"/>
              <w:spacing w:line="240" w:lineRule="auto"/>
              <w:rPr>
                <w:b/>
                <w:szCs w:val="22"/>
              </w:rPr>
            </w:pPr>
          </w:p>
        </w:tc>
        <w:tc>
          <w:tcPr>
            <w:tcW w:w="1275" w:type="dxa"/>
            <w:tcBorders>
              <w:left w:val="single" w:sz="4" w:space="0" w:color="auto"/>
              <w:right w:val="single" w:sz="4" w:space="0" w:color="auto"/>
            </w:tcBorders>
          </w:tcPr>
          <w:p w14:paraId="3E55054F" w14:textId="77777777" w:rsidR="001B628D" w:rsidRPr="00FE6AC6" w:rsidRDefault="001B628D" w:rsidP="00C90F9F">
            <w:pPr>
              <w:keepNext/>
              <w:widowControl w:val="0"/>
              <w:spacing w:line="240" w:lineRule="auto"/>
              <w:jc w:val="center"/>
              <w:rPr>
                <w:b/>
                <w:szCs w:val="22"/>
                <w:lang w:val="bg-BG"/>
              </w:rPr>
            </w:pPr>
            <w:r w:rsidRPr="00FE6AC6">
              <w:rPr>
                <w:b/>
                <w:szCs w:val="22"/>
              </w:rPr>
              <w:t>12 </w:t>
            </w:r>
            <w:r w:rsidRPr="00FE6AC6">
              <w:rPr>
                <w:b/>
                <w:szCs w:val="22"/>
                <w:lang w:val="bg-BG"/>
              </w:rPr>
              <w:t>месеца</w:t>
            </w:r>
          </w:p>
        </w:tc>
        <w:tc>
          <w:tcPr>
            <w:tcW w:w="1259" w:type="dxa"/>
            <w:tcBorders>
              <w:left w:val="single" w:sz="4" w:space="0" w:color="auto"/>
            </w:tcBorders>
          </w:tcPr>
          <w:p w14:paraId="3E550550" w14:textId="77777777" w:rsidR="001B628D" w:rsidRPr="00FE6AC6" w:rsidRDefault="001B628D" w:rsidP="00C90F9F">
            <w:pPr>
              <w:keepNext/>
              <w:widowControl w:val="0"/>
              <w:spacing w:line="240" w:lineRule="auto"/>
              <w:jc w:val="center"/>
              <w:rPr>
                <w:b/>
                <w:szCs w:val="22"/>
              </w:rPr>
            </w:pPr>
            <w:r w:rsidRPr="00FE6AC6">
              <w:rPr>
                <w:b/>
                <w:szCs w:val="22"/>
              </w:rPr>
              <w:t>24 </w:t>
            </w:r>
            <w:r w:rsidRPr="00FE6AC6">
              <w:rPr>
                <w:b/>
                <w:szCs w:val="22"/>
                <w:lang w:val="bg-BG"/>
              </w:rPr>
              <w:t>месеца</w:t>
            </w:r>
          </w:p>
        </w:tc>
      </w:tr>
      <w:tr w:rsidR="001B628D" w:rsidRPr="00FE6AC6" w14:paraId="3E550559" w14:textId="77777777" w:rsidTr="00C90F9F">
        <w:trPr>
          <w:cantSplit/>
        </w:trPr>
        <w:tc>
          <w:tcPr>
            <w:tcW w:w="934" w:type="dxa"/>
            <w:vMerge/>
          </w:tcPr>
          <w:p w14:paraId="3E550552" w14:textId="77777777" w:rsidR="001B628D" w:rsidRPr="00FE6AC6" w:rsidRDefault="001B628D" w:rsidP="00C90F9F">
            <w:pPr>
              <w:keepNext/>
              <w:widowControl w:val="0"/>
              <w:spacing w:line="240" w:lineRule="auto"/>
              <w:rPr>
                <w:b/>
                <w:szCs w:val="22"/>
              </w:rPr>
            </w:pPr>
          </w:p>
        </w:tc>
        <w:tc>
          <w:tcPr>
            <w:tcW w:w="1232" w:type="dxa"/>
            <w:vMerge/>
            <w:tcBorders>
              <w:right w:val="single" w:sz="4" w:space="0" w:color="auto"/>
            </w:tcBorders>
          </w:tcPr>
          <w:p w14:paraId="3E550553" w14:textId="77777777" w:rsidR="001B628D" w:rsidRPr="00FE6AC6" w:rsidRDefault="001B628D" w:rsidP="00C90F9F">
            <w:pPr>
              <w:keepNext/>
              <w:widowControl w:val="0"/>
              <w:spacing w:line="240" w:lineRule="auto"/>
              <w:rPr>
                <w:b/>
                <w:szCs w:val="22"/>
              </w:rPr>
            </w:pPr>
          </w:p>
        </w:tc>
        <w:tc>
          <w:tcPr>
            <w:tcW w:w="1204" w:type="dxa"/>
            <w:vMerge/>
            <w:tcBorders>
              <w:left w:val="single" w:sz="4" w:space="0" w:color="auto"/>
              <w:right w:val="single" w:sz="4" w:space="0" w:color="auto"/>
            </w:tcBorders>
          </w:tcPr>
          <w:p w14:paraId="3E550554" w14:textId="77777777" w:rsidR="001B628D" w:rsidRPr="00FE6AC6" w:rsidRDefault="001B628D" w:rsidP="00C90F9F">
            <w:pPr>
              <w:keepNext/>
              <w:widowControl w:val="0"/>
              <w:spacing w:line="240" w:lineRule="auto"/>
              <w:jc w:val="center"/>
              <w:rPr>
                <w:b/>
                <w:szCs w:val="22"/>
              </w:rPr>
            </w:pPr>
          </w:p>
        </w:tc>
        <w:tc>
          <w:tcPr>
            <w:tcW w:w="1841" w:type="dxa"/>
            <w:tcBorders>
              <w:left w:val="single" w:sz="4" w:space="0" w:color="auto"/>
              <w:bottom w:val="single" w:sz="4" w:space="0" w:color="auto"/>
              <w:right w:val="single" w:sz="4" w:space="0" w:color="auto"/>
            </w:tcBorders>
          </w:tcPr>
          <w:p w14:paraId="3E550555" w14:textId="77777777" w:rsidR="001B628D" w:rsidRPr="00FE6AC6" w:rsidRDefault="001B628D" w:rsidP="00C90F9F">
            <w:pPr>
              <w:keepNext/>
              <w:widowControl w:val="0"/>
              <w:spacing w:line="240" w:lineRule="auto"/>
              <w:jc w:val="center"/>
              <w:rPr>
                <w:b/>
                <w:szCs w:val="22"/>
                <w:lang w:val="bg-BG"/>
              </w:rPr>
            </w:pPr>
            <w:r w:rsidRPr="00FE6AC6">
              <w:rPr>
                <w:b/>
                <w:szCs w:val="22"/>
              </w:rPr>
              <w:t xml:space="preserve">Glivec </w:t>
            </w:r>
            <w:r w:rsidRPr="00FE6AC6">
              <w:rPr>
                <w:b/>
                <w:szCs w:val="22"/>
                <w:lang w:val="bg-BG"/>
              </w:rPr>
              <w:t>спрямо плацебо</w:t>
            </w:r>
          </w:p>
        </w:tc>
        <w:tc>
          <w:tcPr>
            <w:tcW w:w="1560" w:type="dxa"/>
            <w:vMerge/>
            <w:tcBorders>
              <w:left w:val="single" w:sz="4" w:space="0" w:color="auto"/>
              <w:bottom w:val="single" w:sz="4" w:space="0" w:color="auto"/>
              <w:right w:val="single" w:sz="4" w:space="0" w:color="auto"/>
            </w:tcBorders>
          </w:tcPr>
          <w:p w14:paraId="3E550556" w14:textId="77777777" w:rsidR="001B628D" w:rsidRPr="00FE6AC6" w:rsidRDefault="001B628D" w:rsidP="00C90F9F">
            <w:pPr>
              <w:keepNext/>
              <w:widowControl w:val="0"/>
              <w:spacing w:line="240" w:lineRule="auto"/>
              <w:jc w:val="center"/>
              <w:rPr>
                <w:b/>
                <w:szCs w:val="22"/>
              </w:rPr>
            </w:pPr>
          </w:p>
        </w:tc>
        <w:tc>
          <w:tcPr>
            <w:tcW w:w="1275" w:type="dxa"/>
            <w:tcBorders>
              <w:left w:val="single" w:sz="4" w:space="0" w:color="auto"/>
              <w:bottom w:val="single" w:sz="4" w:space="0" w:color="auto"/>
              <w:right w:val="single" w:sz="4" w:space="0" w:color="auto"/>
            </w:tcBorders>
          </w:tcPr>
          <w:p w14:paraId="3E550557" w14:textId="77777777" w:rsidR="001B628D" w:rsidRPr="00FE6AC6" w:rsidRDefault="001B628D" w:rsidP="00C90F9F">
            <w:pPr>
              <w:keepNext/>
              <w:widowControl w:val="0"/>
              <w:spacing w:line="240" w:lineRule="auto"/>
              <w:jc w:val="center"/>
              <w:rPr>
                <w:b/>
                <w:szCs w:val="22"/>
              </w:rPr>
            </w:pPr>
            <w:r w:rsidRPr="00FE6AC6">
              <w:rPr>
                <w:b/>
                <w:szCs w:val="22"/>
              </w:rPr>
              <w:t xml:space="preserve">Glivec </w:t>
            </w:r>
            <w:r w:rsidRPr="00FE6AC6">
              <w:rPr>
                <w:b/>
                <w:szCs w:val="22"/>
                <w:lang w:val="bg-BG"/>
              </w:rPr>
              <w:t>спрямо плацебо</w:t>
            </w:r>
          </w:p>
        </w:tc>
        <w:tc>
          <w:tcPr>
            <w:tcW w:w="1259" w:type="dxa"/>
            <w:tcBorders>
              <w:left w:val="single" w:sz="4" w:space="0" w:color="auto"/>
            </w:tcBorders>
          </w:tcPr>
          <w:p w14:paraId="3E550558" w14:textId="77777777" w:rsidR="001B628D" w:rsidRPr="00FE6AC6" w:rsidRDefault="001B628D" w:rsidP="00C90F9F">
            <w:pPr>
              <w:keepNext/>
              <w:widowControl w:val="0"/>
              <w:spacing w:line="240" w:lineRule="auto"/>
              <w:jc w:val="center"/>
              <w:rPr>
                <w:b/>
                <w:szCs w:val="22"/>
              </w:rPr>
            </w:pPr>
            <w:r w:rsidRPr="00FE6AC6">
              <w:rPr>
                <w:b/>
                <w:szCs w:val="22"/>
              </w:rPr>
              <w:t xml:space="preserve">Glivec </w:t>
            </w:r>
            <w:r w:rsidRPr="00FE6AC6">
              <w:rPr>
                <w:b/>
                <w:szCs w:val="22"/>
                <w:lang w:val="bg-BG"/>
              </w:rPr>
              <w:t>спрямо плацебо</w:t>
            </w:r>
          </w:p>
        </w:tc>
      </w:tr>
      <w:tr w:rsidR="001B628D" w:rsidRPr="00FE6AC6" w14:paraId="3E550563" w14:textId="77777777" w:rsidTr="00C90F9F">
        <w:trPr>
          <w:cantSplit/>
        </w:trPr>
        <w:tc>
          <w:tcPr>
            <w:tcW w:w="934" w:type="dxa"/>
            <w:vMerge w:val="restart"/>
            <w:shd w:val="clear" w:color="auto" w:fill="auto"/>
          </w:tcPr>
          <w:p w14:paraId="3E55055A" w14:textId="77777777" w:rsidR="001B628D" w:rsidRPr="00FE6AC6" w:rsidRDefault="001B628D" w:rsidP="00C90F9F">
            <w:pPr>
              <w:pStyle w:val="Nottoc-headings"/>
              <w:keepLines w:val="0"/>
              <w:widowControl w:val="0"/>
              <w:spacing w:before="0" w:after="0"/>
              <w:ind w:left="0" w:firstLine="0"/>
              <w:rPr>
                <w:sz w:val="22"/>
                <w:szCs w:val="22"/>
              </w:rPr>
            </w:pPr>
            <w:r w:rsidRPr="00FE6AC6">
              <w:rPr>
                <w:rFonts w:ascii="Times New Roman" w:hAnsi="Times New Roman"/>
                <w:b w:val="0"/>
                <w:sz w:val="22"/>
                <w:szCs w:val="22"/>
              </w:rPr>
              <w:t>NIH</w:t>
            </w:r>
          </w:p>
        </w:tc>
        <w:tc>
          <w:tcPr>
            <w:tcW w:w="1232" w:type="dxa"/>
            <w:tcBorders>
              <w:bottom w:val="nil"/>
              <w:right w:val="single" w:sz="4" w:space="0" w:color="auto"/>
            </w:tcBorders>
            <w:vAlign w:val="bottom"/>
          </w:tcPr>
          <w:p w14:paraId="3E55055B" w14:textId="77777777" w:rsidR="001B628D" w:rsidRPr="00FE6AC6" w:rsidRDefault="001B628D" w:rsidP="00C90F9F">
            <w:pPr>
              <w:pStyle w:val="Nottoc-headings"/>
              <w:keepLines w:val="0"/>
              <w:widowControl w:val="0"/>
              <w:spacing w:before="0" w:after="0"/>
              <w:ind w:left="57" w:hanging="57"/>
              <w:rPr>
                <w:rFonts w:ascii="Times New Roman" w:hAnsi="Times New Roman"/>
                <w:b w:val="0"/>
                <w:sz w:val="22"/>
                <w:szCs w:val="22"/>
              </w:rPr>
            </w:pPr>
            <w:r w:rsidRPr="00FE6AC6">
              <w:rPr>
                <w:rFonts w:ascii="Times New Roman" w:hAnsi="Times New Roman"/>
                <w:b w:val="0"/>
                <w:sz w:val="22"/>
                <w:szCs w:val="22"/>
                <w:lang w:val="bg-BG"/>
              </w:rPr>
              <w:t>Ниска</w:t>
            </w:r>
          </w:p>
        </w:tc>
        <w:tc>
          <w:tcPr>
            <w:tcW w:w="1204" w:type="dxa"/>
            <w:tcBorders>
              <w:left w:val="single" w:sz="4" w:space="0" w:color="auto"/>
              <w:bottom w:val="nil"/>
              <w:right w:val="single" w:sz="4" w:space="0" w:color="auto"/>
            </w:tcBorders>
            <w:vAlign w:val="bottom"/>
          </w:tcPr>
          <w:p w14:paraId="3E55055C" w14:textId="77777777" w:rsidR="001B628D" w:rsidRPr="00FE6AC6" w:rsidRDefault="001B628D" w:rsidP="00C90F9F">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29</w:t>
            </w:r>
            <w:r w:rsidRPr="00FE6AC6">
              <w:rPr>
                <w:rFonts w:ascii="Times New Roman" w:hAnsi="Times New Roman"/>
                <w:b w:val="0"/>
                <w:sz w:val="22"/>
                <w:szCs w:val="22"/>
                <w:lang w:val="bg-BG"/>
              </w:rPr>
              <w:t>,</w:t>
            </w:r>
            <w:r w:rsidRPr="00FE6AC6">
              <w:rPr>
                <w:rFonts w:ascii="Times New Roman" w:hAnsi="Times New Roman"/>
                <w:b w:val="0"/>
                <w:sz w:val="22"/>
                <w:szCs w:val="22"/>
              </w:rPr>
              <w:t>5</w:t>
            </w:r>
          </w:p>
        </w:tc>
        <w:tc>
          <w:tcPr>
            <w:tcW w:w="1841" w:type="dxa"/>
            <w:tcBorders>
              <w:left w:val="single" w:sz="4" w:space="0" w:color="auto"/>
              <w:bottom w:val="nil"/>
              <w:right w:val="single" w:sz="4" w:space="0" w:color="auto"/>
            </w:tcBorders>
            <w:vAlign w:val="bottom"/>
          </w:tcPr>
          <w:p w14:paraId="3E55055D" w14:textId="77777777" w:rsidR="001B628D" w:rsidRPr="00FE6AC6" w:rsidRDefault="001B628D" w:rsidP="00C90F9F">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0/86</w:t>
            </w:r>
          </w:p>
          <w:p w14:paraId="3E55055E" w14:textId="77777777" w:rsidR="001B628D" w:rsidRPr="00FE6AC6" w:rsidRDefault="001B628D" w:rsidP="00C90F9F">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lang w:val="bg-BG"/>
              </w:rPr>
              <w:t>спрямо</w:t>
            </w:r>
          </w:p>
          <w:p w14:paraId="3E55055F" w14:textId="77777777" w:rsidR="001B628D" w:rsidRPr="00FE6AC6" w:rsidRDefault="001B628D" w:rsidP="00C90F9F">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2/90</w:t>
            </w:r>
          </w:p>
        </w:tc>
        <w:tc>
          <w:tcPr>
            <w:tcW w:w="1560" w:type="dxa"/>
            <w:tcBorders>
              <w:left w:val="single" w:sz="4" w:space="0" w:color="auto"/>
              <w:bottom w:val="nil"/>
              <w:right w:val="single" w:sz="4" w:space="0" w:color="auto"/>
            </w:tcBorders>
            <w:vAlign w:val="bottom"/>
          </w:tcPr>
          <w:p w14:paraId="3E550560" w14:textId="77777777" w:rsidR="001B628D" w:rsidRPr="00FE6AC6" w:rsidRDefault="001B628D" w:rsidP="00C90F9F">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lang w:val="bg-BG"/>
              </w:rPr>
              <w:t>Неподлежащ на оценка</w:t>
            </w:r>
          </w:p>
        </w:tc>
        <w:tc>
          <w:tcPr>
            <w:tcW w:w="1275" w:type="dxa"/>
            <w:tcBorders>
              <w:left w:val="single" w:sz="4" w:space="0" w:color="auto"/>
              <w:bottom w:val="nil"/>
              <w:right w:val="single" w:sz="4" w:space="0" w:color="auto"/>
            </w:tcBorders>
            <w:vAlign w:val="bottom"/>
          </w:tcPr>
          <w:p w14:paraId="3E550561" w14:textId="77777777" w:rsidR="001B628D" w:rsidRPr="00FE6AC6" w:rsidRDefault="001B628D" w:rsidP="00C90F9F">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 xml:space="preserve">100 </w:t>
            </w:r>
            <w:r w:rsidRPr="00FE6AC6">
              <w:rPr>
                <w:rFonts w:ascii="Times New Roman" w:hAnsi="Times New Roman"/>
                <w:b w:val="0"/>
                <w:sz w:val="22"/>
                <w:szCs w:val="22"/>
                <w:lang w:val="bg-BG"/>
              </w:rPr>
              <w:t>спрямо</w:t>
            </w:r>
            <w:r w:rsidRPr="00FE6AC6">
              <w:rPr>
                <w:rFonts w:ascii="Times New Roman" w:hAnsi="Times New Roman"/>
                <w:b w:val="0"/>
                <w:sz w:val="22"/>
                <w:szCs w:val="22"/>
              </w:rPr>
              <w:t xml:space="preserve"> 98</w:t>
            </w:r>
            <w:r w:rsidRPr="00FE6AC6">
              <w:rPr>
                <w:rFonts w:ascii="Times New Roman" w:hAnsi="Times New Roman"/>
                <w:b w:val="0"/>
                <w:sz w:val="22"/>
                <w:szCs w:val="22"/>
                <w:lang w:val="bg-BG"/>
              </w:rPr>
              <w:t>,</w:t>
            </w:r>
            <w:r w:rsidRPr="00FE6AC6">
              <w:rPr>
                <w:rFonts w:ascii="Times New Roman" w:hAnsi="Times New Roman"/>
                <w:b w:val="0"/>
                <w:sz w:val="22"/>
                <w:szCs w:val="22"/>
              </w:rPr>
              <w:t>7</w:t>
            </w:r>
          </w:p>
        </w:tc>
        <w:tc>
          <w:tcPr>
            <w:tcW w:w="1259" w:type="dxa"/>
            <w:tcBorders>
              <w:left w:val="single" w:sz="4" w:space="0" w:color="auto"/>
              <w:bottom w:val="nil"/>
            </w:tcBorders>
            <w:vAlign w:val="bottom"/>
          </w:tcPr>
          <w:p w14:paraId="3E550562" w14:textId="77777777" w:rsidR="001B628D" w:rsidRPr="00FE6AC6" w:rsidRDefault="001B628D" w:rsidP="00C90F9F">
            <w:pPr>
              <w:pStyle w:val="Nottoc-headings"/>
              <w:keepLines w:val="0"/>
              <w:widowControl w:val="0"/>
              <w:spacing w:before="0" w:after="0"/>
              <w:ind w:left="57" w:hanging="57"/>
              <w:jc w:val="center"/>
              <w:rPr>
                <w:rFonts w:ascii="Times New Roman" w:hAnsi="Times New Roman"/>
                <w:b w:val="0"/>
                <w:sz w:val="22"/>
                <w:szCs w:val="22"/>
              </w:rPr>
            </w:pPr>
            <w:r w:rsidRPr="00FE6AC6">
              <w:rPr>
                <w:rFonts w:ascii="Times New Roman" w:hAnsi="Times New Roman"/>
                <w:b w:val="0"/>
                <w:sz w:val="22"/>
                <w:szCs w:val="22"/>
              </w:rPr>
              <w:t xml:space="preserve">100 </w:t>
            </w:r>
            <w:r w:rsidRPr="00FE6AC6">
              <w:rPr>
                <w:rFonts w:ascii="Times New Roman" w:hAnsi="Times New Roman"/>
                <w:b w:val="0"/>
                <w:sz w:val="22"/>
                <w:szCs w:val="22"/>
                <w:lang w:val="bg-BG"/>
              </w:rPr>
              <w:t>спрямо</w:t>
            </w:r>
            <w:r w:rsidRPr="00FE6AC6">
              <w:rPr>
                <w:rFonts w:ascii="Times New Roman" w:hAnsi="Times New Roman"/>
                <w:b w:val="0"/>
                <w:sz w:val="22"/>
                <w:szCs w:val="22"/>
              </w:rPr>
              <w:t xml:space="preserve"> 95</w:t>
            </w:r>
            <w:r w:rsidRPr="00FE6AC6">
              <w:rPr>
                <w:rFonts w:ascii="Times New Roman" w:hAnsi="Times New Roman"/>
                <w:b w:val="0"/>
                <w:sz w:val="22"/>
                <w:szCs w:val="22"/>
                <w:lang w:val="bg-BG"/>
              </w:rPr>
              <w:t>,</w:t>
            </w:r>
            <w:r w:rsidRPr="00FE6AC6">
              <w:rPr>
                <w:rFonts w:ascii="Times New Roman" w:hAnsi="Times New Roman"/>
                <w:b w:val="0"/>
                <w:sz w:val="22"/>
                <w:szCs w:val="22"/>
              </w:rPr>
              <w:t>5</w:t>
            </w:r>
          </w:p>
        </w:tc>
      </w:tr>
      <w:tr w:rsidR="001B628D" w:rsidRPr="00FE6AC6" w14:paraId="3E55056E" w14:textId="77777777" w:rsidTr="00C90F9F">
        <w:trPr>
          <w:cantSplit/>
        </w:trPr>
        <w:tc>
          <w:tcPr>
            <w:tcW w:w="934" w:type="dxa"/>
            <w:vMerge/>
            <w:shd w:val="clear" w:color="auto" w:fill="auto"/>
          </w:tcPr>
          <w:p w14:paraId="3E550564" w14:textId="77777777" w:rsidR="001B628D" w:rsidRPr="00FE6AC6" w:rsidRDefault="001B628D" w:rsidP="00C90F9F">
            <w:pPr>
              <w:pStyle w:val="Nottoc-headings"/>
              <w:keepLines w:val="0"/>
              <w:widowControl w:val="0"/>
              <w:spacing w:before="0" w:after="0"/>
              <w:rPr>
                <w:rFonts w:ascii="Times New Roman" w:hAnsi="Times New Roman"/>
                <w:b w:val="0"/>
                <w:sz w:val="22"/>
                <w:szCs w:val="22"/>
              </w:rPr>
            </w:pPr>
          </w:p>
        </w:tc>
        <w:tc>
          <w:tcPr>
            <w:tcW w:w="1232" w:type="dxa"/>
            <w:tcBorders>
              <w:top w:val="nil"/>
              <w:bottom w:val="nil"/>
              <w:right w:val="single" w:sz="4" w:space="0" w:color="auto"/>
            </w:tcBorders>
            <w:vAlign w:val="bottom"/>
          </w:tcPr>
          <w:p w14:paraId="3E550565" w14:textId="77777777" w:rsidR="001B628D" w:rsidRPr="00FE6AC6" w:rsidRDefault="001B628D" w:rsidP="00C90F9F">
            <w:pPr>
              <w:keepNext/>
              <w:widowControl w:val="0"/>
              <w:spacing w:line="240" w:lineRule="auto"/>
              <w:rPr>
                <w:szCs w:val="22"/>
                <w:lang w:val="bg-BG"/>
              </w:rPr>
            </w:pPr>
            <w:r w:rsidRPr="00FE6AC6">
              <w:rPr>
                <w:szCs w:val="22"/>
                <w:lang w:val="bg-BG"/>
              </w:rPr>
              <w:t>Средна</w:t>
            </w:r>
          </w:p>
        </w:tc>
        <w:tc>
          <w:tcPr>
            <w:tcW w:w="1204" w:type="dxa"/>
            <w:tcBorders>
              <w:top w:val="nil"/>
              <w:left w:val="single" w:sz="4" w:space="0" w:color="auto"/>
              <w:bottom w:val="nil"/>
              <w:right w:val="single" w:sz="4" w:space="0" w:color="auto"/>
            </w:tcBorders>
            <w:vAlign w:val="bottom"/>
          </w:tcPr>
          <w:p w14:paraId="3E550566" w14:textId="77777777" w:rsidR="001B628D" w:rsidRPr="00FE6AC6" w:rsidRDefault="001B628D" w:rsidP="00C90F9F">
            <w:pPr>
              <w:keepNext/>
              <w:widowControl w:val="0"/>
              <w:spacing w:line="240" w:lineRule="auto"/>
              <w:jc w:val="center"/>
              <w:rPr>
                <w:szCs w:val="22"/>
              </w:rPr>
            </w:pPr>
            <w:r w:rsidRPr="00FE6AC6">
              <w:rPr>
                <w:szCs w:val="22"/>
              </w:rPr>
              <w:t>25</w:t>
            </w:r>
            <w:r w:rsidRPr="00FE6AC6">
              <w:rPr>
                <w:szCs w:val="22"/>
                <w:lang w:val="bg-BG"/>
              </w:rPr>
              <w:t>,</w:t>
            </w:r>
            <w:r w:rsidRPr="00FE6AC6">
              <w:rPr>
                <w:szCs w:val="22"/>
              </w:rPr>
              <w:t>7</w:t>
            </w:r>
          </w:p>
        </w:tc>
        <w:tc>
          <w:tcPr>
            <w:tcW w:w="1841" w:type="dxa"/>
            <w:tcBorders>
              <w:top w:val="nil"/>
              <w:left w:val="single" w:sz="4" w:space="0" w:color="auto"/>
              <w:bottom w:val="nil"/>
              <w:right w:val="single" w:sz="4" w:space="0" w:color="auto"/>
            </w:tcBorders>
            <w:vAlign w:val="bottom"/>
          </w:tcPr>
          <w:p w14:paraId="3E550567" w14:textId="77777777" w:rsidR="001B628D" w:rsidRPr="00FE6AC6" w:rsidRDefault="001B628D" w:rsidP="00C90F9F">
            <w:pPr>
              <w:keepNext/>
              <w:widowControl w:val="0"/>
              <w:spacing w:line="240" w:lineRule="auto"/>
              <w:jc w:val="center"/>
              <w:rPr>
                <w:szCs w:val="22"/>
              </w:rPr>
            </w:pPr>
            <w:r w:rsidRPr="00FE6AC6">
              <w:rPr>
                <w:szCs w:val="22"/>
              </w:rPr>
              <w:t>4/75</w:t>
            </w:r>
          </w:p>
          <w:p w14:paraId="3E550568" w14:textId="77777777" w:rsidR="001B628D" w:rsidRPr="00FE6AC6" w:rsidRDefault="001B628D" w:rsidP="00C90F9F">
            <w:pPr>
              <w:keepNext/>
              <w:widowControl w:val="0"/>
              <w:spacing w:line="240" w:lineRule="auto"/>
              <w:jc w:val="center"/>
              <w:rPr>
                <w:szCs w:val="22"/>
                <w:lang w:val="en-US"/>
              </w:rPr>
            </w:pPr>
            <w:r w:rsidRPr="00FE6AC6">
              <w:rPr>
                <w:szCs w:val="22"/>
                <w:lang w:val="bg-BG"/>
              </w:rPr>
              <w:t>спрямо</w:t>
            </w:r>
          </w:p>
          <w:p w14:paraId="3E550569" w14:textId="77777777" w:rsidR="001B628D" w:rsidRPr="00FE6AC6" w:rsidRDefault="001B628D" w:rsidP="00C90F9F">
            <w:pPr>
              <w:keepNext/>
              <w:widowControl w:val="0"/>
              <w:spacing w:line="240" w:lineRule="auto"/>
              <w:jc w:val="center"/>
              <w:rPr>
                <w:szCs w:val="22"/>
              </w:rPr>
            </w:pPr>
            <w:r w:rsidRPr="00FE6AC6">
              <w:rPr>
                <w:szCs w:val="22"/>
              </w:rPr>
              <w:t>6/78</w:t>
            </w:r>
          </w:p>
        </w:tc>
        <w:tc>
          <w:tcPr>
            <w:tcW w:w="1560" w:type="dxa"/>
            <w:tcBorders>
              <w:top w:val="nil"/>
              <w:left w:val="single" w:sz="4" w:space="0" w:color="auto"/>
              <w:bottom w:val="nil"/>
              <w:right w:val="single" w:sz="4" w:space="0" w:color="auto"/>
            </w:tcBorders>
            <w:vAlign w:val="bottom"/>
          </w:tcPr>
          <w:p w14:paraId="3E55056A" w14:textId="77777777" w:rsidR="001B628D" w:rsidRPr="00FE6AC6" w:rsidRDefault="001B628D" w:rsidP="00C90F9F">
            <w:pPr>
              <w:keepNext/>
              <w:widowControl w:val="0"/>
              <w:spacing w:line="240" w:lineRule="auto"/>
              <w:jc w:val="center"/>
              <w:rPr>
                <w:szCs w:val="22"/>
              </w:rPr>
            </w:pPr>
            <w:r w:rsidRPr="00FE6AC6">
              <w:rPr>
                <w:szCs w:val="22"/>
              </w:rPr>
              <w:t>0</w:t>
            </w:r>
            <w:r w:rsidRPr="00FE6AC6">
              <w:rPr>
                <w:szCs w:val="22"/>
                <w:lang w:val="bg-BG"/>
              </w:rPr>
              <w:t>,</w:t>
            </w:r>
            <w:r w:rsidRPr="00FE6AC6">
              <w:rPr>
                <w:szCs w:val="22"/>
              </w:rPr>
              <w:t>59</w:t>
            </w:r>
          </w:p>
          <w:p w14:paraId="3E55056B" w14:textId="77777777" w:rsidR="001B628D" w:rsidRPr="00FE6AC6" w:rsidRDefault="001B628D" w:rsidP="00C90F9F">
            <w:pPr>
              <w:keepNext/>
              <w:widowControl w:val="0"/>
              <w:spacing w:line="240" w:lineRule="auto"/>
              <w:jc w:val="center"/>
              <w:rPr>
                <w:szCs w:val="22"/>
              </w:rPr>
            </w:pPr>
            <w:r w:rsidRPr="00FE6AC6">
              <w:rPr>
                <w:szCs w:val="22"/>
              </w:rPr>
              <w:t>(0</w:t>
            </w:r>
            <w:r w:rsidRPr="00FE6AC6">
              <w:rPr>
                <w:szCs w:val="22"/>
                <w:lang w:val="bg-BG"/>
              </w:rPr>
              <w:t>,</w:t>
            </w:r>
            <w:r w:rsidRPr="00FE6AC6">
              <w:rPr>
                <w:szCs w:val="22"/>
              </w:rPr>
              <w:t>17; 2</w:t>
            </w:r>
            <w:r w:rsidRPr="00FE6AC6">
              <w:rPr>
                <w:szCs w:val="22"/>
                <w:lang w:val="bg-BG"/>
              </w:rPr>
              <w:t>,</w:t>
            </w:r>
            <w:r w:rsidRPr="00FE6AC6">
              <w:rPr>
                <w:szCs w:val="22"/>
              </w:rPr>
              <w:t>10)</w:t>
            </w:r>
          </w:p>
        </w:tc>
        <w:tc>
          <w:tcPr>
            <w:tcW w:w="1275" w:type="dxa"/>
            <w:tcBorders>
              <w:top w:val="nil"/>
              <w:left w:val="single" w:sz="4" w:space="0" w:color="auto"/>
              <w:bottom w:val="nil"/>
              <w:right w:val="single" w:sz="4" w:space="0" w:color="auto"/>
            </w:tcBorders>
            <w:vAlign w:val="bottom"/>
          </w:tcPr>
          <w:p w14:paraId="3E55056C" w14:textId="77777777" w:rsidR="001B628D" w:rsidRPr="00FE6AC6" w:rsidRDefault="001B628D" w:rsidP="00C90F9F">
            <w:pPr>
              <w:keepNext/>
              <w:widowControl w:val="0"/>
              <w:spacing w:line="240" w:lineRule="auto"/>
              <w:jc w:val="center"/>
              <w:rPr>
                <w:szCs w:val="22"/>
              </w:rPr>
            </w:pPr>
            <w:r w:rsidRPr="00FE6AC6">
              <w:rPr>
                <w:szCs w:val="22"/>
              </w:rPr>
              <w:t xml:space="preserve">100 </w:t>
            </w:r>
            <w:r w:rsidRPr="00FE6AC6">
              <w:rPr>
                <w:szCs w:val="22"/>
                <w:lang w:val="bg-BG"/>
              </w:rPr>
              <w:t>спрямо</w:t>
            </w:r>
            <w:r w:rsidRPr="00FE6AC6">
              <w:rPr>
                <w:szCs w:val="22"/>
              </w:rPr>
              <w:t xml:space="preserve"> 94</w:t>
            </w:r>
            <w:r w:rsidRPr="00FE6AC6">
              <w:rPr>
                <w:szCs w:val="22"/>
                <w:lang w:val="bg-BG"/>
              </w:rPr>
              <w:t>,</w:t>
            </w:r>
            <w:r w:rsidRPr="00FE6AC6">
              <w:rPr>
                <w:szCs w:val="22"/>
              </w:rPr>
              <w:t>8</w:t>
            </w:r>
          </w:p>
        </w:tc>
        <w:tc>
          <w:tcPr>
            <w:tcW w:w="1259" w:type="dxa"/>
            <w:tcBorders>
              <w:top w:val="nil"/>
              <w:left w:val="single" w:sz="4" w:space="0" w:color="auto"/>
              <w:bottom w:val="nil"/>
            </w:tcBorders>
            <w:vAlign w:val="bottom"/>
          </w:tcPr>
          <w:p w14:paraId="3E55056D" w14:textId="77777777" w:rsidR="001B628D" w:rsidRPr="00FE6AC6" w:rsidRDefault="001B628D" w:rsidP="00C90F9F">
            <w:pPr>
              <w:keepNext/>
              <w:widowControl w:val="0"/>
              <w:spacing w:line="240" w:lineRule="auto"/>
              <w:jc w:val="center"/>
              <w:rPr>
                <w:szCs w:val="22"/>
              </w:rPr>
            </w:pPr>
            <w:r w:rsidRPr="00FE6AC6">
              <w:rPr>
                <w:szCs w:val="22"/>
              </w:rPr>
              <w:t>97</w:t>
            </w:r>
            <w:r w:rsidRPr="00FE6AC6">
              <w:rPr>
                <w:szCs w:val="22"/>
                <w:lang w:val="bg-BG"/>
              </w:rPr>
              <w:t>,</w:t>
            </w:r>
            <w:r w:rsidRPr="00FE6AC6">
              <w:rPr>
                <w:szCs w:val="22"/>
              </w:rPr>
              <w:t xml:space="preserve">8 </w:t>
            </w:r>
            <w:r w:rsidRPr="00FE6AC6">
              <w:rPr>
                <w:szCs w:val="22"/>
                <w:lang w:val="bg-BG"/>
              </w:rPr>
              <w:t>спрямо</w:t>
            </w:r>
            <w:r w:rsidRPr="00FE6AC6">
              <w:rPr>
                <w:szCs w:val="22"/>
              </w:rPr>
              <w:t xml:space="preserve"> 89</w:t>
            </w:r>
            <w:r w:rsidRPr="00FE6AC6">
              <w:rPr>
                <w:szCs w:val="22"/>
                <w:lang w:val="bg-BG"/>
              </w:rPr>
              <w:t>,</w:t>
            </w:r>
            <w:r w:rsidRPr="00FE6AC6">
              <w:rPr>
                <w:szCs w:val="22"/>
              </w:rPr>
              <w:t>5</w:t>
            </w:r>
          </w:p>
        </w:tc>
      </w:tr>
      <w:tr w:rsidR="001B628D" w:rsidRPr="00FE6AC6" w14:paraId="3E550579" w14:textId="77777777" w:rsidTr="00C90F9F">
        <w:trPr>
          <w:cantSplit/>
        </w:trPr>
        <w:tc>
          <w:tcPr>
            <w:tcW w:w="934" w:type="dxa"/>
            <w:vMerge/>
            <w:shd w:val="clear" w:color="auto" w:fill="auto"/>
          </w:tcPr>
          <w:p w14:paraId="3E55056F" w14:textId="77777777" w:rsidR="001B628D" w:rsidRPr="00FE6AC6" w:rsidRDefault="001B628D" w:rsidP="00C90F9F">
            <w:pPr>
              <w:keepNext/>
              <w:widowControl w:val="0"/>
              <w:spacing w:line="240" w:lineRule="auto"/>
              <w:rPr>
                <w:szCs w:val="22"/>
              </w:rPr>
            </w:pPr>
          </w:p>
        </w:tc>
        <w:tc>
          <w:tcPr>
            <w:tcW w:w="1232" w:type="dxa"/>
            <w:tcBorders>
              <w:top w:val="nil"/>
              <w:right w:val="single" w:sz="4" w:space="0" w:color="auto"/>
            </w:tcBorders>
            <w:vAlign w:val="bottom"/>
          </w:tcPr>
          <w:p w14:paraId="3E550570" w14:textId="77777777" w:rsidR="001B628D" w:rsidRPr="00FE6AC6" w:rsidRDefault="001B628D" w:rsidP="00C90F9F">
            <w:pPr>
              <w:keepNext/>
              <w:widowControl w:val="0"/>
              <w:spacing w:line="240" w:lineRule="auto"/>
              <w:rPr>
                <w:szCs w:val="22"/>
                <w:lang w:val="bg-BG"/>
              </w:rPr>
            </w:pPr>
            <w:r w:rsidRPr="00FE6AC6">
              <w:rPr>
                <w:szCs w:val="22"/>
                <w:lang w:val="bg-BG"/>
              </w:rPr>
              <w:t>Висока</w:t>
            </w:r>
          </w:p>
        </w:tc>
        <w:tc>
          <w:tcPr>
            <w:tcW w:w="1204" w:type="dxa"/>
            <w:tcBorders>
              <w:top w:val="nil"/>
              <w:left w:val="single" w:sz="4" w:space="0" w:color="auto"/>
              <w:right w:val="single" w:sz="4" w:space="0" w:color="auto"/>
            </w:tcBorders>
            <w:vAlign w:val="bottom"/>
          </w:tcPr>
          <w:p w14:paraId="3E550571" w14:textId="77777777" w:rsidR="001B628D" w:rsidRPr="00FE6AC6" w:rsidRDefault="001B628D" w:rsidP="00C90F9F">
            <w:pPr>
              <w:keepNext/>
              <w:widowControl w:val="0"/>
              <w:spacing w:line="240" w:lineRule="auto"/>
              <w:jc w:val="center"/>
              <w:rPr>
                <w:szCs w:val="22"/>
              </w:rPr>
            </w:pPr>
            <w:r w:rsidRPr="00FE6AC6">
              <w:rPr>
                <w:szCs w:val="22"/>
              </w:rPr>
              <w:t>44</w:t>
            </w:r>
            <w:r w:rsidRPr="00FE6AC6">
              <w:rPr>
                <w:szCs w:val="22"/>
                <w:lang w:val="bg-BG"/>
              </w:rPr>
              <w:t>,</w:t>
            </w:r>
            <w:r w:rsidRPr="00FE6AC6">
              <w:rPr>
                <w:szCs w:val="22"/>
              </w:rPr>
              <w:t>8</w:t>
            </w:r>
          </w:p>
        </w:tc>
        <w:tc>
          <w:tcPr>
            <w:tcW w:w="1841" w:type="dxa"/>
            <w:tcBorders>
              <w:top w:val="nil"/>
              <w:left w:val="single" w:sz="4" w:space="0" w:color="auto"/>
              <w:right w:val="single" w:sz="4" w:space="0" w:color="auto"/>
            </w:tcBorders>
            <w:vAlign w:val="bottom"/>
          </w:tcPr>
          <w:p w14:paraId="3E550572" w14:textId="77777777" w:rsidR="001B628D" w:rsidRPr="00FE6AC6" w:rsidRDefault="001B628D" w:rsidP="00C90F9F">
            <w:pPr>
              <w:keepNext/>
              <w:widowControl w:val="0"/>
              <w:spacing w:line="240" w:lineRule="auto"/>
              <w:jc w:val="center"/>
              <w:rPr>
                <w:szCs w:val="22"/>
              </w:rPr>
            </w:pPr>
            <w:r w:rsidRPr="00FE6AC6">
              <w:rPr>
                <w:szCs w:val="22"/>
              </w:rPr>
              <w:t>21/140</w:t>
            </w:r>
          </w:p>
          <w:p w14:paraId="3E550573" w14:textId="77777777" w:rsidR="001B628D" w:rsidRPr="00FE6AC6" w:rsidRDefault="001B628D" w:rsidP="00C90F9F">
            <w:pPr>
              <w:keepNext/>
              <w:widowControl w:val="0"/>
              <w:spacing w:line="240" w:lineRule="auto"/>
              <w:jc w:val="center"/>
              <w:rPr>
                <w:szCs w:val="22"/>
                <w:lang w:val="en-US"/>
              </w:rPr>
            </w:pPr>
            <w:r w:rsidRPr="00FE6AC6">
              <w:rPr>
                <w:szCs w:val="22"/>
                <w:lang w:val="bg-BG"/>
              </w:rPr>
              <w:t>спрямо</w:t>
            </w:r>
          </w:p>
          <w:p w14:paraId="3E550574" w14:textId="77777777" w:rsidR="001B628D" w:rsidRPr="00FE6AC6" w:rsidRDefault="001B628D" w:rsidP="00C90F9F">
            <w:pPr>
              <w:keepNext/>
              <w:widowControl w:val="0"/>
              <w:spacing w:line="240" w:lineRule="auto"/>
              <w:jc w:val="center"/>
              <w:rPr>
                <w:szCs w:val="22"/>
              </w:rPr>
            </w:pPr>
            <w:r w:rsidRPr="00FE6AC6">
              <w:rPr>
                <w:szCs w:val="22"/>
              </w:rPr>
              <w:t>51/127</w:t>
            </w:r>
          </w:p>
        </w:tc>
        <w:tc>
          <w:tcPr>
            <w:tcW w:w="1560" w:type="dxa"/>
            <w:tcBorders>
              <w:top w:val="nil"/>
              <w:left w:val="single" w:sz="4" w:space="0" w:color="auto"/>
              <w:right w:val="single" w:sz="4" w:space="0" w:color="auto"/>
            </w:tcBorders>
            <w:vAlign w:val="bottom"/>
          </w:tcPr>
          <w:p w14:paraId="3E550575" w14:textId="77777777" w:rsidR="001B628D" w:rsidRPr="00FE6AC6" w:rsidRDefault="001B628D" w:rsidP="00C90F9F">
            <w:pPr>
              <w:keepNext/>
              <w:widowControl w:val="0"/>
              <w:spacing w:line="240" w:lineRule="auto"/>
              <w:jc w:val="center"/>
              <w:rPr>
                <w:szCs w:val="22"/>
              </w:rPr>
            </w:pPr>
            <w:r w:rsidRPr="00FE6AC6">
              <w:rPr>
                <w:szCs w:val="22"/>
              </w:rPr>
              <w:t>0</w:t>
            </w:r>
            <w:r w:rsidRPr="00FE6AC6">
              <w:rPr>
                <w:szCs w:val="22"/>
                <w:lang w:val="bg-BG"/>
              </w:rPr>
              <w:t>,</w:t>
            </w:r>
            <w:r w:rsidRPr="00FE6AC6">
              <w:rPr>
                <w:szCs w:val="22"/>
              </w:rPr>
              <w:t>29</w:t>
            </w:r>
          </w:p>
          <w:p w14:paraId="3E550576" w14:textId="77777777" w:rsidR="001B628D" w:rsidRPr="00FE6AC6" w:rsidRDefault="001B628D" w:rsidP="00C90F9F">
            <w:pPr>
              <w:keepNext/>
              <w:widowControl w:val="0"/>
              <w:spacing w:line="240" w:lineRule="auto"/>
              <w:jc w:val="center"/>
              <w:rPr>
                <w:szCs w:val="22"/>
              </w:rPr>
            </w:pPr>
            <w:r w:rsidRPr="00FE6AC6">
              <w:rPr>
                <w:szCs w:val="22"/>
              </w:rPr>
              <w:t>(0</w:t>
            </w:r>
            <w:r w:rsidRPr="00FE6AC6">
              <w:rPr>
                <w:szCs w:val="22"/>
                <w:lang w:val="bg-BG"/>
              </w:rPr>
              <w:t>,</w:t>
            </w:r>
            <w:r w:rsidRPr="00FE6AC6">
              <w:rPr>
                <w:szCs w:val="22"/>
              </w:rPr>
              <w:t>18; 0</w:t>
            </w:r>
            <w:r w:rsidRPr="00FE6AC6">
              <w:rPr>
                <w:szCs w:val="22"/>
                <w:lang w:val="bg-BG"/>
              </w:rPr>
              <w:t>,</w:t>
            </w:r>
            <w:r w:rsidRPr="00FE6AC6">
              <w:rPr>
                <w:szCs w:val="22"/>
              </w:rPr>
              <w:t>49)</w:t>
            </w:r>
          </w:p>
        </w:tc>
        <w:tc>
          <w:tcPr>
            <w:tcW w:w="1275" w:type="dxa"/>
            <w:tcBorders>
              <w:top w:val="nil"/>
              <w:left w:val="single" w:sz="4" w:space="0" w:color="auto"/>
              <w:right w:val="single" w:sz="4" w:space="0" w:color="auto"/>
            </w:tcBorders>
            <w:vAlign w:val="bottom"/>
          </w:tcPr>
          <w:p w14:paraId="3E550577" w14:textId="77777777" w:rsidR="001B628D" w:rsidRPr="00FE6AC6" w:rsidRDefault="001B628D" w:rsidP="00C90F9F">
            <w:pPr>
              <w:keepNext/>
              <w:widowControl w:val="0"/>
              <w:spacing w:line="240" w:lineRule="auto"/>
              <w:jc w:val="center"/>
              <w:rPr>
                <w:szCs w:val="22"/>
              </w:rPr>
            </w:pPr>
            <w:r w:rsidRPr="00FE6AC6">
              <w:rPr>
                <w:szCs w:val="22"/>
              </w:rPr>
              <w:t>94</w:t>
            </w:r>
            <w:r w:rsidRPr="00FE6AC6">
              <w:rPr>
                <w:szCs w:val="22"/>
                <w:lang w:val="bg-BG"/>
              </w:rPr>
              <w:t>,</w:t>
            </w:r>
            <w:r w:rsidRPr="00FE6AC6">
              <w:rPr>
                <w:szCs w:val="22"/>
              </w:rPr>
              <w:t xml:space="preserve">8 </w:t>
            </w:r>
            <w:r w:rsidRPr="00FE6AC6">
              <w:rPr>
                <w:szCs w:val="22"/>
                <w:lang w:val="bg-BG"/>
              </w:rPr>
              <w:t>спрямо</w:t>
            </w:r>
            <w:r w:rsidRPr="00FE6AC6">
              <w:rPr>
                <w:szCs w:val="22"/>
              </w:rPr>
              <w:t xml:space="preserve"> 64</w:t>
            </w:r>
            <w:r w:rsidRPr="00FE6AC6">
              <w:rPr>
                <w:szCs w:val="22"/>
                <w:lang w:val="bg-BG"/>
              </w:rPr>
              <w:t>,</w:t>
            </w:r>
            <w:r w:rsidRPr="00FE6AC6">
              <w:rPr>
                <w:szCs w:val="22"/>
              </w:rPr>
              <w:t>0</w:t>
            </w:r>
          </w:p>
        </w:tc>
        <w:tc>
          <w:tcPr>
            <w:tcW w:w="1259" w:type="dxa"/>
            <w:tcBorders>
              <w:top w:val="nil"/>
              <w:left w:val="single" w:sz="4" w:space="0" w:color="auto"/>
            </w:tcBorders>
            <w:vAlign w:val="bottom"/>
          </w:tcPr>
          <w:p w14:paraId="3E550578" w14:textId="77777777" w:rsidR="001B628D" w:rsidRPr="00FE6AC6" w:rsidRDefault="001B628D" w:rsidP="00C90F9F">
            <w:pPr>
              <w:keepNext/>
              <w:widowControl w:val="0"/>
              <w:spacing w:line="240" w:lineRule="auto"/>
              <w:jc w:val="center"/>
              <w:rPr>
                <w:szCs w:val="22"/>
              </w:rPr>
            </w:pPr>
            <w:r w:rsidRPr="00FE6AC6">
              <w:rPr>
                <w:szCs w:val="22"/>
              </w:rPr>
              <w:t>80</w:t>
            </w:r>
            <w:r w:rsidRPr="00FE6AC6">
              <w:rPr>
                <w:szCs w:val="22"/>
                <w:lang w:val="bg-BG"/>
              </w:rPr>
              <w:t>,</w:t>
            </w:r>
            <w:r w:rsidRPr="00FE6AC6">
              <w:rPr>
                <w:szCs w:val="22"/>
              </w:rPr>
              <w:t xml:space="preserve">7 </w:t>
            </w:r>
            <w:r w:rsidRPr="00FE6AC6">
              <w:rPr>
                <w:szCs w:val="22"/>
                <w:lang w:val="bg-BG"/>
              </w:rPr>
              <w:t>спрямо</w:t>
            </w:r>
            <w:r w:rsidRPr="00FE6AC6">
              <w:rPr>
                <w:szCs w:val="22"/>
              </w:rPr>
              <w:t xml:space="preserve"> 46</w:t>
            </w:r>
            <w:r w:rsidRPr="00FE6AC6">
              <w:rPr>
                <w:szCs w:val="22"/>
                <w:lang w:val="bg-BG"/>
              </w:rPr>
              <w:t>,</w:t>
            </w:r>
            <w:r w:rsidRPr="00FE6AC6">
              <w:rPr>
                <w:szCs w:val="22"/>
              </w:rPr>
              <w:t>6</w:t>
            </w:r>
          </w:p>
        </w:tc>
      </w:tr>
      <w:tr w:rsidR="001B628D" w:rsidRPr="00FE6AC6" w14:paraId="3E550583" w14:textId="77777777" w:rsidTr="00C90F9F">
        <w:trPr>
          <w:cantSplit/>
        </w:trPr>
        <w:tc>
          <w:tcPr>
            <w:tcW w:w="934" w:type="dxa"/>
            <w:vMerge w:val="restart"/>
            <w:shd w:val="clear" w:color="auto" w:fill="auto"/>
          </w:tcPr>
          <w:p w14:paraId="3E55057A" w14:textId="77777777" w:rsidR="001B628D" w:rsidRPr="00FE6AC6" w:rsidRDefault="001B628D" w:rsidP="00C90F9F">
            <w:pPr>
              <w:keepNext/>
              <w:widowControl w:val="0"/>
              <w:spacing w:line="240" w:lineRule="auto"/>
              <w:rPr>
                <w:szCs w:val="22"/>
              </w:rPr>
            </w:pPr>
            <w:r w:rsidRPr="00FE6AC6">
              <w:rPr>
                <w:szCs w:val="22"/>
              </w:rPr>
              <w:t>AFIP</w:t>
            </w:r>
          </w:p>
        </w:tc>
        <w:tc>
          <w:tcPr>
            <w:tcW w:w="1232" w:type="dxa"/>
            <w:tcBorders>
              <w:bottom w:val="nil"/>
              <w:right w:val="single" w:sz="4" w:space="0" w:color="auto"/>
            </w:tcBorders>
            <w:vAlign w:val="bottom"/>
          </w:tcPr>
          <w:p w14:paraId="3E55057B" w14:textId="77777777" w:rsidR="001B628D" w:rsidRPr="00FE6AC6" w:rsidRDefault="001B628D" w:rsidP="00C90F9F">
            <w:pPr>
              <w:keepNext/>
              <w:widowControl w:val="0"/>
              <w:spacing w:line="240" w:lineRule="auto"/>
              <w:rPr>
                <w:szCs w:val="22"/>
              </w:rPr>
            </w:pPr>
            <w:r w:rsidRPr="00FE6AC6">
              <w:rPr>
                <w:szCs w:val="22"/>
                <w:lang w:val="bg-BG"/>
              </w:rPr>
              <w:t>Много ниска</w:t>
            </w:r>
          </w:p>
        </w:tc>
        <w:tc>
          <w:tcPr>
            <w:tcW w:w="1204" w:type="dxa"/>
            <w:tcBorders>
              <w:left w:val="single" w:sz="4" w:space="0" w:color="auto"/>
              <w:bottom w:val="nil"/>
              <w:right w:val="single" w:sz="4" w:space="0" w:color="auto"/>
            </w:tcBorders>
            <w:vAlign w:val="bottom"/>
          </w:tcPr>
          <w:p w14:paraId="3E55057C" w14:textId="77777777" w:rsidR="001B628D" w:rsidRPr="00FE6AC6" w:rsidRDefault="001B628D" w:rsidP="00C90F9F">
            <w:pPr>
              <w:keepNext/>
              <w:widowControl w:val="0"/>
              <w:spacing w:line="240" w:lineRule="auto"/>
              <w:jc w:val="center"/>
              <w:rPr>
                <w:szCs w:val="22"/>
              </w:rPr>
            </w:pPr>
            <w:r w:rsidRPr="00FE6AC6">
              <w:rPr>
                <w:szCs w:val="22"/>
              </w:rPr>
              <w:t>20</w:t>
            </w:r>
            <w:r w:rsidRPr="00FE6AC6">
              <w:rPr>
                <w:szCs w:val="22"/>
                <w:lang w:val="bg-BG"/>
              </w:rPr>
              <w:t>,</w:t>
            </w:r>
            <w:r w:rsidRPr="00FE6AC6">
              <w:rPr>
                <w:szCs w:val="22"/>
              </w:rPr>
              <w:t>7</w:t>
            </w:r>
          </w:p>
        </w:tc>
        <w:tc>
          <w:tcPr>
            <w:tcW w:w="1841" w:type="dxa"/>
            <w:tcBorders>
              <w:left w:val="single" w:sz="4" w:space="0" w:color="auto"/>
              <w:bottom w:val="nil"/>
              <w:right w:val="single" w:sz="4" w:space="0" w:color="auto"/>
            </w:tcBorders>
            <w:vAlign w:val="bottom"/>
          </w:tcPr>
          <w:p w14:paraId="3E55057D" w14:textId="77777777" w:rsidR="001B628D" w:rsidRPr="00FE6AC6" w:rsidRDefault="001B628D" w:rsidP="00C90F9F">
            <w:pPr>
              <w:keepNext/>
              <w:widowControl w:val="0"/>
              <w:spacing w:line="240" w:lineRule="auto"/>
              <w:jc w:val="center"/>
              <w:rPr>
                <w:szCs w:val="22"/>
              </w:rPr>
            </w:pPr>
            <w:r w:rsidRPr="00FE6AC6">
              <w:rPr>
                <w:szCs w:val="22"/>
              </w:rPr>
              <w:t>0/52</w:t>
            </w:r>
          </w:p>
          <w:p w14:paraId="3E55057E" w14:textId="77777777" w:rsidR="001B628D" w:rsidRPr="00FE6AC6" w:rsidRDefault="001B628D" w:rsidP="00C90F9F">
            <w:pPr>
              <w:keepNext/>
              <w:widowControl w:val="0"/>
              <w:spacing w:line="240" w:lineRule="auto"/>
              <w:jc w:val="center"/>
              <w:rPr>
                <w:szCs w:val="22"/>
                <w:lang w:val="en-US"/>
              </w:rPr>
            </w:pPr>
            <w:r w:rsidRPr="00FE6AC6">
              <w:rPr>
                <w:szCs w:val="22"/>
                <w:lang w:val="bg-BG"/>
              </w:rPr>
              <w:t>спрямо</w:t>
            </w:r>
          </w:p>
          <w:p w14:paraId="3E55057F" w14:textId="77777777" w:rsidR="001B628D" w:rsidRPr="00FE6AC6" w:rsidRDefault="001B628D" w:rsidP="00C90F9F">
            <w:pPr>
              <w:keepNext/>
              <w:widowControl w:val="0"/>
              <w:spacing w:line="240" w:lineRule="auto"/>
              <w:jc w:val="center"/>
              <w:rPr>
                <w:szCs w:val="22"/>
              </w:rPr>
            </w:pPr>
            <w:r w:rsidRPr="00FE6AC6">
              <w:rPr>
                <w:szCs w:val="22"/>
              </w:rPr>
              <w:t>2/63</w:t>
            </w:r>
          </w:p>
        </w:tc>
        <w:tc>
          <w:tcPr>
            <w:tcW w:w="1560" w:type="dxa"/>
            <w:tcBorders>
              <w:left w:val="single" w:sz="4" w:space="0" w:color="auto"/>
              <w:bottom w:val="nil"/>
              <w:right w:val="single" w:sz="4" w:space="0" w:color="auto"/>
            </w:tcBorders>
            <w:vAlign w:val="bottom"/>
          </w:tcPr>
          <w:p w14:paraId="3E550580" w14:textId="77777777" w:rsidR="001B628D" w:rsidRPr="00FE6AC6" w:rsidRDefault="001B628D" w:rsidP="00C90F9F">
            <w:pPr>
              <w:keepNext/>
              <w:widowControl w:val="0"/>
              <w:spacing w:line="240" w:lineRule="auto"/>
              <w:jc w:val="center"/>
              <w:rPr>
                <w:szCs w:val="22"/>
                <w:lang w:val="bg-BG"/>
              </w:rPr>
            </w:pPr>
            <w:r w:rsidRPr="00FE6AC6">
              <w:rPr>
                <w:szCs w:val="22"/>
                <w:lang w:val="bg-BG"/>
              </w:rPr>
              <w:t>Неподлежащ на оценка</w:t>
            </w:r>
          </w:p>
        </w:tc>
        <w:tc>
          <w:tcPr>
            <w:tcW w:w="1275" w:type="dxa"/>
            <w:tcBorders>
              <w:left w:val="single" w:sz="4" w:space="0" w:color="auto"/>
              <w:bottom w:val="nil"/>
              <w:right w:val="single" w:sz="4" w:space="0" w:color="auto"/>
            </w:tcBorders>
            <w:vAlign w:val="bottom"/>
          </w:tcPr>
          <w:p w14:paraId="3E550581" w14:textId="77777777" w:rsidR="001B628D" w:rsidRPr="00FE6AC6" w:rsidRDefault="001B628D" w:rsidP="00C90F9F">
            <w:pPr>
              <w:keepNext/>
              <w:widowControl w:val="0"/>
              <w:spacing w:line="240" w:lineRule="auto"/>
              <w:jc w:val="center"/>
              <w:rPr>
                <w:szCs w:val="22"/>
              </w:rPr>
            </w:pPr>
            <w:r w:rsidRPr="00FE6AC6">
              <w:rPr>
                <w:szCs w:val="22"/>
              </w:rPr>
              <w:t xml:space="preserve">100 </w:t>
            </w:r>
            <w:r w:rsidRPr="00FE6AC6">
              <w:rPr>
                <w:szCs w:val="22"/>
                <w:lang w:val="bg-BG"/>
              </w:rPr>
              <w:t>спрямо</w:t>
            </w:r>
            <w:r w:rsidRPr="00FE6AC6">
              <w:rPr>
                <w:szCs w:val="22"/>
              </w:rPr>
              <w:t xml:space="preserve"> 98</w:t>
            </w:r>
            <w:r w:rsidRPr="00FE6AC6">
              <w:rPr>
                <w:szCs w:val="22"/>
                <w:lang w:val="bg-BG"/>
              </w:rPr>
              <w:t>,</w:t>
            </w:r>
            <w:r w:rsidRPr="00FE6AC6">
              <w:rPr>
                <w:szCs w:val="22"/>
              </w:rPr>
              <w:t>1</w:t>
            </w:r>
          </w:p>
        </w:tc>
        <w:tc>
          <w:tcPr>
            <w:tcW w:w="1259" w:type="dxa"/>
            <w:tcBorders>
              <w:left w:val="single" w:sz="4" w:space="0" w:color="auto"/>
              <w:bottom w:val="nil"/>
            </w:tcBorders>
            <w:vAlign w:val="bottom"/>
          </w:tcPr>
          <w:p w14:paraId="3E550582" w14:textId="77777777" w:rsidR="001B628D" w:rsidRPr="00FE6AC6" w:rsidRDefault="001B628D" w:rsidP="00C90F9F">
            <w:pPr>
              <w:keepNext/>
              <w:widowControl w:val="0"/>
              <w:spacing w:line="240" w:lineRule="auto"/>
              <w:jc w:val="center"/>
              <w:rPr>
                <w:szCs w:val="22"/>
              </w:rPr>
            </w:pPr>
            <w:r w:rsidRPr="00FE6AC6">
              <w:rPr>
                <w:szCs w:val="22"/>
              </w:rPr>
              <w:t xml:space="preserve">100 </w:t>
            </w:r>
            <w:r w:rsidRPr="00FE6AC6">
              <w:rPr>
                <w:szCs w:val="22"/>
                <w:lang w:val="bg-BG"/>
              </w:rPr>
              <w:t>спрямо</w:t>
            </w:r>
            <w:r w:rsidRPr="00FE6AC6">
              <w:rPr>
                <w:szCs w:val="22"/>
              </w:rPr>
              <w:t xml:space="preserve"> 93</w:t>
            </w:r>
            <w:r w:rsidRPr="00FE6AC6">
              <w:rPr>
                <w:szCs w:val="22"/>
                <w:lang w:val="bg-BG"/>
              </w:rPr>
              <w:t>,</w:t>
            </w:r>
            <w:r w:rsidRPr="00FE6AC6">
              <w:rPr>
                <w:szCs w:val="22"/>
              </w:rPr>
              <w:t>0</w:t>
            </w:r>
          </w:p>
        </w:tc>
      </w:tr>
      <w:tr w:rsidR="001B628D" w:rsidRPr="00FE6AC6" w14:paraId="3E55058D" w14:textId="77777777" w:rsidTr="00C90F9F">
        <w:trPr>
          <w:cantSplit/>
        </w:trPr>
        <w:tc>
          <w:tcPr>
            <w:tcW w:w="934" w:type="dxa"/>
            <w:vMerge/>
            <w:shd w:val="clear" w:color="auto" w:fill="auto"/>
          </w:tcPr>
          <w:p w14:paraId="3E550584" w14:textId="77777777" w:rsidR="001B628D" w:rsidRPr="00FE6AC6" w:rsidRDefault="001B628D" w:rsidP="00C90F9F">
            <w:pPr>
              <w:keepNext/>
              <w:widowControl w:val="0"/>
              <w:spacing w:line="240" w:lineRule="auto"/>
              <w:rPr>
                <w:szCs w:val="22"/>
              </w:rPr>
            </w:pPr>
          </w:p>
        </w:tc>
        <w:tc>
          <w:tcPr>
            <w:tcW w:w="1232" w:type="dxa"/>
            <w:tcBorders>
              <w:top w:val="nil"/>
              <w:bottom w:val="nil"/>
              <w:right w:val="single" w:sz="4" w:space="0" w:color="auto"/>
            </w:tcBorders>
            <w:vAlign w:val="bottom"/>
          </w:tcPr>
          <w:p w14:paraId="3E550585" w14:textId="77777777" w:rsidR="001B628D" w:rsidRPr="00FE6AC6" w:rsidRDefault="001B628D" w:rsidP="00C90F9F">
            <w:pPr>
              <w:keepNext/>
              <w:widowControl w:val="0"/>
              <w:spacing w:line="240" w:lineRule="auto"/>
              <w:rPr>
                <w:szCs w:val="22"/>
                <w:lang w:val="bg-BG"/>
              </w:rPr>
            </w:pPr>
            <w:r w:rsidRPr="00FE6AC6">
              <w:rPr>
                <w:szCs w:val="22"/>
                <w:lang w:val="bg-BG"/>
              </w:rPr>
              <w:t>Ниска</w:t>
            </w:r>
          </w:p>
        </w:tc>
        <w:tc>
          <w:tcPr>
            <w:tcW w:w="1204" w:type="dxa"/>
            <w:tcBorders>
              <w:top w:val="nil"/>
              <w:left w:val="single" w:sz="4" w:space="0" w:color="auto"/>
              <w:bottom w:val="nil"/>
              <w:right w:val="single" w:sz="4" w:space="0" w:color="auto"/>
            </w:tcBorders>
            <w:vAlign w:val="bottom"/>
          </w:tcPr>
          <w:p w14:paraId="3E550586" w14:textId="77777777" w:rsidR="001B628D" w:rsidRPr="00FE6AC6" w:rsidRDefault="001B628D" w:rsidP="00C90F9F">
            <w:pPr>
              <w:keepNext/>
              <w:widowControl w:val="0"/>
              <w:spacing w:line="240" w:lineRule="auto"/>
              <w:jc w:val="center"/>
              <w:rPr>
                <w:szCs w:val="22"/>
              </w:rPr>
            </w:pPr>
            <w:r w:rsidRPr="00FE6AC6">
              <w:rPr>
                <w:szCs w:val="22"/>
              </w:rPr>
              <w:t>25</w:t>
            </w:r>
            <w:r w:rsidRPr="00FE6AC6">
              <w:rPr>
                <w:szCs w:val="22"/>
                <w:lang w:val="bg-BG"/>
              </w:rPr>
              <w:t>,</w:t>
            </w:r>
            <w:r w:rsidRPr="00FE6AC6">
              <w:rPr>
                <w:szCs w:val="22"/>
              </w:rPr>
              <w:t>0</w:t>
            </w:r>
          </w:p>
        </w:tc>
        <w:tc>
          <w:tcPr>
            <w:tcW w:w="1841" w:type="dxa"/>
            <w:tcBorders>
              <w:top w:val="nil"/>
              <w:left w:val="single" w:sz="4" w:space="0" w:color="auto"/>
              <w:bottom w:val="nil"/>
              <w:right w:val="single" w:sz="4" w:space="0" w:color="auto"/>
            </w:tcBorders>
            <w:vAlign w:val="bottom"/>
          </w:tcPr>
          <w:p w14:paraId="3E550587" w14:textId="77777777" w:rsidR="001B628D" w:rsidRPr="00FE6AC6" w:rsidRDefault="001B628D" w:rsidP="00C90F9F">
            <w:pPr>
              <w:keepNext/>
              <w:widowControl w:val="0"/>
              <w:spacing w:line="240" w:lineRule="auto"/>
              <w:jc w:val="center"/>
              <w:rPr>
                <w:szCs w:val="22"/>
              </w:rPr>
            </w:pPr>
            <w:r w:rsidRPr="00FE6AC6">
              <w:rPr>
                <w:szCs w:val="22"/>
              </w:rPr>
              <w:t>2/70</w:t>
            </w:r>
          </w:p>
          <w:p w14:paraId="3E550588" w14:textId="77777777" w:rsidR="001B628D" w:rsidRPr="00FE6AC6" w:rsidRDefault="001B628D" w:rsidP="00C90F9F">
            <w:pPr>
              <w:keepNext/>
              <w:widowControl w:val="0"/>
              <w:spacing w:line="240" w:lineRule="auto"/>
              <w:jc w:val="center"/>
              <w:rPr>
                <w:szCs w:val="22"/>
                <w:lang w:val="en-US"/>
              </w:rPr>
            </w:pPr>
            <w:r w:rsidRPr="00FE6AC6">
              <w:rPr>
                <w:szCs w:val="22"/>
                <w:lang w:val="bg-BG"/>
              </w:rPr>
              <w:t>спрямо</w:t>
            </w:r>
          </w:p>
          <w:p w14:paraId="3E550589" w14:textId="77777777" w:rsidR="001B628D" w:rsidRPr="00FE6AC6" w:rsidRDefault="001B628D" w:rsidP="00C90F9F">
            <w:pPr>
              <w:keepNext/>
              <w:widowControl w:val="0"/>
              <w:spacing w:line="240" w:lineRule="auto"/>
              <w:jc w:val="center"/>
              <w:rPr>
                <w:szCs w:val="22"/>
              </w:rPr>
            </w:pPr>
            <w:r w:rsidRPr="00FE6AC6">
              <w:rPr>
                <w:szCs w:val="22"/>
              </w:rPr>
              <w:t>0/69</w:t>
            </w:r>
          </w:p>
        </w:tc>
        <w:tc>
          <w:tcPr>
            <w:tcW w:w="1560" w:type="dxa"/>
            <w:tcBorders>
              <w:top w:val="nil"/>
              <w:left w:val="single" w:sz="4" w:space="0" w:color="auto"/>
              <w:bottom w:val="nil"/>
              <w:right w:val="single" w:sz="4" w:space="0" w:color="auto"/>
            </w:tcBorders>
            <w:vAlign w:val="bottom"/>
          </w:tcPr>
          <w:p w14:paraId="3E55058A" w14:textId="77777777" w:rsidR="001B628D" w:rsidRPr="00FE6AC6" w:rsidRDefault="001B628D" w:rsidP="00C90F9F">
            <w:pPr>
              <w:keepNext/>
              <w:widowControl w:val="0"/>
              <w:spacing w:line="240" w:lineRule="auto"/>
              <w:jc w:val="center"/>
              <w:rPr>
                <w:szCs w:val="22"/>
                <w:lang w:val="bg-BG"/>
              </w:rPr>
            </w:pPr>
            <w:r w:rsidRPr="00FE6AC6">
              <w:rPr>
                <w:szCs w:val="22"/>
                <w:lang w:val="bg-BG"/>
              </w:rPr>
              <w:t>Неподлежащ на оценка</w:t>
            </w:r>
          </w:p>
        </w:tc>
        <w:tc>
          <w:tcPr>
            <w:tcW w:w="1275" w:type="dxa"/>
            <w:tcBorders>
              <w:top w:val="nil"/>
              <w:left w:val="single" w:sz="4" w:space="0" w:color="auto"/>
              <w:bottom w:val="nil"/>
              <w:right w:val="single" w:sz="4" w:space="0" w:color="auto"/>
            </w:tcBorders>
            <w:vAlign w:val="bottom"/>
          </w:tcPr>
          <w:p w14:paraId="3E55058B" w14:textId="77777777" w:rsidR="001B628D" w:rsidRPr="00FE6AC6" w:rsidRDefault="001B628D" w:rsidP="00C90F9F">
            <w:pPr>
              <w:keepNext/>
              <w:widowControl w:val="0"/>
              <w:spacing w:line="240" w:lineRule="auto"/>
              <w:jc w:val="center"/>
              <w:rPr>
                <w:szCs w:val="22"/>
              </w:rPr>
            </w:pPr>
            <w:r w:rsidRPr="00FE6AC6">
              <w:rPr>
                <w:szCs w:val="22"/>
              </w:rPr>
              <w:t xml:space="preserve">100 </w:t>
            </w:r>
            <w:r w:rsidRPr="00FE6AC6">
              <w:rPr>
                <w:szCs w:val="22"/>
                <w:lang w:val="bg-BG"/>
              </w:rPr>
              <w:t>спрямо</w:t>
            </w:r>
            <w:r w:rsidRPr="00FE6AC6">
              <w:rPr>
                <w:szCs w:val="22"/>
              </w:rPr>
              <w:t xml:space="preserve"> 100</w:t>
            </w:r>
          </w:p>
        </w:tc>
        <w:tc>
          <w:tcPr>
            <w:tcW w:w="1259" w:type="dxa"/>
            <w:tcBorders>
              <w:top w:val="nil"/>
              <w:left w:val="single" w:sz="4" w:space="0" w:color="auto"/>
              <w:bottom w:val="nil"/>
            </w:tcBorders>
            <w:vAlign w:val="bottom"/>
          </w:tcPr>
          <w:p w14:paraId="3E55058C" w14:textId="77777777" w:rsidR="001B628D" w:rsidRPr="00FE6AC6" w:rsidRDefault="001B628D" w:rsidP="00C90F9F">
            <w:pPr>
              <w:keepNext/>
              <w:widowControl w:val="0"/>
              <w:spacing w:line="240" w:lineRule="auto"/>
              <w:jc w:val="center"/>
              <w:rPr>
                <w:szCs w:val="22"/>
              </w:rPr>
            </w:pPr>
            <w:r w:rsidRPr="00FE6AC6">
              <w:rPr>
                <w:szCs w:val="22"/>
              </w:rPr>
              <w:t>97</w:t>
            </w:r>
            <w:r w:rsidRPr="00FE6AC6">
              <w:rPr>
                <w:szCs w:val="22"/>
                <w:lang w:val="bg-BG"/>
              </w:rPr>
              <w:t>,</w:t>
            </w:r>
            <w:r w:rsidRPr="00FE6AC6">
              <w:rPr>
                <w:szCs w:val="22"/>
              </w:rPr>
              <w:t xml:space="preserve">8 </w:t>
            </w:r>
            <w:r w:rsidRPr="00FE6AC6">
              <w:rPr>
                <w:szCs w:val="22"/>
                <w:lang w:val="bg-BG"/>
              </w:rPr>
              <w:t>спрямо</w:t>
            </w:r>
            <w:r w:rsidRPr="00FE6AC6">
              <w:rPr>
                <w:szCs w:val="22"/>
              </w:rPr>
              <w:t xml:space="preserve"> 100</w:t>
            </w:r>
          </w:p>
        </w:tc>
      </w:tr>
      <w:tr w:rsidR="001B628D" w:rsidRPr="00FE6AC6" w14:paraId="3E550598" w14:textId="77777777" w:rsidTr="00C90F9F">
        <w:trPr>
          <w:cantSplit/>
        </w:trPr>
        <w:tc>
          <w:tcPr>
            <w:tcW w:w="934" w:type="dxa"/>
            <w:vMerge/>
            <w:shd w:val="clear" w:color="auto" w:fill="auto"/>
          </w:tcPr>
          <w:p w14:paraId="3E55058E" w14:textId="77777777" w:rsidR="001B628D" w:rsidRPr="00FE6AC6" w:rsidRDefault="001B628D" w:rsidP="00C90F9F">
            <w:pPr>
              <w:keepNext/>
              <w:widowControl w:val="0"/>
              <w:spacing w:line="240" w:lineRule="auto"/>
              <w:rPr>
                <w:b/>
                <w:szCs w:val="22"/>
              </w:rPr>
            </w:pPr>
          </w:p>
        </w:tc>
        <w:tc>
          <w:tcPr>
            <w:tcW w:w="1232" w:type="dxa"/>
            <w:tcBorders>
              <w:top w:val="nil"/>
              <w:bottom w:val="nil"/>
              <w:right w:val="single" w:sz="4" w:space="0" w:color="auto"/>
            </w:tcBorders>
            <w:vAlign w:val="bottom"/>
          </w:tcPr>
          <w:p w14:paraId="3E55058F" w14:textId="77777777" w:rsidR="001B628D" w:rsidRPr="00FE6AC6" w:rsidRDefault="001B628D" w:rsidP="00C90F9F">
            <w:pPr>
              <w:keepNext/>
              <w:widowControl w:val="0"/>
              <w:spacing w:line="240" w:lineRule="auto"/>
              <w:rPr>
                <w:szCs w:val="22"/>
                <w:lang w:val="bg-BG"/>
              </w:rPr>
            </w:pPr>
            <w:r w:rsidRPr="00FE6AC6">
              <w:rPr>
                <w:szCs w:val="22"/>
                <w:lang w:val="bg-BG"/>
              </w:rPr>
              <w:t>Умерена</w:t>
            </w:r>
          </w:p>
        </w:tc>
        <w:tc>
          <w:tcPr>
            <w:tcW w:w="1204" w:type="dxa"/>
            <w:tcBorders>
              <w:top w:val="nil"/>
              <w:left w:val="single" w:sz="4" w:space="0" w:color="auto"/>
              <w:bottom w:val="nil"/>
              <w:right w:val="single" w:sz="4" w:space="0" w:color="auto"/>
            </w:tcBorders>
            <w:vAlign w:val="bottom"/>
          </w:tcPr>
          <w:p w14:paraId="3E550590" w14:textId="77777777" w:rsidR="001B628D" w:rsidRPr="00FE6AC6" w:rsidRDefault="001B628D" w:rsidP="00C90F9F">
            <w:pPr>
              <w:keepNext/>
              <w:widowControl w:val="0"/>
              <w:spacing w:line="240" w:lineRule="auto"/>
              <w:jc w:val="center"/>
              <w:rPr>
                <w:szCs w:val="22"/>
              </w:rPr>
            </w:pPr>
            <w:r w:rsidRPr="00FE6AC6">
              <w:rPr>
                <w:szCs w:val="22"/>
              </w:rPr>
              <w:t>24</w:t>
            </w:r>
            <w:r w:rsidRPr="00FE6AC6">
              <w:rPr>
                <w:szCs w:val="22"/>
                <w:lang w:val="bg-BG"/>
              </w:rPr>
              <w:t>,</w:t>
            </w:r>
            <w:r w:rsidRPr="00FE6AC6">
              <w:rPr>
                <w:szCs w:val="22"/>
              </w:rPr>
              <w:t>6</w:t>
            </w:r>
          </w:p>
        </w:tc>
        <w:tc>
          <w:tcPr>
            <w:tcW w:w="1841" w:type="dxa"/>
            <w:tcBorders>
              <w:top w:val="nil"/>
              <w:left w:val="single" w:sz="4" w:space="0" w:color="auto"/>
              <w:bottom w:val="nil"/>
              <w:right w:val="single" w:sz="4" w:space="0" w:color="auto"/>
            </w:tcBorders>
            <w:vAlign w:val="bottom"/>
          </w:tcPr>
          <w:p w14:paraId="3E550591" w14:textId="77777777" w:rsidR="001B628D" w:rsidRPr="00FE6AC6" w:rsidRDefault="001B628D" w:rsidP="00C90F9F">
            <w:pPr>
              <w:keepNext/>
              <w:widowControl w:val="0"/>
              <w:spacing w:line="240" w:lineRule="auto"/>
              <w:jc w:val="center"/>
              <w:rPr>
                <w:szCs w:val="22"/>
              </w:rPr>
            </w:pPr>
            <w:r w:rsidRPr="00FE6AC6">
              <w:rPr>
                <w:szCs w:val="22"/>
              </w:rPr>
              <w:t>2/70</w:t>
            </w:r>
          </w:p>
          <w:p w14:paraId="3E550592" w14:textId="77777777" w:rsidR="001B628D" w:rsidRPr="00FE6AC6" w:rsidRDefault="001B628D" w:rsidP="00C90F9F">
            <w:pPr>
              <w:keepNext/>
              <w:widowControl w:val="0"/>
              <w:spacing w:line="240" w:lineRule="auto"/>
              <w:jc w:val="center"/>
              <w:rPr>
                <w:szCs w:val="22"/>
                <w:lang w:val="en-US"/>
              </w:rPr>
            </w:pPr>
            <w:r w:rsidRPr="00FE6AC6">
              <w:rPr>
                <w:szCs w:val="22"/>
                <w:lang w:val="bg-BG"/>
              </w:rPr>
              <w:t>спрямо</w:t>
            </w:r>
          </w:p>
          <w:p w14:paraId="3E550593" w14:textId="77777777" w:rsidR="001B628D" w:rsidRPr="00FE6AC6" w:rsidRDefault="001B628D" w:rsidP="00C90F9F">
            <w:pPr>
              <w:keepNext/>
              <w:widowControl w:val="0"/>
              <w:spacing w:line="240" w:lineRule="auto"/>
              <w:jc w:val="center"/>
              <w:rPr>
                <w:szCs w:val="22"/>
              </w:rPr>
            </w:pPr>
            <w:r w:rsidRPr="00FE6AC6">
              <w:rPr>
                <w:szCs w:val="22"/>
              </w:rPr>
              <w:t>11/67</w:t>
            </w:r>
          </w:p>
        </w:tc>
        <w:tc>
          <w:tcPr>
            <w:tcW w:w="1560" w:type="dxa"/>
            <w:tcBorders>
              <w:top w:val="nil"/>
              <w:left w:val="single" w:sz="4" w:space="0" w:color="auto"/>
              <w:bottom w:val="nil"/>
              <w:right w:val="single" w:sz="4" w:space="0" w:color="auto"/>
            </w:tcBorders>
            <w:vAlign w:val="bottom"/>
          </w:tcPr>
          <w:p w14:paraId="3E550594" w14:textId="77777777" w:rsidR="001B628D" w:rsidRPr="00FE6AC6" w:rsidRDefault="001B628D" w:rsidP="00C90F9F">
            <w:pPr>
              <w:keepNext/>
              <w:widowControl w:val="0"/>
              <w:spacing w:line="240" w:lineRule="auto"/>
              <w:jc w:val="center"/>
              <w:rPr>
                <w:szCs w:val="22"/>
              </w:rPr>
            </w:pPr>
            <w:r w:rsidRPr="00FE6AC6">
              <w:rPr>
                <w:szCs w:val="22"/>
              </w:rPr>
              <w:t>0</w:t>
            </w:r>
            <w:r w:rsidRPr="00FE6AC6">
              <w:rPr>
                <w:szCs w:val="22"/>
                <w:lang w:val="bg-BG"/>
              </w:rPr>
              <w:t>,</w:t>
            </w:r>
            <w:r w:rsidRPr="00FE6AC6">
              <w:rPr>
                <w:szCs w:val="22"/>
              </w:rPr>
              <w:t>16</w:t>
            </w:r>
          </w:p>
          <w:p w14:paraId="3E550595" w14:textId="77777777" w:rsidR="001B628D" w:rsidRPr="00FE6AC6" w:rsidRDefault="001B628D" w:rsidP="00C90F9F">
            <w:pPr>
              <w:keepNext/>
              <w:widowControl w:val="0"/>
              <w:spacing w:line="240" w:lineRule="auto"/>
              <w:jc w:val="center"/>
              <w:rPr>
                <w:szCs w:val="22"/>
              </w:rPr>
            </w:pPr>
            <w:r w:rsidRPr="00FE6AC6">
              <w:rPr>
                <w:szCs w:val="22"/>
              </w:rPr>
              <w:t>(0</w:t>
            </w:r>
            <w:r w:rsidRPr="00FE6AC6">
              <w:rPr>
                <w:szCs w:val="22"/>
                <w:lang w:val="bg-BG"/>
              </w:rPr>
              <w:t>,</w:t>
            </w:r>
            <w:r w:rsidRPr="00FE6AC6">
              <w:rPr>
                <w:szCs w:val="22"/>
              </w:rPr>
              <w:t>03; 0</w:t>
            </w:r>
            <w:r w:rsidRPr="00FE6AC6">
              <w:rPr>
                <w:szCs w:val="22"/>
                <w:lang w:val="bg-BG"/>
              </w:rPr>
              <w:t>,</w:t>
            </w:r>
            <w:r w:rsidRPr="00FE6AC6">
              <w:rPr>
                <w:szCs w:val="22"/>
              </w:rPr>
              <w:t>70)</w:t>
            </w:r>
          </w:p>
        </w:tc>
        <w:tc>
          <w:tcPr>
            <w:tcW w:w="1275" w:type="dxa"/>
            <w:tcBorders>
              <w:top w:val="nil"/>
              <w:left w:val="single" w:sz="4" w:space="0" w:color="auto"/>
              <w:bottom w:val="nil"/>
              <w:right w:val="single" w:sz="4" w:space="0" w:color="auto"/>
            </w:tcBorders>
            <w:vAlign w:val="bottom"/>
          </w:tcPr>
          <w:p w14:paraId="3E550596" w14:textId="77777777" w:rsidR="001B628D" w:rsidRPr="00FE6AC6" w:rsidRDefault="001B628D" w:rsidP="00C90F9F">
            <w:pPr>
              <w:keepNext/>
              <w:widowControl w:val="0"/>
              <w:spacing w:line="240" w:lineRule="auto"/>
              <w:jc w:val="center"/>
              <w:rPr>
                <w:szCs w:val="22"/>
              </w:rPr>
            </w:pPr>
            <w:r w:rsidRPr="00FE6AC6">
              <w:rPr>
                <w:szCs w:val="22"/>
              </w:rPr>
              <w:t>97</w:t>
            </w:r>
            <w:r w:rsidRPr="00FE6AC6">
              <w:rPr>
                <w:szCs w:val="22"/>
                <w:lang w:val="bg-BG"/>
              </w:rPr>
              <w:t>,</w:t>
            </w:r>
            <w:r w:rsidRPr="00FE6AC6">
              <w:rPr>
                <w:szCs w:val="22"/>
              </w:rPr>
              <w:t xml:space="preserve">9 </w:t>
            </w:r>
            <w:r w:rsidRPr="00FE6AC6">
              <w:rPr>
                <w:szCs w:val="22"/>
                <w:lang w:val="bg-BG"/>
              </w:rPr>
              <w:t>спрямо</w:t>
            </w:r>
            <w:r w:rsidRPr="00FE6AC6">
              <w:rPr>
                <w:szCs w:val="22"/>
              </w:rPr>
              <w:t xml:space="preserve"> 90</w:t>
            </w:r>
            <w:r w:rsidRPr="00FE6AC6">
              <w:rPr>
                <w:szCs w:val="22"/>
                <w:lang w:val="bg-BG"/>
              </w:rPr>
              <w:t>,</w:t>
            </w:r>
            <w:r w:rsidRPr="00FE6AC6">
              <w:rPr>
                <w:szCs w:val="22"/>
              </w:rPr>
              <w:t>8</w:t>
            </w:r>
          </w:p>
        </w:tc>
        <w:tc>
          <w:tcPr>
            <w:tcW w:w="1259" w:type="dxa"/>
            <w:tcBorders>
              <w:top w:val="nil"/>
              <w:left w:val="single" w:sz="4" w:space="0" w:color="auto"/>
              <w:bottom w:val="nil"/>
            </w:tcBorders>
            <w:vAlign w:val="bottom"/>
          </w:tcPr>
          <w:p w14:paraId="3E550597" w14:textId="77777777" w:rsidR="001B628D" w:rsidRPr="00FE6AC6" w:rsidRDefault="001B628D" w:rsidP="00C90F9F">
            <w:pPr>
              <w:keepNext/>
              <w:widowControl w:val="0"/>
              <w:spacing w:line="240" w:lineRule="auto"/>
              <w:jc w:val="center"/>
              <w:rPr>
                <w:szCs w:val="22"/>
              </w:rPr>
            </w:pPr>
            <w:r w:rsidRPr="00FE6AC6">
              <w:rPr>
                <w:szCs w:val="22"/>
              </w:rPr>
              <w:t>97</w:t>
            </w:r>
            <w:r w:rsidRPr="00FE6AC6">
              <w:rPr>
                <w:szCs w:val="22"/>
                <w:lang w:val="bg-BG"/>
              </w:rPr>
              <w:t>,</w:t>
            </w:r>
            <w:r w:rsidRPr="00FE6AC6">
              <w:rPr>
                <w:szCs w:val="22"/>
              </w:rPr>
              <w:t xml:space="preserve">9 </w:t>
            </w:r>
            <w:r w:rsidRPr="00FE6AC6">
              <w:rPr>
                <w:szCs w:val="22"/>
                <w:lang w:val="bg-BG"/>
              </w:rPr>
              <w:t>спрямо</w:t>
            </w:r>
            <w:r w:rsidRPr="00FE6AC6">
              <w:rPr>
                <w:szCs w:val="22"/>
              </w:rPr>
              <w:t xml:space="preserve"> 73</w:t>
            </w:r>
            <w:r w:rsidRPr="00FE6AC6">
              <w:rPr>
                <w:szCs w:val="22"/>
                <w:lang w:val="bg-BG"/>
              </w:rPr>
              <w:t>,</w:t>
            </w:r>
            <w:r w:rsidRPr="00FE6AC6">
              <w:rPr>
                <w:szCs w:val="22"/>
              </w:rPr>
              <w:t>3</w:t>
            </w:r>
          </w:p>
        </w:tc>
      </w:tr>
      <w:tr w:rsidR="001B628D" w:rsidRPr="00FE6AC6" w14:paraId="3E5505A3" w14:textId="77777777" w:rsidTr="00C90F9F">
        <w:trPr>
          <w:cantSplit/>
        </w:trPr>
        <w:tc>
          <w:tcPr>
            <w:tcW w:w="934" w:type="dxa"/>
            <w:vMerge/>
            <w:tcBorders>
              <w:bottom w:val="single" w:sz="4" w:space="0" w:color="auto"/>
            </w:tcBorders>
            <w:shd w:val="clear" w:color="auto" w:fill="auto"/>
          </w:tcPr>
          <w:p w14:paraId="3E550599" w14:textId="77777777" w:rsidR="001B628D" w:rsidRPr="00FE6AC6" w:rsidRDefault="001B628D" w:rsidP="00C90F9F">
            <w:pPr>
              <w:keepNext/>
              <w:widowControl w:val="0"/>
              <w:spacing w:line="240" w:lineRule="auto"/>
              <w:rPr>
                <w:szCs w:val="22"/>
              </w:rPr>
            </w:pPr>
          </w:p>
        </w:tc>
        <w:tc>
          <w:tcPr>
            <w:tcW w:w="1232" w:type="dxa"/>
            <w:tcBorders>
              <w:top w:val="nil"/>
              <w:bottom w:val="single" w:sz="4" w:space="0" w:color="auto"/>
              <w:right w:val="single" w:sz="4" w:space="0" w:color="auto"/>
            </w:tcBorders>
            <w:vAlign w:val="bottom"/>
          </w:tcPr>
          <w:p w14:paraId="3E55059A" w14:textId="77777777" w:rsidR="001B628D" w:rsidRPr="00FE6AC6" w:rsidRDefault="001B628D" w:rsidP="00C90F9F">
            <w:pPr>
              <w:keepNext/>
              <w:widowControl w:val="0"/>
              <w:spacing w:line="240" w:lineRule="auto"/>
              <w:rPr>
                <w:szCs w:val="22"/>
                <w:lang w:val="bg-BG"/>
              </w:rPr>
            </w:pPr>
            <w:r w:rsidRPr="00FE6AC6">
              <w:rPr>
                <w:szCs w:val="22"/>
                <w:lang w:val="bg-BG"/>
              </w:rPr>
              <w:t>Висока</w:t>
            </w:r>
          </w:p>
        </w:tc>
        <w:tc>
          <w:tcPr>
            <w:tcW w:w="1204" w:type="dxa"/>
            <w:tcBorders>
              <w:top w:val="nil"/>
              <w:left w:val="single" w:sz="4" w:space="0" w:color="auto"/>
              <w:bottom w:val="single" w:sz="4" w:space="0" w:color="auto"/>
              <w:right w:val="single" w:sz="4" w:space="0" w:color="auto"/>
            </w:tcBorders>
            <w:vAlign w:val="bottom"/>
          </w:tcPr>
          <w:p w14:paraId="3E55059B" w14:textId="77777777" w:rsidR="001B628D" w:rsidRPr="00FE6AC6" w:rsidRDefault="001B628D" w:rsidP="00C90F9F">
            <w:pPr>
              <w:keepNext/>
              <w:widowControl w:val="0"/>
              <w:spacing w:line="240" w:lineRule="auto"/>
              <w:ind w:right="-3"/>
              <w:jc w:val="center"/>
              <w:rPr>
                <w:szCs w:val="22"/>
              </w:rPr>
            </w:pPr>
            <w:r w:rsidRPr="00FE6AC6">
              <w:rPr>
                <w:szCs w:val="22"/>
              </w:rPr>
              <w:t>29</w:t>
            </w:r>
            <w:r w:rsidRPr="00FE6AC6">
              <w:rPr>
                <w:szCs w:val="22"/>
                <w:lang w:val="bg-BG"/>
              </w:rPr>
              <w:t>,</w:t>
            </w:r>
            <w:r w:rsidRPr="00FE6AC6">
              <w:rPr>
                <w:szCs w:val="22"/>
              </w:rPr>
              <w:t>7</w:t>
            </w:r>
          </w:p>
        </w:tc>
        <w:tc>
          <w:tcPr>
            <w:tcW w:w="1841" w:type="dxa"/>
            <w:tcBorders>
              <w:top w:val="nil"/>
              <w:left w:val="single" w:sz="4" w:space="0" w:color="auto"/>
              <w:bottom w:val="single" w:sz="4" w:space="0" w:color="auto"/>
              <w:right w:val="single" w:sz="4" w:space="0" w:color="auto"/>
            </w:tcBorders>
            <w:vAlign w:val="bottom"/>
          </w:tcPr>
          <w:p w14:paraId="3E55059C" w14:textId="77777777" w:rsidR="001B628D" w:rsidRPr="00FE6AC6" w:rsidRDefault="001B628D" w:rsidP="00C90F9F">
            <w:pPr>
              <w:keepNext/>
              <w:widowControl w:val="0"/>
              <w:spacing w:line="240" w:lineRule="auto"/>
              <w:jc w:val="center"/>
              <w:rPr>
                <w:szCs w:val="22"/>
              </w:rPr>
            </w:pPr>
            <w:r w:rsidRPr="00FE6AC6">
              <w:rPr>
                <w:szCs w:val="22"/>
              </w:rPr>
              <w:t>16/84</w:t>
            </w:r>
          </w:p>
          <w:p w14:paraId="3E55059D" w14:textId="77777777" w:rsidR="001B628D" w:rsidRPr="00FE6AC6" w:rsidRDefault="001B628D" w:rsidP="00C90F9F">
            <w:pPr>
              <w:keepNext/>
              <w:widowControl w:val="0"/>
              <w:spacing w:line="240" w:lineRule="auto"/>
              <w:jc w:val="center"/>
              <w:rPr>
                <w:szCs w:val="22"/>
                <w:lang w:val="en-US"/>
              </w:rPr>
            </w:pPr>
            <w:r w:rsidRPr="00FE6AC6">
              <w:rPr>
                <w:szCs w:val="22"/>
                <w:lang w:val="bg-BG"/>
              </w:rPr>
              <w:t>спрямо</w:t>
            </w:r>
          </w:p>
          <w:p w14:paraId="3E55059E" w14:textId="77777777" w:rsidR="001B628D" w:rsidRPr="00FE6AC6" w:rsidRDefault="001B628D" w:rsidP="00C90F9F">
            <w:pPr>
              <w:keepNext/>
              <w:widowControl w:val="0"/>
              <w:spacing w:line="240" w:lineRule="auto"/>
              <w:jc w:val="center"/>
              <w:rPr>
                <w:szCs w:val="22"/>
              </w:rPr>
            </w:pPr>
            <w:r w:rsidRPr="00FE6AC6">
              <w:rPr>
                <w:szCs w:val="22"/>
              </w:rPr>
              <w:t>39/81</w:t>
            </w:r>
          </w:p>
        </w:tc>
        <w:tc>
          <w:tcPr>
            <w:tcW w:w="1560" w:type="dxa"/>
            <w:tcBorders>
              <w:top w:val="nil"/>
              <w:left w:val="single" w:sz="4" w:space="0" w:color="auto"/>
              <w:bottom w:val="single" w:sz="4" w:space="0" w:color="auto"/>
              <w:right w:val="single" w:sz="4" w:space="0" w:color="auto"/>
            </w:tcBorders>
            <w:vAlign w:val="bottom"/>
          </w:tcPr>
          <w:p w14:paraId="3E55059F" w14:textId="77777777" w:rsidR="001B628D" w:rsidRPr="00FE6AC6" w:rsidRDefault="001B628D" w:rsidP="00C90F9F">
            <w:pPr>
              <w:keepNext/>
              <w:widowControl w:val="0"/>
              <w:spacing w:line="240" w:lineRule="auto"/>
              <w:jc w:val="center"/>
              <w:rPr>
                <w:szCs w:val="22"/>
              </w:rPr>
            </w:pPr>
            <w:r w:rsidRPr="00FE6AC6">
              <w:rPr>
                <w:szCs w:val="22"/>
              </w:rPr>
              <w:t>0</w:t>
            </w:r>
            <w:r w:rsidRPr="00FE6AC6">
              <w:rPr>
                <w:szCs w:val="22"/>
                <w:lang w:val="bg-BG"/>
              </w:rPr>
              <w:t>,</w:t>
            </w:r>
            <w:r w:rsidRPr="00FE6AC6">
              <w:rPr>
                <w:szCs w:val="22"/>
              </w:rPr>
              <w:t>27</w:t>
            </w:r>
          </w:p>
          <w:p w14:paraId="3E5505A0" w14:textId="77777777" w:rsidR="001B628D" w:rsidRPr="00FE6AC6" w:rsidRDefault="001B628D" w:rsidP="00C90F9F">
            <w:pPr>
              <w:keepNext/>
              <w:widowControl w:val="0"/>
              <w:spacing w:line="240" w:lineRule="auto"/>
              <w:jc w:val="center"/>
              <w:rPr>
                <w:szCs w:val="22"/>
              </w:rPr>
            </w:pPr>
            <w:r w:rsidRPr="00FE6AC6">
              <w:rPr>
                <w:szCs w:val="22"/>
              </w:rPr>
              <w:t>(0</w:t>
            </w:r>
            <w:r w:rsidRPr="00FE6AC6">
              <w:rPr>
                <w:szCs w:val="22"/>
                <w:lang w:val="bg-BG"/>
              </w:rPr>
              <w:t>,</w:t>
            </w:r>
            <w:r w:rsidRPr="00FE6AC6">
              <w:rPr>
                <w:szCs w:val="22"/>
              </w:rPr>
              <w:t>15; 0</w:t>
            </w:r>
            <w:r w:rsidRPr="00FE6AC6">
              <w:rPr>
                <w:szCs w:val="22"/>
                <w:lang w:val="bg-BG"/>
              </w:rPr>
              <w:t>,</w:t>
            </w:r>
            <w:r w:rsidRPr="00FE6AC6">
              <w:rPr>
                <w:szCs w:val="22"/>
              </w:rPr>
              <w:t>48)</w:t>
            </w:r>
          </w:p>
        </w:tc>
        <w:tc>
          <w:tcPr>
            <w:tcW w:w="1275" w:type="dxa"/>
            <w:tcBorders>
              <w:top w:val="nil"/>
              <w:left w:val="single" w:sz="4" w:space="0" w:color="auto"/>
              <w:bottom w:val="single" w:sz="4" w:space="0" w:color="auto"/>
              <w:right w:val="single" w:sz="4" w:space="0" w:color="auto"/>
            </w:tcBorders>
            <w:vAlign w:val="bottom"/>
          </w:tcPr>
          <w:p w14:paraId="3E5505A1" w14:textId="77777777" w:rsidR="001B628D" w:rsidRPr="00FE6AC6" w:rsidRDefault="001B628D" w:rsidP="00C90F9F">
            <w:pPr>
              <w:keepNext/>
              <w:widowControl w:val="0"/>
              <w:spacing w:line="240" w:lineRule="auto"/>
              <w:jc w:val="center"/>
              <w:rPr>
                <w:szCs w:val="22"/>
              </w:rPr>
            </w:pPr>
            <w:r w:rsidRPr="00FE6AC6">
              <w:rPr>
                <w:szCs w:val="22"/>
              </w:rPr>
              <w:t>98</w:t>
            </w:r>
            <w:r w:rsidRPr="00FE6AC6">
              <w:rPr>
                <w:szCs w:val="22"/>
                <w:lang w:val="bg-BG"/>
              </w:rPr>
              <w:t>,</w:t>
            </w:r>
            <w:r w:rsidRPr="00FE6AC6">
              <w:rPr>
                <w:szCs w:val="22"/>
              </w:rPr>
              <w:t xml:space="preserve">7 </w:t>
            </w:r>
            <w:r w:rsidRPr="00FE6AC6">
              <w:rPr>
                <w:szCs w:val="22"/>
                <w:lang w:val="bg-BG"/>
              </w:rPr>
              <w:t>спрямо</w:t>
            </w:r>
            <w:r w:rsidRPr="00FE6AC6">
              <w:rPr>
                <w:szCs w:val="22"/>
              </w:rPr>
              <w:t xml:space="preserve"> 56</w:t>
            </w:r>
            <w:r w:rsidRPr="00FE6AC6">
              <w:rPr>
                <w:szCs w:val="22"/>
                <w:lang w:val="bg-BG"/>
              </w:rPr>
              <w:t>,</w:t>
            </w:r>
            <w:r w:rsidRPr="00FE6AC6">
              <w:rPr>
                <w:szCs w:val="22"/>
              </w:rPr>
              <w:t>1</w:t>
            </w:r>
          </w:p>
        </w:tc>
        <w:tc>
          <w:tcPr>
            <w:tcW w:w="1259" w:type="dxa"/>
            <w:tcBorders>
              <w:top w:val="nil"/>
              <w:left w:val="single" w:sz="4" w:space="0" w:color="auto"/>
              <w:bottom w:val="single" w:sz="4" w:space="0" w:color="auto"/>
            </w:tcBorders>
            <w:vAlign w:val="bottom"/>
          </w:tcPr>
          <w:p w14:paraId="3E5505A2" w14:textId="77777777" w:rsidR="001B628D" w:rsidRPr="00FE6AC6" w:rsidRDefault="001B628D" w:rsidP="00C90F9F">
            <w:pPr>
              <w:keepNext/>
              <w:widowControl w:val="0"/>
              <w:spacing w:line="240" w:lineRule="auto"/>
              <w:jc w:val="center"/>
              <w:rPr>
                <w:szCs w:val="22"/>
              </w:rPr>
            </w:pPr>
            <w:r w:rsidRPr="00FE6AC6">
              <w:rPr>
                <w:szCs w:val="22"/>
              </w:rPr>
              <w:t>79</w:t>
            </w:r>
            <w:r w:rsidRPr="00FE6AC6">
              <w:rPr>
                <w:szCs w:val="22"/>
                <w:lang w:val="bg-BG"/>
              </w:rPr>
              <w:t>,</w:t>
            </w:r>
            <w:r w:rsidRPr="00FE6AC6">
              <w:rPr>
                <w:szCs w:val="22"/>
              </w:rPr>
              <w:t xml:space="preserve">9 </w:t>
            </w:r>
            <w:r w:rsidRPr="00FE6AC6">
              <w:rPr>
                <w:szCs w:val="22"/>
                <w:lang w:val="bg-BG"/>
              </w:rPr>
              <w:t>спрямо</w:t>
            </w:r>
            <w:r w:rsidRPr="00FE6AC6">
              <w:rPr>
                <w:szCs w:val="22"/>
              </w:rPr>
              <w:t xml:space="preserve"> 41</w:t>
            </w:r>
            <w:r w:rsidRPr="00FE6AC6">
              <w:rPr>
                <w:szCs w:val="22"/>
                <w:lang w:val="bg-BG"/>
              </w:rPr>
              <w:t>,</w:t>
            </w:r>
            <w:r w:rsidRPr="00FE6AC6">
              <w:rPr>
                <w:szCs w:val="22"/>
              </w:rPr>
              <w:t>5</w:t>
            </w:r>
          </w:p>
        </w:tc>
      </w:tr>
    </w:tbl>
    <w:p w14:paraId="3E5505A4" w14:textId="77777777" w:rsidR="001B628D" w:rsidRPr="00FE6AC6" w:rsidRDefault="001B628D" w:rsidP="00C90F9F">
      <w:pPr>
        <w:pStyle w:val="Text"/>
        <w:widowControl w:val="0"/>
        <w:spacing w:before="0"/>
        <w:rPr>
          <w:sz w:val="22"/>
          <w:szCs w:val="22"/>
          <w:lang w:val="bg-BG"/>
        </w:rPr>
      </w:pPr>
      <w:r w:rsidRPr="00FE6AC6">
        <w:rPr>
          <w:sz w:val="22"/>
          <w:szCs w:val="22"/>
          <w:lang w:val="ru-RU"/>
        </w:rPr>
        <w:t xml:space="preserve">* </w:t>
      </w:r>
      <w:r w:rsidRPr="00FE6AC6">
        <w:rPr>
          <w:sz w:val="22"/>
          <w:szCs w:val="22"/>
          <w:lang w:val="bg-BG"/>
        </w:rPr>
        <w:t xml:space="preserve">Пълен период на проследяване; </w:t>
      </w:r>
      <w:r w:rsidRPr="00FE6AC6">
        <w:rPr>
          <w:sz w:val="22"/>
          <w:szCs w:val="22"/>
        </w:rPr>
        <w:t>NE</w:t>
      </w:r>
      <w:r w:rsidRPr="00FE6AC6">
        <w:rPr>
          <w:sz w:val="22"/>
          <w:szCs w:val="22"/>
          <w:lang w:val="bg-BG"/>
        </w:rPr>
        <w:t xml:space="preserve"> - Неподлежащ на оценка</w:t>
      </w:r>
    </w:p>
    <w:p w14:paraId="3E5505A5" w14:textId="77777777" w:rsidR="001B628D" w:rsidRPr="00FE6AC6" w:rsidRDefault="001B628D" w:rsidP="0063575E">
      <w:pPr>
        <w:pStyle w:val="Text"/>
        <w:widowControl w:val="0"/>
        <w:spacing w:before="0"/>
        <w:jc w:val="left"/>
        <w:rPr>
          <w:rFonts w:eastAsia="MS Mincho"/>
          <w:color w:val="000000"/>
          <w:sz w:val="22"/>
          <w:szCs w:val="22"/>
          <w:lang w:val="ru-RU" w:eastAsia="ja-JP"/>
        </w:rPr>
      </w:pPr>
    </w:p>
    <w:p w14:paraId="3E5505A6" w14:textId="77777777" w:rsidR="001B628D" w:rsidRPr="00FE6AC6" w:rsidRDefault="001B628D" w:rsidP="0063575E">
      <w:pPr>
        <w:widowControl w:val="0"/>
        <w:tabs>
          <w:tab w:val="clear" w:pos="567"/>
        </w:tabs>
        <w:spacing w:line="240" w:lineRule="auto"/>
        <w:rPr>
          <w:rFonts w:eastAsia="MS Mincho"/>
          <w:iCs/>
          <w:szCs w:val="22"/>
          <w:lang w:val="bg-BG" w:eastAsia="ja-JP"/>
        </w:rPr>
      </w:pPr>
      <w:r w:rsidRPr="00FE6AC6">
        <w:rPr>
          <w:rFonts w:eastAsia="MS Mincho"/>
          <w:szCs w:val="22"/>
          <w:lang w:val="bg-BG" w:eastAsia="ja-JP"/>
        </w:rPr>
        <w:t>Второ моногоцентрово, отворено фаза</w:t>
      </w:r>
      <w:r w:rsidRPr="00FE6AC6">
        <w:rPr>
          <w:rFonts w:eastAsia="MS Mincho"/>
          <w:szCs w:val="22"/>
          <w:lang w:val="ru-RU" w:eastAsia="ja-JP"/>
        </w:rPr>
        <w:t xml:space="preserve"> </w:t>
      </w:r>
      <w:r w:rsidRPr="00FE6AC6">
        <w:rPr>
          <w:rFonts w:eastAsia="MS Mincho"/>
          <w:szCs w:val="22"/>
          <w:lang w:val="en-US" w:eastAsia="ja-JP"/>
        </w:rPr>
        <w:t>III</w:t>
      </w:r>
      <w:r w:rsidRPr="00FE6AC6">
        <w:rPr>
          <w:rFonts w:eastAsia="MS Mincho"/>
          <w:szCs w:val="22"/>
          <w:lang w:val="ru-RU" w:eastAsia="ja-JP"/>
        </w:rPr>
        <w:t xml:space="preserve"> </w:t>
      </w:r>
      <w:r w:rsidRPr="00FE6AC6">
        <w:rPr>
          <w:rFonts w:eastAsia="MS Mincho"/>
          <w:szCs w:val="22"/>
          <w:lang w:val="bg-BG" w:eastAsia="ja-JP"/>
        </w:rPr>
        <w:t>проучване</w:t>
      </w:r>
      <w:r w:rsidRPr="00FE6AC6">
        <w:rPr>
          <w:rFonts w:eastAsia="MS Mincho"/>
          <w:szCs w:val="22"/>
          <w:lang w:val="ru-RU" w:eastAsia="ja-JP"/>
        </w:rPr>
        <w:t xml:space="preserve"> (</w:t>
      </w:r>
      <w:r w:rsidRPr="00FE6AC6">
        <w:rPr>
          <w:rFonts w:eastAsia="MS Mincho"/>
          <w:szCs w:val="22"/>
          <w:lang w:val="en-US" w:eastAsia="ja-JP"/>
        </w:rPr>
        <w:t>SSG</w:t>
      </w:r>
      <w:r w:rsidRPr="00FE6AC6">
        <w:rPr>
          <w:rFonts w:eastAsia="MS Mincho"/>
          <w:szCs w:val="22"/>
          <w:lang w:val="ru-RU" w:eastAsia="ja-JP"/>
        </w:rPr>
        <w:t xml:space="preserve"> </w:t>
      </w:r>
      <w:r w:rsidRPr="00FE6AC6">
        <w:rPr>
          <w:rFonts w:eastAsia="MS Mincho"/>
          <w:szCs w:val="22"/>
          <w:lang w:val="en-US" w:eastAsia="ja-JP"/>
        </w:rPr>
        <w:t>XVIII</w:t>
      </w:r>
      <w:r w:rsidRPr="00FE6AC6">
        <w:rPr>
          <w:rFonts w:eastAsia="MS Mincho"/>
          <w:szCs w:val="22"/>
          <w:lang w:val="ru-RU" w:eastAsia="ja-JP"/>
        </w:rPr>
        <w:t>/</w:t>
      </w:r>
      <w:r w:rsidRPr="00FE6AC6">
        <w:rPr>
          <w:rFonts w:eastAsia="MS Mincho"/>
          <w:szCs w:val="22"/>
          <w:lang w:val="en-US" w:eastAsia="ja-JP"/>
        </w:rPr>
        <w:t>AIO</w:t>
      </w:r>
      <w:r w:rsidRPr="00FE6AC6">
        <w:rPr>
          <w:rFonts w:eastAsia="MS Mincho"/>
          <w:szCs w:val="22"/>
          <w:lang w:val="ru-RU" w:eastAsia="ja-JP"/>
        </w:rPr>
        <w:t xml:space="preserve">) </w:t>
      </w:r>
      <w:r w:rsidRPr="00FE6AC6">
        <w:rPr>
          <w:rFonts w:eastAsia="MS Mincho"/>
          <w:szCs w:val="22"/>
          <w:lang w:val="bg-BG" w:eastAsia="ja-JP"/>
        </w:rPr>
        <w:t xml:space="preserve">сравнява 12 месечното лечение с </w:t>
      </w:r>
      <w:r w:rsidRPr="00FE6AC6">
        <w:rPr>
          <w:rFonts w:eastAsia="MS Mincho"/>
          <w:szCs w:val="22"/>
          <w:lang w:val="en-US" w:eastAsia="ja-JP"/>
        </w:rPr>
        <w:t>Glivec</w:t>
      </w:r>
      <w:r w:rsidRPr="00FE6AC6">
        <w:rPr>
          <w:rFonts w:eastAsia="MS Mincho"/>
          <w:szCs w:val="22"/>
          <w:lang w:val="ru-RU" w:eastAsia="ja-JP"/>
        </w:rPr>
        <w:t xml:space="preserve"> 400</w:t>
      </w:r>
      <w:r w:rsidRPr="00FE6AC6">
        <w:rPr>
          <w:rFonts w:eastAsia="MS Mincho"/>
          <w:szCs w:val="22"/>
          <w:lang w:val="en-US" w:eastAsia="ja-JP"/>
        </w:rPr>
        <w:t> mg</w:t>
      </w:r>
      <w:r w:rsidRPr="00FE6AC6">
        <w:rPr>
          <w:rFonts w:eastAsia="MS Mincho"/>
          <w:szCs w:val="22"/>
          <w:lang w:val="ru-RU" w:eastAsia="ja-JP"/>
        </w:rPr>
        <w:t>/</w:t>
      </w:r>
      <w:r w:rsidRPr="00FE6AC6">
        <w:rPr>
          <w:rFonts w:eastAsia="MS Mincho"/>
          <w:szCs w:val="22"/>
          <w:lang w:val="bg-BG" w:eastAsia="ja-JP"/>
        </w:rPr>
        <w:t>ден спрямо 36 месечно лечение при пациенти след хирургична резекция на ГИСТ с една от следните характеристики: туморен диаметър</w:t>
      </w:r>
      <w:r w:rsidRPr="00FE6AC6">
        <w:rPr>
          <w:rFonts w:eastAsia="MS Mincho"/>
          <w:iCs/>
          <w:szCs w:val="22"/>
          <w:lang w:val="ru-RU" w:eastAsia="ja-JP"/>
        </w:rPr>
        <w:t xml:space="preserve"> &gt;</w:t>
      </w:r>
      <w:smartTag w:uri="urn:schemas-microsoft-com:office:smarttags" w:element="metricconverter">
        <w:smartTagPr>
          <w:attr w:name="ProductID" w:val="5ﾠcm"/>
        </w:smartTagPr>
        <w:r w:rsidRPr="00FE6AC6">
          <w:rPr>
            <w:rFonts w:eastAsia="MS Mincho"/>
            <w:iCs/>
            <w:szCs w:val="22"/>
            <w:lang w:val="ru-RU" w:eastAsia="ja-JP"/>
          </w:rPr>
          <w:t>5</w:t>
        </w:r>
        <w:r w:rsidRPr="00FE6AC6">
          <w:rPr>
            <w:rFonts w:eastAsia="MS Mincho"/>
            <w:szCs w:val="22"/>
            <w:lang w:val="en-US" w:eastAsia="ja-JP"/>
          </w:rPr>
          <w:t> </w:t>
        </w:r>
        <w:r w:rsidRPr="00FE6AC6">
          <w:rPr>
            <w:rFonts w:eastAsia="MS Mincho"/>
            <w:iCs/>
            <w:szCs w:val="22"/>
            <w:lang w:val="en-US" w:eastAsia="ja-JP"/>
          </w:rPr>
          <w:t>cm</w:t>
        </w:r>
      </w:smartTag>
      <w:r w:rsidRPr="00FE6AC6">
        <w:rPr>
          <w:rFonts w:eastAsia="MS Mincho"/>
          <w:iCs/>
          <w:szCs w:val="22"/>
          <w:lang w:val="ru-RU" w:eastAsia="ja-JP"/>
        </w:rPr>
        <w:t xml:space="preserve"> </w:t>
      </w:r>
      <w:r w:rsidRPr="00FE6AC6">
        <w:rPr>
          <w:rFonts w:eastAsia="MS Mincho"/>
          <w:iCs/>
          <w:szCs w:val="22"/>
          <w:lang w:val="bg-BG" w:eastAsia="ja-JP"/>
        </w:rPr>
        <w:t xml:space="preserve">и </w:t>
      </w:r>
      <w:r w:rsidRPr="00FE6AC6">
        <w:rPr>
          <w:rFonts w:eastAsia="MS Mincho"/>
          <w:iCs/>
          <w:szCs w:val="22"/>
          <w:lang w:val="ru-RU" w:eastAsia="ja-JP"/>
        </w:rPr>
        <w:t xml:space="preserve">&gt;5/50 </w:t>
      </w:r>
      <w:r w:rsidRPr="00FE6AC6">
        <w:rPr>
          <w:rFonts w:eastAsia="MS Mincho"/>
          <w:iCs/>
          <w:szCs w:val="22"/>
          <w:lang w:val="bg-BG" w:eastAsia="ja-JP"/>
        </w:rPr>
        <w:t>броя митози на полета с голямо увеличение (</w:t>
      </w:r>
      <w:r w:rsidRPr="00FE6AC6">
        <w:rPr>
          <w:rFonts w:eastAsia="MS Mincho"/>
          <w:iCs/>
          <w:szCs w:val="22"/>
          <w:lang w:val="en-US" w:eastAsia="ja-JP"/>
        </w:rPr>
        <w:t>high</w:t>
      </w:r>
      <w:r w:rsidRPr="00FE6AC6">
        <w:rPr>
          <w:rFonts w:eastAsia="MS Mincho"/>
          <w:iCs/>
          <w:szCs w:val="22"/>
          <w:lang w:val="ru-RU" w:eastAsia="ja-JP"/>
        </w:rPr>
        <w:t xml:space="preserve"> </w:t>
      </w:r>
      <w:r w:rsidRPr="00FE6AC6">
        <w:rPr>
          <w:rFonts w:eastAsia="MS Mincho"/>
          <w:iCs/>
          <w:szCs w:val="22"/>
          <w:lang w:val="en-US" w:eastAsia="ja-JP"/>
        </w:rPr>
        <w:t>power</w:t>
      </w:r>
      <w:r w:rsidRPr="00FE6AC6">
        <w:rPr>
          <w:rFonts w:eastAsia="MS Mincho"/>
          <w:iCs/>
          <w:szCs w:val="22"/>
          <w:lang w:val="ru-RU" w:eastAsia="ja-JP"/>
        </w:rPr>
        <w:t xml:space="preserve"> </w:t>
      </w:r>
      <w:r w:rsidRPr="00FE6AC6">
        <w:rPr>
          <w:rFonts w:eastAsia="MS Mincho"/>
          <w:iCs/>
          <w:szCs w:val="22"/>
          <w:lang w:val="en-US" w:eastAsia="ja-JP"/>
        </w:rPr>
        <w:t>fields</w:t>
      </w:r>
      <w:r w:rsidRPr="00FE6AC6">
        <w:rPr>
          <w:rFonts w:eastAsia="MS Mincho"/>
          <w:iCs/>
          <w:szCs w:val="22"/>
          <w:lang w:val="ru-RU" w:eastAsia="ja-JP"/>
        </w:rPr>
        <w:t xml:space="preserve"> [</w:t>
      </w:r>
      <w:r w:rsidRPr="00FE6AC6">
        <w:rPr>
          <w:rFonts w:eastAsia="MS Mincho"/>
          <w:iCs/>
          <w:szCs w:val="22"/>
          <w:lang w:val="en-US" w:eastAsia="ja-JP"/>
        </w:rPr>
        <w:t>HPF</w:t>
      </w:r>
      <w:r w:rsidRPr="00FE6AC6">
        <w:rPr>
          <w:rFonts w:eastAsia="MS Mincho"/>
          <w:iCs/>
          <w:szCs w:val="22"/>
          <w:lang w:val="ru-RU" w:eastAsia="ja-JP"/>
        </w:rPr>
        <w:t xml:space="preserve">]); </w:t>
      </w:r>
      <w:r w:rsidRPr="00FE6AC6">
        <w:rPr>
          <w:rFonts w:eastAsia="MS Mincho"/>
          <w:iCs/>
          <w:szCs w:val="22"/>
          <w:lang w:val="bg-BG" w:eastAsia="ja-JP"/>
        </w:rPr>
        <w:t>или туморен диаметър</w:t>
      </w:r>
      <w:r w:rsidRPr="00FE6AC6">
        <w:rPr>
          <w:rFonts w:eastAsia="MS Mincho"/>
          <w:iCs/>
          <w:szCs w:val="22"/>
          <w:lang w:val="ru-RU" w:eastAsia="ja-JP"/>
        </w:rPr>
        <w:t xml:space="preserve"> &gt;</w:t>
      </w:r>
      <w:smartTag w:uri="urn:schemas-microsoft-com:office:smarttags" w:element="metricconverter">
        <w:smartTagPr>
          <w:attr w:name="ProductID" w:val="10 см"/>
        </w:smartTagPr>
        <w:r w:rsidRPr="00FE6AC6">
          <w:rPr>
            <w:rFonts w:eastAsia="MS Mincho"/>
            <w:iCs/>
            <w:szCs w:val="22"/>
            <w:lang w:val="ru-RU" w:eastAsia="ja-JP"/>
          </w:rPr>
          <w:t>10</w:t>
        </w:r>
        <w:r w:rsidRPr="00FE6AC6">
          <w:rPr>
            <w:rFonts w:eastAsia="MS Mincho"/>
            <w:szCs w:val="22"/>
            <w:lang w:val="en-US" w:eastAsia="ja-JP"/>
          </w:rPr>
          <w:t> </w:t>
        </w:r>
        <w:r w:rsidRPr="00FE6AC6">
          <w:rPr>
            <w:rFonts w:eastAsia="MS Mincho"/>
            <w:szCs w:val="22"/>
            <w:lang w:val="bg-BG" w:eastAsia="ja-JP"/>
          </w:rPr>
          <w:t>см</w:t>
        </w:r>
      </w:smartTag>
      <w:r w:rsidRPr="00FE6AC6">
        <w:rPr>
          <w:rFonts w:eastAsia="MS Mincho"/>
          <w:szCs w:val="22"/>
          <w:lang w:val="bg-BG" w:eastAsia="ja-JP"/>
        </w:rPr>
        <w:t xml:space="preserve"> и какъвто и да е брой митози, или какъвто и да е размер на тумора с брой митози </w:t>
      </w:r>
      <w:r w:rsidRPr="00FE6AC6">
        <w:rPr>
          <w:rFonts w:eastAsia="MS Mincho"/>
          <w:iCs/>
          <w:szCs w:val="22"/>
          <w:lang w:val="ru-RU" w:eastAsia="ja-JP"/>
        </w:rPr>
        <w:t xml:space="preserve">&gt;10/50 на </w:t>
      </w:r>
      <w:r w:rsidRPr="00FE6AC6">
        <w:rPr>
          <w:rFonts w:eastAsia="MS Mincho"/>
          <w:iCs/>
          <w:szCs w:val="22"/>
          <w:lang w:val="en-US" w:eastAsia="ja-JP"/>
        </w:rPr>
        <w:t>HPF</w:t>
      </w:r>
      <w:r w:rsidRPr="00FE6AC6">
        <w:rPr>
          <w:rFonts w:eastAsia="MS Mincho"/>
          <w:iCs/>
          <w:szCs w:val="22"/>
          <w:lang w:val="bg-BG" w:eastAsia="ja-JP"/>
        </w:rPr>
        <w:t>,</w:t>
      </w:r>
      <w:r w:rsidRPr="00FE6AC6">
        <w:rPr>
          <w:rFonts w:eastAsia="MS Mincho"/>
          <w:iCs/>
          <w:szCs w:val="22"/>
          <w:lang w:val="ru-RU" w:eastAsia="ja-JP"/>
        </w:rPr>
        <w:t xml:space="preserve"> </w:t>
      </w:r>
      <w:r w:rsidRPr="00FE6AC6">
        <w:rPr>
          <w:rFonts w:eastAsia="MS Mincho"/>
          <w:iCs/>
          <w:szCs w:val="22"/>
          <w:lang w:val="bg-BG" w:eastAsia="ja-JP"/>
        </w:rPr>
        <w:t>или руптура на тумора в перитонеалната кухина. Общо 397</w:t>
      </w:r>
      <w:r w:rsidRPr="00FE6AC6">
        <w:rPr>
          <w:rFonts w:eastAsia="MS Mincho"/>
          <w:szCs w:val="22"/>
          <w:lang w:val="en-US" w:eastAsia="ja-JP"/>
        </w:rPr>
        <w:t> </w:t>
      </w:r>
      <w:r w:rsidRPr="00FE6AC6">
        <w:rPr>
          <w:rFonts w:eastAsia="MS Mincho"/>
          <w:szCs w:val="22"/>
          <w:lang w:val="bg-BG" w:eastAsia="ja-JP"/>
        </w:rPr>
        <w:t xml:space="preserve">пациенти са включени и рандомизирани в проучването </w:t>
      </w:r>
      <w:r w:rsidRPr="00FE6AC6">
        <w:rPr>
          <w:rFonts w:eastAsia="MS Mincho"/>
          <w:iCs/>
          <w:szCs w:val="22"/>
          <w:lang w:val="bg-BG" w:eastAsia="ja-JP"/>
        </w:rPr>
        <w:t>(199</w:t>
      </w:r>
      <w:r w:rsidRPr="00FE6AC6">
        <w:rPr>
          <w:rFonts w:eastAsia="MS Mincho"/>
          <w:szCs w:val="22"/>
          <w:lang w:val="en-US" w:eastAsia="ja-JP"/>
        </w:rPr>
        <w:t> </w:t>
      </w:r>
      <w:r w:rsidRPr="00FE6AC6">
        <w:rPr>
          <w:rFonts w:eastAsia="MS Mincho"/>
          <w:szCs w:val="22"/>
          <w:lang w:val="bg-BG" w:eastAsia="ja-JP"/>
        </w:rPr>
        <w:t xml:space="preserve">пациенти в 12-месечното рамо и </w:t>
      </w:r>
      <w:r w:rsidRPr="00FE6AC6">
        <w:rPr>
          <w:rFonts w:eastAsia="MS Mincho"/>
          <w:iCs/>
          <w:szCs w:val="22"/>
          <w:lang w:val="bg-BG" w:eastAsia="ja-JP"/>
        </w:rPr>
        <w:t>198</w:t>
      </w:r>
      <w:r w:rsidRPr="00FE6AC6">
        <w:rPr>
          <w:rFonts w:eastAsia="MS Mincho"/>
          <w:szCs w:val="22"/>
          <w:lang w:val="en-US" w:eastAsia="ja-JP"/>
        </w:rPr>
        <w:t> </w:t>
      </w:r>
      <w:r w:rsidRPr="00FE6AC6">
        <w:rPr>
          <w:rFonts w:eastAsia="MS Mincho"/>
          <w:szCs w:val="22"/>
          <w:lang w:val="bg-BG" w:eastAsia="ja-JP"/>
        </w:rPr>
        <w:t>пациенти в 36-месечното рамо</w:t>
      </w:r>
      <w:r w:rsidRPr="00FE6AC6">
        <w:rPr>
          <w:rFonts w:eastAsia="MS Mincho"/>
          <w:iCs/>
          <w:szCs w:val="22"/>
          <w:lang w:val="bg-BG" w:eastAsia="ja-JP"/>
        </w:rPr>
        <w:t xml:space="preserve">), медианата на възрастта е </w:t>
      </w:r>
      <w:r w:rsidRPr="00FE6AC6">
        <w:rPr>
          <w:rFonts w:eastAsia="MS Mincho"/>
          <w:bCs/>
          <w:iCs/>
          <w:szCs w:val="22"/>
          <w:lang w:val="bg-BG" w:eastAsia="ja-JP"/>
        </w:rPr>
        <w:t>61</w:t>
      </w:r>
      <w:r w:rsidRPr="00FE6AC6">
        <w:rPr>
          <w:rFonts w:eastAsia="MS Mincho"/>
          <w:szCs w:val="22"/>
          <w:lang w:val="en-US" w:eastAsia="ja-JP"/>
        </w:rPr>
        <w:t> </w:t>
      </w:r>
      <w:r w:rsidRPr="00FE6AC6">
        <w:rPr>
          <w:rFonts w:eastAsia="MS Mincho"/>
          <w:szCs w:val="22"/>
          <w:lang w:val="bg-BG" w:eastAsia="ja-JP"/>
        </w:rPr>
        <w:t>години</w:t>
      </w:r>
      <w:r w:rsidRPr="00FE6AC6">
        <w:rPr>
          <w:rFonts w:eastAsia="MS Mincho"/>
          <w:iCs/>
          <w:szCs w:val="22"/>
          <w:lang w:val="bg-BG" w:eastAsia="ja-JP"/>
        </w:rPr>
        <w:t xml:space="preserve"> (интервал 22 до 84</w:t>
      </w:r>
      <w:r w:rsidRPr="00FE6AC6">
        <w:rPr>
          <w:rFonts w:eastAsia="MS Mincho"/>
          <w:szCs w:val="22"/>
          <w:lang w:val="en-US" w:eastAsia="ja-JP"/>
        </w:rPr>
        <w:t> </w:t>
      </w:r>
      <w:r w:rsidRPr="00FE6AC6">
        <w:rPr>
          <w:rFonts w:eastAsia="MS Mincho"/>
          <w:szCs w:val="22"/>
          <w:lang w:val="bg-BG" w:eastAsia="ja-JP"/>
        </w:rPr>
        <w:t>години</w:t>
      </w:r>
      <w:r w:rsidRPr="00FE6AC6">
        <w:rPr>
          <w:rFonts w:eastAsia="MS Mincho"/>
          <w:iCs/>
          <w:szCs w:val="22"/>
          <w:lang w:val="bg-BG" w:eastAsia="ja-JP"/>
        </w:rPr>
        <w:t>). Медианата на времето на проследяване е 54</w:t>
      </w:r>
      <w:r w:rsidRPr="00FE6AC6">
        <w:rPr>
          <w:rFonts w:eastAsia="MS Mincho"/>
          <w:szCs w:val="22"/>
          <w:lang w:val="en-US" w:eastAsia="ja-JP"/>
        </w:rPr>
        <w:t> </w:t>
      </w:r>
      <w:r w:rsidRPr="00FE6AC6">
        <w:rPr>
          <w:rFonts w:eastAsia="MS Mincho"/>
          <w:szCs w:val="22"/>
          <w:lang w:val="bg-BG" w:eastAsia="ja-JP"/>
        </w:rPr>
        <w:t>месеца</w:t>
      </w:r>
      <w:r w:rsidRPr="00FE6AC6">
        <w:rPr>
          <w:rFonts w:eastAsia="MS Mincho"/>
          <w:iCs/>
          <w:szCs w:val="22"/>
          <w:lang w:val="bg-BG" w:eastAsia="ja-JP"/>
        </w:rPr>
        <w:t xml:space="preserve"> (от датата на рандомизация до крайната дата), общо 83</w:t>
      </w:r>
      <w:r w:rsidRPr="00FE6AC6">
        <w:rPr>
          <w:rFonts w:eastAsia="MS Mincho"/>
          <w:szCs w:val="22"/>
          <w:lang w:val="en-US" w:eastAsia="ja-JP"/>
        </w:rPr>
        <w:t> </w:t>
      </w:r>
      <w:r w:rsidRPr="00FE6AC6">
        <w:rPr>
          <w:rFonts w:eastAsia="MS Mincho"/>
          <w:szCs w:val="22"/>
          <w:lang w:val="bg-BG" w:eastAsia="ja-JP"/>
        </w:rPr>
        <w:t xml:space="preserve">месеца между първия рандомизиран пациент и </w:t>
      </w:r>
      <w:r w:rsidRPr="00FE6AC6">
        <w:rPr>
          <w:rFonts w:eastAsia="MS Mincho"/>
          <w:iCs/>
          <w:szCs w:val="22"/>
          <w:lang w:val="bg-BG" w:eastAsia="ja-JP"/>
        </w:rPr>
        <w:t>крайната дата.</w:t>
      </w:r>
    </w:p>
    <w:p w14:paraId="3E5505A7" w14:textId="77777777" w:rsidR="001B628D" w:rsidRPr="00FE6AC6" w:rsidRDefault="001B628D" w:rsidP="0063575E">
      <w:pPr>
        <w:widowControl w:val="0"/>
        <w:tabs>
          <w:tab w:val="clear" w:pos="567"/>
        </w:tabs>
        <w:spacing w:line="240" w:lineRule="auto"/>
        <w:rPr>
          <w:rFonts w:eastAsia="MS Mincho"/>
          <w:iCs/>
          <w:szCs w:val="22"/>
          <w:lang w:val="bg-BG" w:eastAsia="ja-JP"/>
        </w:rPr>
      </w:pPr>
    </w:p>
    <w:p w14:paraId="3E5505A8" w14:textId="77777777" w:rsidR="001B628D" w:rsidRPr="00FE6AC6" w:rsidRDefault="001B628D" w:rsidP="0063575E">
      <w:pPr>
        <w:widowControl w:val="0"/>
        <w:tabs>
          <w:tab w:val="clear" w:pos="567"/>
        </w:tabs>
        <w:spacing w:line="240" w:lineRule="auto"/>
        <w:rPr>
          <w:rFonts w:eastAsia="MS Mincho"/>
          <w:szCs w:val="22"/>
          <w:lang w:val="bg-BG" w:eastAsia="ja-JP"/>
        </w:rPr>
      </w:pPr>
      <w:r w:rsidRPr="00FE6AC6">
        <w:rPr>
          <w:rFonts w:eastAsia="MS Mincho"/>
          <w:szCs w:val="22"/>
          <w:lang w:val="bg-BG" w:eastAsia="ja-JP"/>
        </w:rPr>
        <w:t>Първична крайна цел на проучването е преживяемостта без рецидив (ПБР), дефинирана от времето на рандомизация до датата на поява на рецидив на заболяването или смърт поради някаква причина.</w:t>
      </w:r>
    </w:p>
    <w:p w14:paraId="3E5505A9" w14:textId="77777777" w:rsidR="001B628D" w:rsidRPr="00FE6AC6" w:rsidRDefault="001B628D" w:rsidP="0063575E">
      <w:pPr>
        <w:widowControl w:val="0"/>
        <w:tabs>
          <w:tab w:val="clear" w:pos="567"/>
        </w:tabs>
        <w:spacing w:line="240" w:lineRule="auto"/>
        <w:rPr>
          <w:rFonts w:eastAsia="MS Mincho"/>
          <w:szCs w:val="22"/>
          <w:lang w:val="bg-BG" w:eastAsia="ja-JP"/>
        </w:rPr>
      </w:pPr>
    </w:p>
    <w:p w14:paraId="3E5505AA" w14:textId="77777777" w:rsidR="001B628D" w:rsidRPr="00FE6AC6" w:rsidRDefault="001B628D" w:rsidP="0063575E">
      <w:pPr>
        <w:widowControl w:val="0"/>
        <w:tabs>
          <w:tab w:val="clear" w:pos="567"/>
        </w:tabs>
        <w:spacing w:line="240" w:lineRule="auto"/>
        <w:rPr>
          <w:rFonts w:eastAsia="MS Mincho"/>
          <w:iCs/>
          <w:color w:val="000000"/>
          <w:szCs w:val="22"/>
          <w:lang w:val="bg-BG" w:eastAsia="ja-JP"/>
        </w:rPr>
      </w:pPr>
      <w:r w:rsidRPr="00FE6AC6">
        <w:rPr>
          <w:rFonts w:eastAsia="MS Mincho"/>
          <w:iCs/>
          <w:szCs w:val="22"/>
          <w:lang w:val="bg-BG" w:eastAsia="ja-JP"/>
        </w:rPr>
        <w:t xml:space="preserve">Тридесет и шест (36) месечното лечение с </w:t>
      </w:r>
      <w:r w:rsidRPr="00FE6AC6">
        <w:rPr>
          <w:rFonts w:eastAsia="MS Mincho"/>
          <w:iCs/>
          <w:szCs w:val="22"/>
          <w:lang w:val="en-US" w:eastAsia="ja-JP"/>
        </w:rPr>
        <w:t>Glivec</w:t>
      </w:r>
      <w:r w:rsidRPr="00FE6AC6">
        <w:rPr>
          <w:rFonts w:eastAsia="MS Mincho"/>
          <w:iCs/>
          <w:szCs w:val="22"/>
          <w:lang w:val="bg-BG" w:eastAsia="ja-JP"/>
        </w:rPr>
        <w:t xml:space="preserve"> значимо удължава преживяемостта без рецидив спрямо 12 месечното лечение с </w:t>
      </w:r>
      <w:r w:rsidRPr="00FE6AC6">
        <w:rPr>
          <w:rFonts w:eastAsia="MS Mincho"/>
          <w:iCs/>
          <w:szCs w:val="22"/>
          <w:lang w:val="en-US" w:eastAsia="ja-JP"/>
        </w:rPr>
        <w:t>Glivec</w:t>
      </w:r>
      <w:r w:rsidRPr="00FE6AC6">
        <w:rPr>
          <w:rFonts w:eastAsia="MS Mincho"/>
          <w:iCs/>
          <w:szCs w:val="22"/>
          <w:lang w:val="bg-BG" w:eastAsia="ja-JP"/>
        </w:rPr>
        <w:t xml:space="preserve"> (с общ коефициент на риска </w:t>
      </w:r>
      <w:r w:rsidRPr="00FE6AC6">
        <w:rPr>
          <w:rFonts w:eastAsia="MS Mincho"/>
          <w:iCs/>
          <w:color w:val="000000"/>
          <w:szCs w:val="22"/>
          <w:lang w:val="bg-BG" w:eastAsia="ja-JP"/>
        </w:rPr>
        <w:t>(</w:t>
      </w:r>
      <w:r w:rsidRPr="00FE6AC6">
        <w:rPr>
          <w:rFonts w:eastAsia="MS Mincho"/>
          <w:iCs/>
          <w:color w:val="000000"/>
          <w:szCs w:val="22"/>
          <w:lang w:val="en-US" w:eastAsia="ja-JP"/>
        </w:rPr>
        <w:t>HR</w:t>
      </w:r>
      <w:r w:rsidRPr="00FE6AC6">
        <w:rPr>
          <w:rFonts w:eastAsia="MS Mincho"/>
          <w:iCs/>
          <w:color w:val="000000"/>
          <w:szCs w:val="22"/>
          <w:lang w:val="bg-BG" w:eastAsia="ja-JP"/>
        </w:rPr>
        <w:t xml:space="preserve">) = 0,46 [0,32, 0,65], </w:t>
      </w:r>
      <w:r w:rsidRPr="00FE6AC6">
        <w:rPr>
          <w:rFonts w:eastAsia="MS Mincho"/>
          <w:iCs/>
          <w:color w:val="000000"/>
          <w:szCs w:val="22"/>
          <w:lang w:val="en-US" w:eastAsia="ja-JP"/>
        </w:rPr>
        <w:t>p</w:t>
      </w:r>
      <w:r w:rsidRPr="00FE6AC6">
        <w:rPr>
          <w:rFonts w:eastAsia="MS Mincho"/>
          <w:iCs/>
          <w:color w:val="000000"/>
          <w:szCs w:val="22"/>
          <w:lang w:val="bg-BG" w:eastAsia="ja-JP"/>
        </w:rPr>
        <w:t>&lt;0,0001) (Таблица</w:t>
      </w:r>
      <w:r w:rsidRPr="00FE6AC6">
        <w:rPr>
          <w:rFonts w:eastAsia="MS Mincho"/>
          <w:color w:val="000000"/>
          <w:szCs w:val="22"/>
          <w:lang w:val="en-US" w:eastAsia="ja-JP"/>
        </w:rPr>
        <w:t> </w:t>
      </w:r>
      <w:r w:rsidR="00957E0E" w:rsidRPr="00FE6AC6">
        <w:rPr>
          <w:rFonts w:eastAsia="MS Mincho"/>
          <w:color w:val="000000"/>
          <w:szCs w:val="22"/>
          <w:lang w:val="bg-BG" w:eastAsia="ja-JP"/>
        </w:rPr>
        <w:t>8</w:t>
      </w:r>
      <w:r w:rsidRPr="00FE6AC6">
        <w:rPr>
          <w:rFonts w:eastAsia="MS Mincho"/>
          <w:iCs/>
          <w:color w:val="000000"/>
          <w:szCs w:val="22"/>
          <w:lang w:val="bg-BG" w:eastAsia="ja-JP"/>
        </w:rPr>
        <w:t>, Фигура</w:t>
      </w:r>
      <w:r w:rsidRPr="00FE6AC6">
        <w:rPr>
          <w:rFonts w:eastAsia="MS Mincho"/>
        </w:rPr>
        <w:t> </w:t>
      </w:r>
      <w:r w:rsidRPr="00FE6AC6">
        <w:rPr>
          <w:rFonts w:eastAsia="MS Mincho"/>
          <w:lang w:val="bg-BG"/>
        </w:rPr>
        <w:t>1</w:t>
      </w:r>
      <w:r w:rsidRPr="00FE6AC6">
        <w:rPr>
          <w:rFonts w:eastAsia="MS Mincho"/>
          <w:iCs/>
          <w:color w:val="000000"/>
          <w:szCs w:val="22"/>
          <w:lang w:val="bg-BG" w:eastAsia="ja-JP"/>
        </w:rPr>
        <w:t>).</w:t>
      </w:r>
    </w:p>
    <w:p w14:paraId="3E5505AB" w14:textId="77777777" w:rsidR="001B628D" w:rsidRPr="00FE6AC6" w:rsidRDefault="001B628D" w:rsidP="0063575E">
      <w:pPr>
        <w:widowControl w:val="0"/>
        <w:tabs>
          <w:tab w:val="clear" w:pos="567"/>
        </w:tabs>
        <w:spacing w:line="240" w:lineRule="auto"/>
        <w:rPr>
          <w:rFonts w:eastAsia="MS Mincho"/>
          <w:iCs/>
          <w:color w:val="000000"/>
          <w:szCs w:val="22"/>
          <w:lang w:val="bg-BG" w:eastAsia="ja-JP"/>
        </w:rPr>
      </w:pPr>
    </w:p>
    <w:p w14:paraId="3E5505AC" w14:textId="77777777" w:rsidR="001B628D" w:rsidRPr="00FE6AC6" w:rsidRDefault="001B628D" w:rsidP="0063575E">
      <w:pPr>
        <w:widowControl w:val="0"/>
        <w:tabs>
          <w:tab w:val="clear" w:pos="567"/>
        </w:tabs>
        <w:spacing w:line="240" w:lineRule="auto"/>
        <w:rPr>
          <w:rFonts w:eastAsia="MS Mincho"/>
          <w:iCs/>
          <w:color w:val="000000"/>
          <w:szCs w:val="22"/>
          <w:lang w:val="bg-BG" w:eastAsia="ja-JP"/>
        </w:rPr>
      </w:pPr>
      <w:r w:rsidRPr="00FE6AC6">
        <w:rPr>
          <w:rFonts w:eastAsia="MS Mincho"/>
          <w:iCs/>
          <w:color w:val="000000"/>
          <w:szCs w:val="22"/>
          <w:lang w:val="bg-BG" w:eastAsia="ja-JP"/>
        </w:rPr>
        <w:t xml:space="preserve">В допълнение, тридесет и шест (36) месечното лечение с </w:t>
      </w:r>
      <w:r w:rsidRPr="00FE6AC6">
        <w:rPr>
          <w:rFonts w:eastAsia="MS Mincho"/>
          <w:iCs/>
          <w:color w:val="000000"/>
          <w:szCs w:val="22"/>
          <w:lang w:val="en-US" w:eastAsia="ja-JP"/>
        </w:rPr>
        <w:t>Glivec</w:t>
      </w:r>
      <w:r w:rsidRPr="00FE6AC6">
        <w:rPr>
          <w:rFonts w:eastAsia="MS Mincho"/>
          <w:iCs/>
          <w:color w:val="000000"/>
          <w:szCs w:val="22"/>
          <w:lang w:val="bg-BG" w:eastAsia="ja-JP"/>
        </w:rPr>
        <w:t xml:space="preserve"> значимо удължава общата преживяемост (ОП) спрямо 12 месечното лечение с (</w:t>
      </w:r>
      <w:r w:rsidRPr="00FE6AC6">
        <w:rPr>
          <w:rFonts w:eastAsia="MS Mincho"/>
          <w:iCs/>
          <w:color w:val="000000"/>
          <w:szCs w:val="22"/>
          <w:lang w:val="en-US" w:eastAsia="ja-JP"/>
        </w:rPr>
        <w:t>HR</w:t>
      </w:r>
      <w:r w:rsidRPr="00FE6AC6">
        <w:rPr>
          <w:rFonts w:eastAsia="MS Mincho"/>
          <w:iCs/>
          <w:color w:val="000000"/>
          <w:szCs w:val="22"/>
          <w:lang w:val="bg-BG" w:eastAsia="ja-JP"/>
        </w:rPr>
        <w:t xml:space="preserve"> = 0,45 [0,22, 0,89], </w:t>
      </w:r>
      <w:r w:rsidRPr="00FE6AC6">
        <w:rPr>
          <w:rFonts w:eastAsia="MS Mincho"/>
          <w:iCs/>
          <w:color w:val="000000"/>
          <w:szCs w:val="22"/>
          <w:lang w:val="en-US" w:eastAsia="ja-JP"/>
        </w:rPr>
        <w:t>p</w:t>
      </w:r>
      <w:r w:rsidRPr="00FE6AC6">
        <w:rPr>
          <w:rFonts w:eastAsia="MS Mincho"/>
          <w:iCs/>
          <w:color w:val="000000"/>
          <w:szCs w:val="22"/>
          <w:lang w:val="bg-BG" w:eastAsia="ja-JP"/>
        </w:rPr>
        <w:t>=0,0187) (Таблица</w:t>
      </w:r>
      <w:r w:rsidRPr="00FE6AC6">
        <w:rPr>
          <w:rFonts w:eastAsia="MS Mincho"/>
          <w:color w:val="000000"/>
          <w:szCs w:val="22"/>
          <w:lang w:val="en-US" w:eastAsia="ja-JP"/>
        </w:rPr>
        <w:t> </w:t>
      </w:r>
      <w:r w:rsidR="00957E0E" w:rsidRPr="00FE6AC6">
        <w:rPr>
          <w:rFonts w:eastAsia="MS Mincho"/>
          <w:color w:val="000000"/>
          <w:szCs w:val="22"/>
          <w:lang w:val="bg-BG" w:eastAsia="ja-JP"/>
        </w:rPr>
        <w:t>8</w:t>
      </w:r>
      <w:r w:rsidRPr="00FE6AC6">
        <w:rPr>
          <w:rFonts w:eastAsia="MS Mincho"/>
          <w:iCs/>
          <w:color w:val="000000"/>
          <w:szCs w:val="22"/>
          <w:lang w:val="bg-BG" w:eastAsia="ja-JP"/>
        </w:rPr>
        <w:t>, Фигура</w:t>
      </w:r>
      <w:r w:rsidRPr="00FE6AC6">
        <w:rPr>
          <w:rFonts w:eastAsia="MS Mincho"/>
          <w:iCs/>
          <w:color w:val="000000"/>
          <w:szCs w:val="22"/>
          <w:lang w:val="en-US" w:eastAsia="ja-JP"/>
        </w:rPr>
        <w:t> </w:t>
      </w:r>
      <w:r w:rsidRPr="00FE6AC6">
        <w:rPr>
          <w:rFonts w:eastAsia="MS Mincho"/>
          <w:iCs/>
          <w:color w:val="000000"/>
          <w:szCs w:val="22"/>
          <w:lang w:val="bg-BG" w:eastAsia="ja-JP"/>
        </w:rPr>
        <w:t>2).</w:t>
      </w:r>
    </w:p>
    <w:p w14:paraId="3E5505AD" w14:textId="77777777" w:rsidR="001B628D" w:rsidRPr="00FE6AC6" w:rsidRDefault="001B628D" w:rsidP="0063575E">
      <w:pPr>
        <w:widowControl w:val="0"/>
        <w:tabs>
          <w:tab w:val="clear" w:pos="567"/>
        </w:tabs>
        <w:spacing w:line="240" w:lineRule="auto"/>
        <w:rPr>
          <w:rFonts w:eastAsia="MS Mincho"/>
          <w:iCs/>
          <w:color w:val="000000"/>
          <w:szCs w:val="22"/>
          <w:lang w:val="bg-BG" w:eastAsia="ja-JP"/>
        </w:rPr>
      </w:pPr>
    </w:p>
    <w:p w14:paraId="3E5505AE" w14:textId="77777777" w:rsidR="001B628D" w:rsidRPr="00FE6AC6" w:rsidRDefault="001B628D" w:rsidP="0063575E">
      <w:pPr>
        <w:widowControl w:val="0"/>
        <w:spacing w:line="240" w:lineRule="auto"/>
        <w:rPr>
          <w:rFonts w:eastAsia="MS Mincho"/>
          <w:szCs w:val="22"/>
          <w:lang w:val="bg-BG" w:eastAsia="ja-JP"/>
        </w:rPr>
      </w:pPr>
      <w:r w:rsidRPr="00FE6AC6">
        <w:rPr>
          <w:rFonts w:eastAsia="MS Mincho"/>
          <w:szCs w:val="22"/>
          <w:lang w:val="bg-BG" w:eastAsia="ja-JP"/>
        </w:rPr>
        <w:t>По-продължителното лечение (&gt;36</w:t>
      </w:r>
      <w:r w:rsidRPr="00FE6AC6">
        <w:rPr>
          <w:rFonts w:eastAsia="MS Mincho"/>
          <w:szCs w:val="22"/>
          <w:lang w:eastAsia="ja-JP"/>
        </w:rPr>
        <w:t> </w:t>
      </w:r>
      <w:r w:rsidRPr="00FE6AC6">
        <w:rPr>
          <w:rFonts w:eastAsia="MS Mincho"/>
          <w:szCs w:val="22"/>
          <w:lang w:val="bg-BG" w:eastAsia="ja-JP"/>
        </w:rPr>
        <w:t>месеца) може да забави появата на по-нататъшен рецидив; въпреки че влиянието на този факт върху общата преживяемост остава неясно.</w:t>
      </w:r>
    </w:p>
    <w:p w14:paraId="3E5505AF" w14:textId="77777777" w:rsidR="001B628D" w:rsidRPr="00FE6AC6" w:rsidRDefault="001B628D" w:rsidP="0063575E">
      <w:pPr>
        <w:widowControl w:val="0"/>
        <w:tabs>
          <w:tab w:val="clear" w:pos="567"/>
        </w:tabs>
        <w:spacing w:line="240" w:lineRule="auto"/>
        <w:rPr>
          <w:rFonts w:eastAsia="MS Mincho"/>
          <w:iCs/>
          <w:color w:val="000000"/>
          <w:szCs w:val="22"/>
          <w:lang w:val="bg-BG" w:eastAsia="ja-JP"/>
        </w:rPr>
      </w:pPr>
    </w:p>
    <w:p w14:paraId="3E5505B0" w14:textId="77777777" w:rsidR="001B628D" w:rsidRPr="00FE6AC6" w:rsidRDefault="001B628D" w:rsidP="0063575E">
      <w:pPr>
        <w:widowControl w:val="0"/>
        <w:tabs>
          <w:tab w:val="clear" w:pos="567"/>
        </w:tabs>
        <w:spacing w:line="240" w:lineRule="auto"/>
        <w:rPr>
          <w:rFonts w:eastAsia="MS Mincho"/>
          <w:iCs/>
          <w:color w:val="000000"/>
          <w:szCs w:val="22"/>
          <w:lang w:val="bg-BG" w:eastAsia="ja-JP"/>
        </w:rPr>
      </w:pPr>
      <w:r w:rsidRPr="00FE6AC6">
        <w:rPr>
          <w:rFonts w:eastAsia="MS Mincho"/>
          <w:iCs/>
          <w:color w:val="000000"/>
          <w:szCs w:val="22"/>
          <w:lang w:val="bg-BG" w:eastAsia="ja-JP"/>
        </w:rPr>
        <w:t>Общият брой смъртни случаи е бил 25 в 12-месечното и 12 в 36-месечното терапевтично рамо.</w:t>
      </w:r>
    </w:p>
    <w:p w14:paraId="3E5505B1" w14:textId="77777777" w:rsidR="001B628D" w:rsidRPr="00FE6AC6" w:rsidRDefault="001B628D" w:rsidP="0063575E">
      <w:pPr>
        <w:widowControl w:val="0"/>
        <w:tabs>
          <w:tab w:val="clear" w:pos="567"/>
        </w:tabs>
        <w:spacing w:line="240" w:lineRule="auto"/>
        <w:rPr>
          <w:rFonts w:eastAsia="MS Mincho"/>
          <w:iCs/>
          <w:szCs w:val="22"/>
          <w:lang w:val="bg-BG" w:eastAsia="ja-JP"/>
        </w:rPr>
      </w:pPr>
    </w:p>
    <w:p w14:paraId="3E5505B2" w14:textId="77777777" w:rsidR="001B628D" w:rsidRPr="00FE6AC6" w:rsidRDefault="001B628D" w:rsidP="0063575E">
      <w:pPr>
        <w:widowControl w:val="0"/>
        <w:tabs>
          <w:tab w:val="clear" w:pos="567"/>
        </w:tabs>
        <w:spacing w:line="240" w:lineRule="auto"/>
        <w:rPr>
          <w:rFonts w:eastAsia="MS Mincho"/>
          <w:iCs/>
          <w:szCs w:val="22"/>
          <w:lang w:val="bg-BG" w:eastAsia="ja-JP"/>
        </w:rPr>
      </w:pPr>
      <w:r w:rsidRPr="00FE6AC6">
        <w:rPr>
          <w:rFonts w:eastAsia="MS Mincho"/>
          <w:iCs/>
          <w:szCs w:val="22"/>
          <w:lang w:val="bg-BG" w:eastAsia="ja-JP"/>
        </w:rPr>
        <w:t xml:space="preserve">Лечението с иматиниб в продължение на 36 месеца превъзхожда 12-месечното лечение при анализ на на </w:t>
      </w:r>
      <w:r w:rsidRPr="00FE6AC6">
        <w:rPr>
          <w:rFonts w:eastAsia="MS Mincho"/>
          <w:iCs/>
          <w:szCs w:val="22"/>
          <w:lang w:val="en-US" w:eastAsia="ja-JP"/>
        </w:rPr>
        <w:t>ITT</w:t>
      </w:r>
      <w:r w:rsidRPr="00FE6AC6">
        <w:rPr>
          <w:rFonts w:eastAsia="MS Mincho"/>
          <w:iCs/>
          <w:szCs w:val="22"/>
          <w:lang w:val="bg-BG" w:eastAsia="ja-JP"/>
        </w:rPr>
        <w:t xml:space="preserve"> популацията, т.е. включващ цялата популация от проучването. В планиран подгрупов анализ въз основа на вида на мутацията, коефициентът на риск (</w:t>
      </w:r>
      <w:r w:rsidRPr="00FE6AC6">
        <w:rPr>
          <w:rFonts w:eastAsia="MS Mincho"/>
          <w:iCs/>
          <w:szCs w:val="22"/>
          <w:lang w:val="en-US" w:eastAsia="ja-JP"/>
        </w:rPr>
        <w:t>HR</w:t>
      </w:r>
      <w:r w:rsidRPr="00FE6AC6">
        <w:rPr>
          <w:rFonts w:eastAsia="MS Mincho"/>
          <w:iCs/>
          <w:szCs w:val="22"/>
          <w:lang w:val="bg-BG" w:eastAsia="ja-JP"/>
        </w:rPr>
        <w:t xml:space="preserve">) за преживяемост без рецидив (ПБР) по време на 36-месечното лечение при пациенти с мутация в екзон 11 е бил 0,35 [95% </w:t>
      </w:r>
      <w:r w:rsidRPr="00FE6AC6">
        <w:rPr>
          <w:rFonts w:eastAsia="MS Mincho"/>
          <w:iCs/>
          <w:szCs w:val="22"/>
          <w:lang w:val="en-US" w:eastAsia="ja-JP"/>
        </w:rPr>
        <w:t>CI</w:t>
      </w:r>
      <w:r w:rsidRPr="00FE6AC6">
        <w:rPr>
          <w:rFonts w:eastAsia="MS Mincho"/>
          <w:iCs/>
          <w:szCs w:val="22"/>
          <w:lang w:val="bg-BG" w:eastAsia="ja-JP"/>
        </w:rPr>
        <w:t>: 0,22, 0,56]. Не могат да бъдат направени изводи по отношение на другите по-рядко срещани групи мутации поради малкия брой наблюдавани събития.</w:t>
      </w:r>
    </w:p>
    <w:p w14:paraId="3E5505B3" w14:textId="77777777" w:rsidR="001B628D" w:rsidRPr="00FE6AC6" w:rsidRDefault="001B628D" w:rsidP="0063575E">
      <w:pPr>
        <w:widowControl w:val="0"/>
        <w:tabs>
          <w:tab w:val="clear" w:pos="567"/>
        </w:tabs>
        <w:spacing w:line="240" w:lineRule="auto"/>
        <w:rPr>
          <w:rFonts w:eastAsia="MS Mincho"/>
          <w:iCs/>
          <w:szCs w:val="22"/>
          <w:lang w:val="bg-BG" w:eastAsia="ja-JP"/>
        </w:rPr>
      </w:pPr>
    </w:p>
    <w:p w14:paraId="3E5505B4" w14:textId="77777777" w:rsidR="001B628D" w:rsidRPr="00FE6AC6" w:rsidRDefault="001B628D" w:rsidP="0063575E">
      <w:pPr>
        <w:keepNext/>
        <w:keepLines/>
        <w:widowControl w:val="0"/>
        <w:tabs>
          <w:tab w:val="clear" w:pos="567"/>
        </w:tabs>
        <w:spacing w:line="240" w:lineRule="auto"/>
        <w:ind w:left="1134" w:hanging="1134"/>
        <w:rPr>
          <w:rFonts w:eastAsia="MS Mincho"/>
          <w:b/>
          <w:szCs w:val="22"/>
          <w:lang w:val="bg-BG" w:eastAsia="ja-JP"/>
        </w:rPr>
      </w:pPr>
      <w:r w:rsidRPr="00FE6AC6">
        <w:rPr>
          <w:rFonts w:eastAsia="MS Mincho"/>
          <w:b/>
          <w:szCs w:val="22"/>
          <w:lang w:val="bg-BG"/>
        </w:rPr>
        <w:t>Таблица</w:t>
      </w:r>
      <w:r w:rsidRPr="00FE6AC6">
        <w:rPr>
          <w:rFonts w:eastAsia="MS Mincho"/>
          <w:b/>
          <w:szCs w:val="22"/>
          <w:lang w:val="en-US"/>
        </w:rPr>
        <w:t> </w:t>
      </w:r>
      <w:r w:rsidR="00957E0E" w:rsidRPr="00FE6AC6">
        <w:rPr>
          <w:rFonts w:eastAsia="MS Mincho"/>
          <w:b/>
          <w:szCs w:val="22"/>
          <w:lang w:val="bg-BG"/>
        </w:rPr>
        <w:t>8</w:t>
      </w:r>
      <w:r w:rsidRPr="00FE6AC6">
        <w:rPr>
          <w:rFonts w:eastAsia="MS Mincho"/>
          <w:szCs w:val="22"/>
          <w:lang w:val="bg-BG"/>
        </w:rPr>
        <w:tab/>
      </w:r>
      <w:r w:rsidRPr="00FE6AC6">
        <w:rPr>
          <w:rFonts w:eastAsia="MS Mincho"/>
          <w:b/>
          <w:szCs w:val="22"/>
          <w:lang w:val="bg-BG" w:eastAsia="ja-JP"/>
        </w:rPr>
        <w:t xml:space="preserve">12-месечно и 36-месечно лечение с </w:t>
      </w:r>
      <w:r w:rsidRPr="00FE6AC6">
        <w:rPr>
          <w:rFonts w:eastAsia="MS Mincho"/>
          <w:b/>
          <w:szCs w:val="22"/>
          <w:lang w:eastAsia="ja-JP"/>
        </w:rPr>
        <w:t>Glivec</w:t>
      </w:r>
      <w:r w:rsidRPr="00FE6AC6">
        <w:rPr>
          <w:rFonts w:eastAsia="MS Mincho"/>
          <w:b/>
          <w:szCs w:val="22"/>
          <w:lang w:val="bg-BG" w:eastAsia="ja-JP"/>
        </w:rPr>
        <w:t xml:space="preserve"> (Изпитване </w:t>
      </w:r>
      <w:r w:rsidRPr="00FE6AC6">
        <w:rPr>
          <w:rFonts w:eastAsia="MS Mincho"/>
          <w:b/>
          <w:szCs w:val="22"/>
          <w:lang w:eastAsia="ja-JP"/>
        </w:rPr>
        <w:t>SSGXVIII</w:t>
      </w:r>
      <w:r w:rsidRPr="00FE6AC6">
        <w:rPr>
          <w:rFonts w:eastAsia="MS Mincho"/>
          <w:b/>
          <w:szCs w:val="22"/>
          <w:lang w:val="bg-BG" w:eastAsia="ja-JP"/>
        </w:rPr>
        <w:t>/</w:t>
      </w:r>
      <w:r w:rsidRPr="00FE6AC6">
        <w:rPr>
          <w:rFonts w:eastAsia="MS Mincho"/>
          <w:b/>
          <w:szCs w:val="22"/>
          <w:lang w:eastAsia="ja-JP"/>
        </w:rPr>
        <w:t>AIO</w:t>
      </w:r>
      <w:r w:rsidRPr="00FE6AC6">
        <w:rPr>
          <w:rFonts w:eastAsia="MS Mincho"/>
          <w:b/>
          <w:szCs w:val="22"/>
          <w:lang w:val="bg-BG" w:eastAsia="ja-JP"/>
        </w:rPr>
        <w:t>)</w:t>
      </w:r>
    </w:p>
    <w:p w14:paraId="3E5505B5" w14:textId="77777777" w:rsidR="001B628D" w:rsidRPr="00FE6AC6" w:rsidRDefault="001B628D" w:rsidP="0063575E">
      <w:pPr>
        <w:keepNext/>
        <w:keepLines/>
        <w:widowControl w:val="0"/>
        <w:tabs>
          <w:tab w:val="clear" w:pos="567"/>
        </w:tabs>
        <w:spacing w:line="240" w:lineRule="auto"/>
        <w:rPr>
          <w:rFonts w:eastAsia="MS Mincho"/>
          <w:szCs w:val="22"/>
          <w:lang w:val="bg-BG"/>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1B628D" w:rsidRPr="00FE6AC6" w14:paraId="3E5505B9" w14:textId="77777777" w:rsidTr="00C90F9F">
        <w:trPr>
          <w:cantSplit/>
        </w:trPr>
        <w:tc>
          <w:tcPr>
            <w:tcW w:w="3099" w:type="dxa"/>
            <w:tcBorders>
              <w:top w:val="single" w:sz="4" w:space="0" w:color="auto"/>
              <w:bottom w:val="nil"/>
            </w:tcBorders>
            <w:shd w:val="clear" w:color="auto" w:fill="auto"/>
          </w:tcPr>
          <w:p w14:paraId="3E5505B6" w14:textId="77777777" w:rsidR="001B628D" w:rsidRPr="00FE6AC6" w:rsidRDefault="001B628D" w:rsidP="00C90F9F">
            <w:pPr>
              <w:keepNext/>
              <w:widowControl w:val="0"/>
              <w:tabs>
                <w:tab w:val="clear" w:pos="567"/>
                <w:tab w:val="left" w:pos="284"/>
              </w:tabs>
              <w:spacing w:line="240" w:lineRule="auto"/>
              <w:rPr>
                <w:rFonts w:eastAsia="MS Mincho"/>
                <w:szCs w:val="22"/>
                <w:lang w:val="bg-BG"/>
              </w:rPr>
            </w:pPr>
          </w:p>
        </w:tc>
        <w:tc>
          <w:tcPr>
            <w:tcW w:w="3100" w:type="dxa"/>
            <w:tcBorders>
              <w:top w:val="single" w:sz="4" w:space="0" w:color="auto"/>
              <w:bottom w:val="nil"/>
            </w:tcBorders>
            <w:shd w:val="clear" w:color="auto" w:fill="auto"/>
          </w:tcPr>
          <w:p w14:paraId="3E5505B7" w14:textId="77777777" w:rsidR="001B628D" w:rsidRPr="00FE6AC6" w:rsidRDefault="001B628D" w:rsidP="00C90F9F">
            <w:pPr>
              <w:keepNext/>
              <w:widowControl w:val="0"/>
              <w:tabs>
                <w:tab w:val="clear" w:pos="567"/>
                <w:tab w:val="left" w:pos="284"/>
              </w:tabs>
              <w:spacing w:line="240" w:lineRule="auto"/>
              <w:rPr>
                <w:rFonts w:eastAsia="MS Mincho"/>
                <w:b/>
                <w:szCs w:val="22"/>
                <w:lang w:val="en-US"/>
              </w:rPr>
            </w:pPr>
            <w:r w:rsidRPr="00FE6AC6">
              <w:rPr>
                <w:rFonts w:eastAsia="MS Mincho"/>
                <w:b/>
                <w:szCs w:val="22"/>
                <w:lang w:val="en-US"/>
              </w:rPr>
              <w:t>12-</w:t>
            </w:r>
            <w:r w:rsidRPr="00FE6AC6">
              <w:rPr>
                <w:rFonts w:eastAsia="MS Mincho"/>
                <w:b/>
                <w:szCs w:val="22"/>
                <w:lang w:val="bg-BG"/>
              </w:rPr>
              <w:t>месечно терапевтично рамо</w:t>
            </w:r>
          </w:p>
        </w:tc>
        <w:tc>
          <w:tcPr>
            <w:tcW w:w="3100" w:type="dxa"/>
            <w:tcBorders>
              <w:top w:val="single" w:sz="4" w:space="0" w:color="auto"/>
              <w:bottom w:val="nil"/>
            </w:tcBorders>
            <w:shd w:val="clear" w:color="auto" w:fill="auto"/>
          </w:tcPr>
          <w:p w14:paraId="3E5505B8" w14:textId="77777777" w:rsidR="001B628D" w:rsidRPr="00FE6AC6" w:rsidRDefault="001B628D" w:rsidP="00C90F9F">
            <w:pPr>
              <w:keepNext/>
              <w:widowControl w:val="0"/>
              <w:tabs>
                <w:tab w:val="clear" w:pos="567"/>
                <w:tab w:val="left" w:pos="284"/>
              </w:tabs>
              <w:spacing w:line="240" w:lineRule="auto"/>
              <w:rPr>
                <w:rFonts w:eastAsia="MS Mincho"/>
                <w:b/>
                <w:szCs w:val="22"/>
                <w:lang w:val="en-US"/>
              </w:rPr>
            </w:pPr>
            <w:r w:rsidRPr="00FE6AC6">
              <w:rPr>
                <w:rFonts w:eastAsia="MS Mincho"/>
                <w:b/>
                <w:szCs w:val="22"/>
                <w:lang w:val="en-US"/>
              </w:rPr>
              <w:t>36-</w:t>
            </w:r>
            <w:r w:rsidRPr="00FE6AC6">
              <w:rPr>
                <w:rFonts w:eastAsia="MS Mincho"/>
                <w:b/>
                <w:szCs w:val="22"/>
                <w:lang w:val="bg-BG"/>
              </w:rPr>
              <w:t>месечно терапевтично рамо</w:t>
            </w:r>
          </w:p>
        </w:tc>
      </w:tr>
      <w:tr w:rsidR="001B628D" w:rsidRPr="00FE6AC6" w14:paraId="3E5505BD" w14:textId="77777777" w:rsidTr="00C90F9F">
        <w:trPr>
          <w:cantSplit/>
        </w:trPr>
        <w:tc>
          <w:tcPr>
            <w:tcW w:w="3099" w:type="dxa"/>
            <w:tcBorders>
              <w:top w:val="nil"/>
            </w:tcBorders>
            <w:shd w:val="clear" w:color="auto" w:fill="auto"/>
          </w:tcPr>
          <w:p w14:paraId="3E5505BA" w14:textId="77777777" w:rsidR="001B628D" w:rsidRPr="00FE6AC6" w:rsidRDefault="001B628D" w:rsidP="00C90F9F">
            <w:pPr>
              <w:keepNext/>
              <w:widowControl w:val="0"/>
              <w:tabs>
                <w:tab w:val="clear" w:pos="567"/>
                <w:tab w:val="left" w:pos="284"/>
              </w:tabs>
              <w:spacing w:line="240" w:lineRule="auto"/>
              <w:rPr>
                <w:rFonts w:eastAsia="MS Mincho"/>
                <w:b/>
                <w:szCs w:val="22"/>
                <w:lang w:val="en-US"/>
              </w:rPr>
            </w:pPr>
            <w:r w:rsidRPr="00FE6AC6">
              <w:rPr>
                <w:rFonts w:eastAsia="MS Mincho"/>
                <w:b/>
                <w:szCs w:val="22"/>
                <w:lang w:val="bg-BG"/>
              </w:rPr>
              <w:t>ПБР</w:t>
            </w:r>
          </w:p>
        </w:tc>
        <w:tc>
          <w:tcPr>
            <w:tcW w:w="3100" w:type="dxa"/>
            <w:tcBorders>
              <w:top w:val="nil"/>
            </w:tcBorders>
            <w:shd w:val="clear" w:color="auto" w:fill="auto"/>
          </w:tcPr>
          <w:p w14:paraId="3E5505BB" w14:textId="77777777" w:rsidR="001B628D" w:rsidRPr="00FE6AC6" w:rsidRDefault="001B628D" w:rsidP="00C90F9F">
            <w:pPr>
              <w:keepNext/>
              <w:widowControl w:val="0"/>
              <w:tabs>
                <w:tab w:val="clear" w:pos="567"/>
                <w:tab w:val="left" w:pos="284"/>
              </w:tabs>
              <w:spacing w:line="240" w:lineRule="auto"/>
              <w:rPr>
                <w:rFonts w:eastAsia="MS Mincho"/>
                <w:b/>
                <w:szCs w:val="22"/>
                <w:lang w:val="en-US"/>
              </w:rPr>
            </w:pPr>
            <w:r w:rsidRPr="00FE6AC6">
              <w:rPr>
                <w:rFonts w:eastAsia="MS Mincho"/>
                <w:b/>
                <w:szCs w:val="22"/>
                <w:lang w:val="en-US"/>
              </w:rPr>
              <w:t>% (CI)</w:t>
            </w:r>
          </w:p>
        </w:tc>
        <w:tc>
          <w:tcPr>
            <w:tcW w:w="3100" w:type="dxa"/>
            <w:tcBorders>
              <w:top w:val="nil"/>
            </w:tcBorders>
            <w:shd w:val="clear" w:color="auto" w:fill="auto"/>
          </w:tcPr>
          <w:p w14:paraId="3E5505BC" w14:textId="77777777" w:rsidR="001B628D" w:rsidRPr="00FE6AC6" w:rsidRDefault="001B628D" w:rsidP="00C90F9F">
            <w:pPr>
              <w:keepNext/>
              <w:widowControl w:val="0"/>
              <w:tabs>
                <w:tab w:val="clear" w:pos="567"/>
                <w:tab w:val="left" w:pos="284"/>
              </w:tabs>
              <w:spacing w:line="240" w:lineRule="auto"/>
              <w:rPr>
                <w:rFonts w:eastAsia="MS Mincho"/>
                <w:b/>
                <w:szCs w:val="22"/>
                <w:lang w:val="en-US"/>
              </w:rPr>
            </w:pPr>
            <w:r w:rsidRPr="00FE6AC6">
              <w:rPr>
                <w:rFonts w:eastAsia="MS Mincho"/>
                <w:b/>
                <w:szCs w:val="22"/>
                <w:lang w:val="en-US"/>
              </w:rPr>
              <w:t>% (CI)</w:t>
            </w:r>
          </w:p>
        </w:tc>
      </w:tr>
      <w:tr w:rsidR="001B628D" w:rsidRPr="00FE6AC6" w14:paraId="3E5505C1" w14:textId="77777777" w:rsidTr="00C90F9F">
        <w:trPr>
          <w:cantSplit/>
        </w:trPr>
        <w:tc>
          <w:tcPr>
            <w:tcW w:w="3099" w:type="dxa"/>
            <w:shd w:val="clear" w:color="auto" w:fill="auto"/>
          </w:tcPr>
          <w:p w14:paraId="3E5505BE" w14:textId="77777777" w:rsidR="001B628D" w:rsidRPr="00FE6AC6" w:rsidRDefault="001B628D" w:rsidP="00C90F9F">
            <w:pPr>
              <w:keepNext/>
              <w:widowControl w:val="0"/>
              <w:tabs>
                <w:tab w:val="clear" w:pos="567"/>
              </w:tabs>
              <w:spacing w:line="240" w:lineRule="auto"/>
              <w:ind w:left="284"/>
              <w:rPr>
                <w:rFonts w:eastAsia="MS Mincho"/>
                <w:szCs w:val="22"/>
                <w:lang w:val="en-US"/>
              </w:rPr>
            </w:pPr>
            <w:r w:rsidRPr="00FE6AC6">
              <w:rPr>
                <w:rFonts w:eastAsia="MS Mincho"/>
                <w:szCs w:val="22"/>
                <w:lang w:val="en-US"/>
              </w:rPr>
              <w:t>12</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505BF"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93</w:t>
            </w:r>
            <w:r w:rsidRPr="00FE6AC6">
              <w:rPr>
                <w:rFonts w:eastAsia="MS Mincho"/>
                <w:szCs w:val="22"/>
                <w:lang w:val="bg-BG"/>
              </w:rPr>
              <w:t>,</w:t>
            </w:r>
            <w:r w:rsidRPr="00FE6AC6">
              <w:rPr>
                <w:rFonts w:eastAsia="MS Mincho"/>
                <w:szCs w:val="22"/>
                <w:lang w:val="en-US"/>
              </w:rPr>
              <w:t>7 (89</w:t>
            </w:r>
            <w:r w:rsidRPr="00FE6AC6">
              <w:rPr>
                <w:rFonts w:eastAsia="MS Mincho"/>
                <w:szCs w:val="22"/>
                <w:lang w:val="bg-BG"/>
              </w:rPr>
              <w:t>,</w:t>
            </w:r>
            <w:r w:rsidRPr="00FE6AC6">
              <w:rPr>
                <w:rFonts w:eastAsia="MS Mincho"/>
                <w:szCs w:val="22"/>
                <w:lang w:val="en-US"/>
              </w:rPr>
              <w:t>2</w:t>
            </w:r>
            <w:r w:rsidRPr="00FE6AC6">
              <w:rPr>
                <w:rFonts w:eastAsia="MS Mincho"/>
                <w:szCs w:val="22"/>
                <w:lang w:val="en-US"/>
              </w:rPr>
              <w:noBreakHyphen/>
              <w:t>96</w:t>
            </w:r>
            <w:r w:rsidRPr="00FE6AC6">
              <w:rPr>
                <w:rFonts w:eastAsia="MS Mincho"/>
                <w:szCs w:val="22"/>
                <w:lang w:val="bg-BG"/>
              </w:rPr>
              <w:t>,</w:t>
            </w:r>
            <w:r w:rsidRPr="00FE6AC6">
              <w:rPr>
                <w:rFonts w:eastAsia="MS Mincho"/>
                <w:szCs w:val="22"/>
                <w:lang w:val="en-US"/>
              </w:rPr>
              <w:t>4)</w:t>
            </w:r>
          </w:p>
        </w:tc>
        <w:tc>
          <w:tcPr>
            <w:tcW w:w="3100" w:type="dxa"/>
            <w:shd w:val="clear" w:color="auto" w:fill="auto"/>
          </w:tcPr>
          <w:p w14:paraId="3E5505C0"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95</w:t>
            </w:r>
            <w:r w:rsidRPr="00FE6AC6">
              <w:rPr>
                <w:rFonts w:eastAsia="MS Mincho"/>
                <w:szCs w:val="22"/>
                <w:lang w:val="bg-BG"/>
              </w:rPr>
              <w:t>,</w:t>
            </w:r>
            <w:r w:rsidRPr="00FE6AC6">
              <w:rPr>
                <w:rFonts w:eastAsia="MS Mincho"/>
                <w:szCs w:val="22"/>
                <w:lang w:val="en-US"/>
              </w:rPr>
              <w:t>9 (91</w:t>
            </w:r>
            <w:r w:rsidRPr="00FE6AC6">
              <w:rPr>
                <w:rFonts w:eastAsia="MS Mincho"/>
                <w:szCs w:val="22"/>
                <w:lang w:val="bg-BG"/>
              </w:rPr>
              <w:t>,</w:t>
            </w:r>
            <w:r w:rsidRPr="00FE6AC6">
              <w:rPr>
                <w:rFonts w:eastAsia="MS Mincho"/>
                <w:szCs w:val="22"/>
                <w:lang w:val="en-US"/>
              </w:rPr>
              <w:t>9</w:t>
            </w:r>
            <w:r w:rsidRPr="00FE6AC6">
              <w:rPr>
                <w:rFonts w:eastAsia="MS Mincho"/>
                <w:szCs w:val="22"/>
                <w:lang w:val="en-US"/>
              </w:rPr>
              <w:noBreakHyphen/>
              <w:t>97</w:t>
            </w:r>
            <w:r w:rsidRPr="00FE6AC6">
              <w:rPr>
                <w:rFonts w:eastAsia="MS Mincho"/>
                <w:szCs w:val="22"/>
                <w:lang w:val="bg-BG"/>
              </w:rPr>
              <w:t>,</w:t>
            </w:r>
            <w:r w:rsidRPr="00FE6AC6">
              <w:rPr>
                <w:rFonts w:eastAsia="MS Mincho"/>
                <w:szCs w:val="22"/>
                <w:lang w:val="en-US"/>
              </w:rPr>
              <w:t>9)</w:t>
            </w:r>
          </w:p>
        </w:tc>
      </w:tr>
      <w:tr w:rsidR="001B628D" w:rsidRPr="00FE6AC6" w14:paraId="3E5505C5" w14:textId="77777777" w:rsidTr="00C90F9F">
        <w:trPr>
          <w:cantSplit/>
        </w:trPr>
        <w:tc>
          <w:tcPr>
            <w:tcW w:w="3099" w:type="dxa"/>
            <w:shd w:val="clear" w:color="auto" w:fill="auto"/>
          </w:tcPr>
          <w:p w14:paraId="3E5505C2" w14:textId="77777777" w:rsidR="001B628D" w:rsidRPr="00FE6AC6" w:rsidRDefault="001B628D" w:rsidP="00C90F9F">
            <w:pPr>
              <w:keepNext/>
              <w:widowControl w:val="0"/>
              <w:tabs>
                <w:tab w:val="clear" w:pos="567"/>
              </w:tabs>
              <w:spacing w:line="240" w:lineRule="auto"/>
              <w:ind w:left="284"/>
              <w:rPr>
                <w:rFonts w:eastAsia="MS Mincho"/>
                <w:szCs w:val="22"/>
                <w:lang w:val="en-US"/>
              </w:rPr>
            </w:pPr>
            <w:r w:rsidRPr="00FE6AC6">
              <w:rPr>
                <w:rFonts w:eastAsia="MS Mincho"/>
                <w:szCs w:val="22"/>
                <w:lang w:val="en-US"/>
              </w:rPr>
              <w:t>24</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505C3"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75</w:t>
            </w:r>
            <w:r w:rsidRPr="00FE6AC6">
              <w:rPr>
                <w:rFonts w:eastAsia="MS Mincho"/>
                <w:szCs w:val="22"/>
                <w:lang w:val="bg-BG"/>
              </w:rPr>
              <w:t>,</w:t>
            </w:r>
            <w:r w:rsidRPr="00FE6AC6">
              <w:rPr>
                <w:rFonts w:eastAsia="MS Mincho"/>
                <w:szCs w:val="22"/>
                <w:lang w:val="en-US"/>
              </w:rPr>
              <w:t>4 (68</w:t>
            </w:r>
            <w:r w:rsidRPr="00FE6AC6">
              <w:rPr>
                <w:rFonts w:eastAsia="MS Mincho"/>
                <w:szCs w:val="22"/>
                <w:lang w:val="bg-BG"/>
              </w:rPr>
              <w:t>,</w:t>
            </w:r>
            <w:r w:rsidRPr="00FE6AC6">
              <w:rPr>
                <w:rFonts w:eastAsia="MS Mincho"/>
                <w:szCs w:val="22"/>
                <w:lang w:val="en-US"/>
              </w:rPr>
              <w:t>6</w:t>
            </w:r>
            <w:r w:rsidRPr="00FE6AC6">
              <w:rPr>
                <w:rFonts w:eastAsia="MS Mincho"/>
                <w:szCs w:val="22"/>
                <w:lang w:val="en-US"/>
              </w:rPr>
              <w:noBreakHyphen/>
              <w:t>81</w:t>
            </w:r>
            <w:r w:rsidRPr="00FE6AC6">
              <w:rPr>
                <w:rFonts w:eastAsia="MS Mincho"/>
                <w:szCs w:val="22"/>
                <w:lang w:val="bg-BG"/>
              </w:rPr>
              <w:t>,</w:t>
            </w:r>
            <w:r w:rsidRPr="00FE6AC6">
              <w:rPr>
                <w:rFonts w:eastAsia="MS Mincho"/>
                <w:szCs w:val="22"/>
                <w:lang w:val="en-US"/>
              </w:rPr>
              <w:t>0)</w:t>
            </w:r>
          </w:p>
        </w:tc>
        <w:tc>
          <w:tcPr>
            <w:tcW w:w="3100" w:type="dxa"/>
            <w:shd w:val="clear" w:color="auto" w:fill="auto"/>
          </w:tcPr>
          <w:p w14:paraId="3E5505C4"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90</w:t>
            </w:r>
            <w:r w:rsidRPr="00FE6AC6">
              <w:rPr>
                <w:rFonts w:eastAsia="MS Mincho"/>
                <w:szCs w:val="22"/>
                <w:lang w:val="bg-BG"/>
              </w:rPr>
              <w:t>,</w:t>
            </w:r>
            <w:r w:rsidRPr="00FE6AC6">
              <w:rPr>
                <w:rFonts w:eastAsia="MS Mincho"/>
                <w:szCs w:val="22"/>
                <w:lang w:val="en-US"/>
              </w:rPr>
              <w:t>7 (85</w:t>
            </w:r>
            <w:r w:rsidRPr="00FE6AC6">
              <w:rPr>
                <w:rFonts w:eastAsia="MS Mincho"/>
                <w:szCs w:val="22"/>
                <w:lang w:val="bg-BG"/>
              </w:rPr>
              <w:t>,</w:t>
            </w:r>
            <w:r w:rsidRPr="00FE6AC6">
              <w:rPr>
                <w:rFonts w:eastAsia="MS Mincho"/>
                <w:szCs w:val="22"/>
                <w:lang w:val="en-US"/>
              </w:rPr>
              <w:t>6</w:t>
            </w:r>
            <w:r w:rsidRPr="00FE6AC6">
              <w:rPr>
                <w:rFonts w:eastAsia="MS Mincho"/>
                <w:szCs w:val="22"/>
                <w:lang w:val="en-US"/>
              </w:rPr>
              <w:noBreakHyphen/>
              <w:t>94,0)</w:t>
            </w:r>
          </w:p>
        </w:tc>
      </w:tr>
      <w:tr w:rsidR="001B628D" w:rsidRPr="00FE6AC6" w14:paraId="3E5505C9" w14:textId="77777777" w:rsidTr="00C90F9F">
        <w:trPr>
          <w:cantSplit/>
        </w:trPr>
        <w:tc>
          <w:tcPr>
            <w:tcW w:w="3099" w:type="dxa"/>
            <w:shd w:val="clear" w:color="auto" w:fill="auto"/>
          </w:tcPr>
          <w:p w14:paraId="3E5505C6" w14:textId="77777777" w:rsidR="001B628D" w:rsidRPr="00FE6AC6" w:rsidRDefault="001B628D" w:rsidP="00C90F9F">
            <w:pPr>
              <w:keepNext/>
              <w:widowControl w:val="0"/>
              <w:tabs>
                <w:tab w:val="clear" w:pos="567"/>
              </w:tabs>
              <w:spacing w:line="240" w:lineRule="auto"/>
              <w:ind w:left="284"/>
              <w:rPr>
                <w:rFonts w:eastAsia="MS Mincho"/>
                <w:szCs w:val="22"/>
                <w:lang w:val="en-US"/>
              </w:rPr>
            </w:pPr>
            <w:r w:rsidRPr="00FE6AC6">
              <w:rPr>
                <w:rFonts w:eastAsia="MS Mincho"/>
                <w:szCs w:val="22"/>
                <w:lang w:val="en-US"/>
              </w:rPr>
              <w:t>36</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505C7"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60</w:t>
            </w:r>
            <w:r w:rsidRPr="00FE6AC6">
              <w:rPr>
                <w:rFonts w:eastAsia="MS Mincho"/>
                <w:szCs w:val="22"/>
                <w:lang w:val="bg-BG"/>
              </w:rPr>
              <w:t>,</w:t>
            </w:r>
            <w:r w:rsidRPr="00FE6AC6">
              <w:rPr>
                <w:rFonts w:eastAsia="MS Mincho"/>
                <w:szCs w:val="22"/>
                <w:lang w:val="en-US"/>
              </w:rPr>
              <w:t>1 (52</w:t>
            </w:r>
            <w:r w:rsidRPr="00FE6AC6">
              <w:rPr>
                <w:rFonts w:eastAsia="MS Mincho"/>
                <w:szCs w:val="22"/>
                <w:lang w:val="bg-BG"/>
              </w:rPr>
              <w:t>,</w:t>
            </w:r>
            <w:r w:rsidRPr="00FE6AC6">
              <w:rPr>
                <w:rFonts w:eastAsia="MS Mincho"/>
                <w:szCs w:val="22"/>
                <w:lang w:val="en-US"/>
              </w:rPr>
              <w:t>5</w:t>
            </w:r>
            <w:r w:rsidRPr="00FE6AC6">
              <w:rPr>
                <w:rFonts w:eastAsia="MS Mincho"/>
                <w:szCs w:val="22"/>
                <w:lang w:val="en-US"/>
              </w:rPr>
              <w:noBreakHyphen/>
              <w:t>66</w:t>
            </w:r>
            <w:r w:rsidRPr="00FE6AC6">
              <w:rPr>
                <w:rFonts w:eastAsia="MS Mincho"/>
                <w:szCs w:val="22"/>
                <w:lang w:val="bg-BG"/>
              </w:rPr>
              <w:t>,</w:t>
            </w:r>
            <w:r w:rsidRPr="00FE6AC6">
              <w:rPr>
                <w:rFonts w:eastAsia="MS Mincho"/>
                <w:szCs w:val="22"/>
                <w:lang w:val="en-US"/>
              </w:rPr>
              <w:t>9)</w:t>
            </w:r>
          </w:p>
        </w:tc>
        <w:tc>
          <w:tcPr>
            <w:tcW w:w="3100" w:type="dxa"/>
            <w:shd w:val="clear" w:color="auto" w:fill="auto"/>
          </w:tcPr>
          <w:p w14:paraId="3E5505C8"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86</w:t>
            </w:r>
            <w:r w:rsidRPr="00FE6AC6">
              <w:rPr>
                <w:rFonts w:eastAsia="MS Mincho"/>
                <w:szCs w:val="22"/>
                <w:lang w:val="bg-BG"/>
              </w:rPr>
              <w:t>,</w:t>
            </w:r>
            <w:r w:rsidRPr="00FE6AC6">
              <w:rPr>
                <w:rFonts w:eastAsia="MS Mincho"/>
                <w:szCs w:val="22"/>
                <w:lang w:val="en-US"/>
              </w:rPr>
              <w:t>6 (80</w:t>
            </w:r>
            <w:r w:rsidRPr="00FE6AC6">
              <w:rPr>
                <w:rFonts w:eastAsia="MS Mincho"/>
                <w:szCs w:val="22"/>
                <w:lang w:val="bg-BG"/>
              </w:rPr>
              <w:t>,</w:t>
            </w:r>
            <w:r w:rsidRPr="00FE6AC6">
              <w:rPr>
                <w:rFonts w:eastAsia="MS Mincho"/>
                <w:szCs w:val="22"/>
                <w:lang w:val="en-US"/>
              </w:rPr>
              <w:t>8</w:t>
            </w:r>
            <w:r w:rsidRPr="00FE6AC6">
              <w:rPr>
                <w:rFonts w:eastAsia="MS Mincho"/>
                <w:szCs w:val="22"/>
                <w:lang w:val="en-US"/>
              </w:rPr>
              <w:noBreakHyphen/>
              <w:t>90</w:t>
            </w:r>
            <w:r w:rsidRPr="00FE6AC6">
              <w:rPr>
                <w:rFonts w:eastAsia="MS Mincho"/>
                <w:szCs w:val="22"/>
                <w:lang w:val="bg-BG"/>
              </w:rPr>
              <w:t>,</w:t>
            </w:r>
            <w:r w:rsidRPr="00FE6AC6">
              <w:rPr>
                <w:rFonts w:eastAsia="MS Mincho"/>
                <w:szCs w:val="22"/>
                <w:lang w:val="en-US"/>
              </w:rPr>
              <w:t>8)</w:t>
            </w:r>
          </w:p>
        </w:tc>
      </w:tr>
      <w:tr w:rsidR="001B628D" w:rsidRPr="00FE6AC6" w14:paraId="3E5505CD" w14:textId="77777777" w:rsidTr="00C90F9F">
        <w:trPr>
          <w:cantSplit/>
        </w:trPr>
        <w:tc>
          <w:tcPr>
            <w:tcW w:w="3099" w:type="dxa"/>
            <w:shd w:val="clear" w:color="auto" w:fill="auto"/>
          </w:tcPr>
          <w:p w14:paraId="3E5505CA" w14:textId="77777777" w:rsidR="001B628D" w:rsidRPr="00FE6AC6" w:rsidRDefault="001B628D" w:rsidP="00C90F9F">
            <w:pPr>
              <w:keepNext/>
              <w:widowControl w:val="0"/>
              <w:tabs>
                <w:tab w:val="clear" w:pos="567"/>
              </w:tabs>
              <w:spacing w:line="240" w:lineRule="auto"/>
              <w:ind w:left="284"/>
              <w:rPr>
                <w:rFonts w:eastAsia="MS Mincho"/>
                <w:szCs w:val="22"/>
                <w:lang w:val="en-US"/>
              </w:rPr>
            </w:pPr>
            <w:r w:rsidRPr="00FE6AC6">
              <w:rPr>
                <w:rFonts w:eastAsia="MS Mincho"/>
                <w:szCs w:val="22"/>
                <w:lang w:val="en-US"/>
              </w:rPr>
              <w:t>48</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505CB"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52</w:t>
            </w:r>
            <w:r w:rsidRPr="00FE6AC6">
              <w:rPr>
                <w:rFonts w:eastAsia="MS Mincho"/>
                <w:szCs w:val="22"/>
                <w:lang w:val="bg-BG"/>
              </w:rPr>
              <w:t>,</w:t>
            </w:r>
            <w:r w:rsidRPr="00FE6AC6">
              <w:rPr>
                <w:rFonts w:eastAsia="MS Mincho"/>
                <w:szCs w:val="22"/>
                <w:lang w:val="en-US"/>
              </w:rPr>
              <w:t>3 (44</w:t>
            </w:r>
            <w:r w:rsidRPr="00FE6AC6">
              <w:rPr>
                <w:rFonts w:eastAsia="MS Mincho"/>
                <w:szCs w:val="22"/>
                <w:lang w:val="bg-BG"/>
              </w:rPr>
              <w:t>,</w:t>
            </w:r>
            <w:r w:rsidRPr="00FE6AC6">
              <w:rPr>
                <w:rFonts w:eastAsia="MS Mincho"/>
                <w:szCs w:val="22"/>
                <w:lang w:val="en-US"/>
              </w:rPr>
              <w:t>0</w:t>
            </w:r>
            <w:r w:rsidRPr="00FE6AC6">
              <w:rPr>
                <w:rFonts w:eastAsia="MS Mincho"/>
                <w:szCs w:val="22"/>
                <w:lang w:val="en-US"/>
              </w:rPr>
              <w:noBreakHyphen/>
              <w:t>59</w:t>
            </w:r>
            <w:r w:rsidRPr="00FE6AC6">
              <w:rPr>
                <w:rFonts w:eastAsia="MS Mincho"/>
                <w:szCs w:val="22"/>
                <w:lang w:val="bg-BG"/>
              </w:rPr>
              <w:t>,</w:t>
            </w:r>
            <w:r w:rsidRPr="00FE6AC6">
              <w:rPr>
                <w:rFonts w:eastAsia="MS Mincho"/>
                <w:szCs w:val="22"/>
                <w:lang w:val="en-US"/>
              </w:rPr>
              <w:t>8)</w:t>
            </w:r>
          </w:p>
        </w:tc>
        <w:tc>
          <w:tcPr>
            <w:tcW w:w="3100" w:type="dxa"/>
            <w:shd w:val="clear" w:color="auto" w:fill="auto"/>
          </w:tcPr>
          <w:p w14:paraId="3E5505CC"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78</w:t>
            </w:r>
            <w:r w:rsidRPr="00FE6AC6">
              <w:rPr>
                <w:rFonts w:eastAsia="MS Mincho"/>
                <w:szCs w:val="22"/>
                <w:lang w:val="bg-BG"/>
              </w:rPr>
              <w:t>,</w:t>
            </w:r>
            <w:r w:rsidRPr="00FE6AC6">
              <w:rPr>
                <w:rFonts w:eastAsia="MS Mincho"/>
                <w:szCs w:val="22"/>
                <w:lang w:val="en-US"/>
              </w:rPr>
              <w:t>3 (70</w:t>
            </w:r>
            <w:r w:rsidRPr="00FE6AC6">
              <w:rPr>
                <w:rFonts w:eastAsia="MS Mincho"/>
                <w:szCs w:val="22"/>
                <w:lang w:val="bg-BG"/>
              </w:rPr>
              <w:t>,</w:t>
            </w:r>
            <w:r w:rsidRPr="00FE6AC6">
              <w:rPr>
                <w:rFonts w:eastAsia="MS Mincho"/>
                <w:szCs w:val="22"/>
                <w:lang w:val="en-US"/>
              </w:rPr>
              <w:t>8</w:t>
            </w:r>
            <w:r w:rsidRPr="00FE6AC6">
              <w:rPr>
                <w:rFonts w:eastAsia="MS Mincho"/>
                <w:szCs w:val="22"/>
                <w:lang w:val="en-US"/>
              </w:rPr>
              <w:noBreakHyphen/>
              <w:t>84</w:t>
            </w:r>
            <w:r w:rsidRPr="00FE6AC6">
              <w:rPr>
                <w:rFonts w:eastAsia="MS Mincho"/>
                <w:szCs w:val="22"/>
                <w:lang w:val="bg-BG"/>
              </w:rPr>
              <w:t>,</w:t>
            </w:r>
            <w:r w:rsidRPr="00FE6AC6">
              <w:rPr>
                <w:rFonts w:eastAsia="MS Mincho"/>
                <w:szCs w:val="22"/>
                <w:lang w:val="en-US"/>
              </w:rPr>
              <w:t>1)</w:t>
            </w:r>
          </w:p>
        </w:tc>
      </w:tr>
      <w:tr w:rsidR="001B628D" w:rsidRPr="00FE6AC6" w14:paraId="3E5505D1" w14:textId="77777777" w:rsidTr="00C90F9F">
        <w:trPr>
          <w:cantSplit/>
        </w:trPr>
        <w:tc>
          <w:tcPr>
            <w:tcW w:w="3099" w:type="dxa"/>
            <w:shd w:val="clear" w:color="auto" w:fill="auto"/>
          </w:tcPr>
          <w:p w14:paraId="3E5505CE" w14:textId="77777777" w:rsidR="001B628D" w:rsidRPr="00FE6AC6" w:rsidRDefault="001B628D" w:rsidP="00C90F9F">
            <w:pPr>
              <w:keepNext/>
              <w:widowControl w:val="0"/>
              <w:tabs>
                <w:tab w:val="clear" w:pos="567"/>
              </w:tabs>
              <w:spacing w:line="240" w:lineRule="auto"/>
              <w:ind w:left="284"/>
              <w:rPr>
                <w:rFonts w:eastAsia="MS Mincho"/>
                <w:szCs w:val="22"/>
                <w:lang w:val="en-US"/>
              </w:rPr>
            </w:pPr>
            <w:r w:rsidRPr="00FE6AC6">
              <w:rPr>
                <w:rFonts w:eastAsia="MS Mincho"/>
                <w:szCs w:val="22"/>
                <w:lang w:val="en-US"/>
              </w:rPr>
              <w:t>60</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505CF"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47</w:t>
            </w:r>
            <w:r w:rsidRPr="00FE6AC6">
              <w:rPr>
                <w:rFonts w:eastAsia="MS Mincho"/>
                <w:szCs w:val="22"/>
                <w:lang w:val="bg-BG"/>
              </w:rPr>
              <w:t>,</w:t>
            </w:r>
            <w:r w:rsidRPr="00FE6AC6">
              <w:rPr>
                <w:rFonts w:eastAsia="MS Mincho"/>
                <w:szCs w:val="22"/>
                <w:lang w:val="en-US"/>
              </w:rPr>
              <w:t>9 (39</w:t>
            </w:r>
            <w:r w:rsidRPr="00FE6AC6">
              <w:rPr>
                <w:rFonts w:eastAsia="MS Mincho"/>
                <w:szCs w:val="22"/>
                <w:lang w:val="bg-BG"/>
              </w:rPr>
              <w:t>,</w:t>
            </w:r>
            <w:r w:rsidRPr="00FE6AC6">
              <w:rPr>
                <w:rFonts w:eastAsia="MS Mincho"/>
                <w:szCs w:val="22"/>
                <w:lang w:val="en-US"/>
              </w:rPr>
              <w:t>0</w:t>
            </w:r>
            <w:r w:rsidRPr="00FE6AC6">
              <w:rPr>
                <w:rFonts w:eastAsia="MS Mincho"/>
                <w:szCs w:val="22"/>
                <w:lang w:val="en-US"/>
              </w:rPr>
              <w:noBreakHyphen/>
              <w:t>56</w:t>
            </w:r>
            <w:r w:rsidRPr="00FE6AC6">
              <w:rPr>
                <w:rFonts w:eastAsia="MS Mincho"/>
                <w:szCs w:val="22"/>
                <w:lang w:val="bg-BG"/>
              </w:rPr>
              <w:t>,</w:t>
            </w:r>
            <w:r w:rsidRPr="00FE6AC6">
              <w:rPr>
                <w:rFonts w:eastAsia="MS Mincho"/>
                <w:szCs w:val="22"/>
                <w:lang w:val="en-US"/>
              </w:rPr>
              <w:t>3)</w:t>
            </w:r>
          </w:p>
        </w:tc>
        <w:tc>
          <w:tcPr>
            <w:tcW w:w="3100" w:type="dxa"/>
            <w:shd w:val="clear" w:color="auto" w:fill="auto"/>
          </w:tcPr>
          <w:p w14:paraId="3E5505D0"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65</w:t>
            </w:r>
            <w:r w:rsidRPr="00FE6AC6">
              <w:rPr>
                <w:rFonts w:eastAsia="MS Mincho"/>
                <w:szCs w:val="22"/>
                <w:lang w:val="bg-BG"/>
              </w:rPr>
              <w:t>,</w:t>
            </w:r>
            <w:r w:rsidRPr="00FE6AC6">
              <w:rPr>
                <w:rFonts w:eastAsia="MS Mincho"/>
                <w:szCs w:val="22"/>
                <w:lang w:val="en-US"/>
              </w:rPr>
              <w:t>6 (56</w:t>
            </w:r>
            <w:r w:rsidRPr="00FE6AC6">
              <w:rPr>
                <w:rFonts w:eastAsia="MS Mincho"/>
                <w:szCs w:val="22"/>
                <w:lang w:val="bg-BG"/>
              </w:rPr>
              <w:t>,</w:t>
            </w:r>
            <w:r w:rsidRPr="00FE6AC6">
              <w:rPr>
                <w:rFonts w:eastAsia="MS Mincho"/>
                <w:szCs w:val="22"/>
                <w:lang w:val="en-US"/>
              </w:rPr>
              <w:t>1</w:t>
            </w:r>
            <w:r w:rsidRPr="00FE6AC6">
              <w:rPr>
                <w:rFonts w:eastAsia="MS Mincho"/>
                <w:szCs w:val="22"/>
                <w:lang w:val="en-US"/>
              </w:rPr>
              <w:noBreakHyphen/>
              <w:t>73</w:t>
            </w:r>
            <w:r w:rsidRPr="00FE6AC6">
              <w:rPr>
                <w:rFonts w:eastAsia="MS Mincho"/>
                <w:szCs w:val="22"/>
                <w:lang w:val="bg-BG"/>
              </w:rPr>
              <w:t>,</w:t>
            </w:r>
            <w:r w:rsidRPr="00FE6AC6">
              <w:rPr>
                <w:rFonts w:eastAsia="MS Mincho"/>
                <w:szCs w:val="22"/>
                <w:lang w:val="en-US"/>
              </w:rPr>
              <w:t>4)</w:t>
            </w:r>
          </w:p>
        </w:tc>
      </w:tr>
      <w:tr w:rsidR="001B628D" w:rsidRPr="00FE6AC6" w14:paraId="3E5505D5" w14:textId="77777777" w:rsidTr="00C90F9F">
        <w:trPr>
          <w:cantSplit/>
        </w:trPr>
        <w:tc>
          <w:tcPr>
            <w:tcW w:w="3099" w:type="dxa"/>
            <w:shd w:val="clear" w:color="auto" w:fill="auto"/>
          </w:tcPr>
          <w:p w14:paraId="3E5505D2" w14:textId="77777777" w:rsidR="001B628D" w:rsidRPr="00FE6AC6" w:rsidRDefault="001B628D" w:rsidP="00C90F9F">
            <w:pPr>
              <w:keepNext/>
              <w:widowControl w:val="0"/>
              <w:tabs>
                <w:tab w:val="clear" w:pos="567"/>
                <w:tab w:val="left" w:pos="284"/>
              </w:tabs>
              <w:spacing w:line="240" w:lineRule="auto"/>
              <w:rPr>
                <w:rFonts w:eastAsia="MS Mincho"/>
                <w:b/>
                <w:szCs w:val="22"/>
                <w:lang w:val="en-US"/>
              </w:rPr>
            </w:pPr>
            <w:r w:rsidRPr="00FE6AC6">
              <w:rPr>
                <w:rFonts w:eastAsia="MS Mincho"/>
                <w:b/>
                <w:szCs w:val="22"/>
                <w:lang w:val="bg-BG"/>
              </w:rPr>
              <w:t>Преживяемост</w:t>
            </w:r>
          </w:p>
        </w:tc>
        <w:tc>
          <w:tcPr>
            <w:tcW w:w="3100" w:type="dxa"/>
            <w:shd w:val="clear" w:color="auto" w:fill="auto"/>
          </w:tcPr>
          <w:p w14:paraId="3E5505D3"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p>
        </w:tc>
        <w:tc>
          <w:tcPr>
            <w:tcW w:w="3100" w:type="dxa"/>
            <w:shd w:val="clear" w:color="auto" w:fill="auto"/>
          </w:tcPr>
          <w:p w14:paraId="3E5505D4"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p>
        </w:tc>
      </w:tr>
      <w:tr w:rsidR="001B628D" w:rsidRPr="00FE6AC6" w14:paraId="3E5505D9" w14:textId="77777777" w:rsidTr="00C90F9F">
        <w:trPr>
          <w:cantSplit/>
        </w:trPr>
        <w:tc>
          <w:tcPr>
            <w:tcW w:w="3099" w:type="dxa"/>
            <w:shd w:val="clear" w:color="auto" w:fill="auto"/>
          </w:tcPr>
          <w:p w14:paraId="3E5505D6" w14:textId="77777777" w:rsidR="001B628D" w:rsidRPr="00FE6AC6" w:rsidRDefault="001B628D" w:rsidP="00C90F9F">
            <w:pPr>
              <w:keepNext/>
              <w:widowControl w:val="0"/>
              <w:tabs>
                <w:tab w:val="clear" w:pos="567"/>
              </w:tabs>
              <w:spacing w:line="240" w:lineRule="auto"/>
              <w:ind w:left="284"/>
              <w:rPr>
                <w:rFonts w:eastAsia="MS Mincho"/>
                <w:szCs w:val="22"/>
                <w:lang w:val="en-US"/>
              </w:rPr>
            </w:pPr>
            <w:r w:rsidRPr="00FE6AC6">
              <w:rPr>
                <w:rFonts w:eastAsia="MS Mincho"/>
                <w:szCs w:val="22"/>
                <w:lang w:val="en-US"/>
              </w:rPr>
              <w:t>36</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505D7"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94</w:t>
            </w:r>
            <w:r w:rsidRPr="00FE6AC6">
              <w:rPr>
                <w:rFonts w:eastAsia="MS Mincho"/>
                <w:szCs w:val="22"/>
                <w:lang w:val="bg-BG"/>
              </w:rPr>
              <w:t>,</w:t>
            </w:r>
            <w:r w:rsidRPr="00FE6AC6">
              <w:rPr>
                <w:rFonts w:eastAsia="MS Mincho"/>
                <w:szCs w:val="22"/>
                <w:lang w:val="en-US"/>
              </w:rPr>
              <w:t>0 (89</w:t>
            </w:r>
            <w:r w:rsidRPr="00FE6AC6">
              <w:rPr>
                <w:rFonts w:eastAsia="MS Mincho"/>
                <w:szCs w:val="22"/>
                <w:lang w:val="bg-BG"/>
              </w:rPr>
              <w:t>,</w:t>
            </w:r>
            <w:r w:rsidRPr="00FE6AC6">
              <w:rPr>
                <w:rFonts w:eastAsia="MS Mincho"/>
                <w:szCs w:val="22"/>
                <w:lang w:val="en-US"/>
              </w:rPr>
              <w:t>5</w:t>
            </w:r>
            <w:r w:rsidRPr="00FE6AC6">
              <w:rPr>
                <w:rFonts w:eastAsia="MS Mincho"/>
                <w:szCs w:val="22"/>
                <w:lang w:val="en-US"/>
              </w:rPr>
              <w:noBreakHyphen/>
              <w:t>96</w:t>
            </w:r>
            <w:r w:rsidRPr="00FE6AC6">
              <w:rPr>
                <w:rFonts w:eastAsia="MS Mincho"/>
                <w:szCs w:val="22"/>
                <w:lang w:val="bg-BG"/>
              </w:rPr>
              <w:t>,</w:t>
            </w:r>
            <w:r w:rsidRPr="00FE6AC6">
              <w:rPr>
                <w:rFonts w:eastAsia="MS Mincho"/>
                <w:szCs w:val="22"/>
                <w:lang w:val="en-US"/>
              </w:rPr>
              <w:t>7)</w:t>
            </w:r>
          </w:p>
        </w:tc>
        <w:tc>
          <w:tcPr>
            <w:tcW w:w="3100" w:type="dxa"/>
            <w:shd w:val="clear" w:color="auto" w:fill="auto"/>
          </w:tcPr>
          <w:p w14:paraId="3E5505D8"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96</w:t>
            </w:r>
            <w:r w:rsidRPr="00FE6AC6">
              <w:rPr>
                <w:rFonts w:eastAsia="MS Mincho"/>
                <w:szCs w:val="22"/>
                <w:lang w:val="bg-BG"/>
              </w:rPr>
              <w:t>,</w:t>
            </w:r>
            <w:r w:rsidRPr="00FE6AC6">
              <w:rPr>
                <w:rFonts w:eastAsia="MS Mincho"/>
                <w:szCs w:val="22"/>
                <w:lang w:val="en-US"/>
              </w:rPr>
              <w:t>3 (92</w:t>
            </w:r>
            <w:r w:rsidRPr="00FE6AC6">
              <w:rPr>
                <w:rFonts w:eastAsia="MS Mincho"/>
                <w:szCs w:val="22"/>
                <w:lang w:val="bg-BG"/>
              </w:rPr>
              <w:t>,</w:t>
            </w:r>
            <w:r w:rsidRPr="00FE6AC6">
              <w:rPr>
                <w:rFonts w:eastAsia="MS Mincho"/>
                <w:szCs w:val="22"/>
                <w:lang w:val="en-US"/>
              </w:rPr>
              <w:t>4</w:t>
            </w:r>
            <w:r w:rsidRPr="00FE6AC6">
              <w:rPr>
                <w:rFonts w:eastAsia="MS Mincho"/>
                <w:szCs w:val="22"/>
                <w:lang w:val="en-US"/>
              </w:rPr>
              <w:noBreakHyphen/>
              <w:t>98</w:t>
            </w:r>
            <w:r w:rsidRPr="00FE6AC6">
              <w:rPr>
                <w:rFonts w:eastAsia="MS Mincho"/>
                <w:szCs w:val="22"/>
                <w:lang w:val="bg-BG"/>
              </w:rPr>
              <w:t>,</w:t>
            </w:r>
            <w:r w:rsidRPr="00FE6AC6">
              <w:rPr>
                <w:rFonts w:eastAsia="MS Mincho"/>
                <w:szCs w:val="22"/>
                <w:lang w:val="en-US"/>
              </w:rPr>
              <w:t>2)</w:t>
            </w:r>
          </w:p>
        </w:tc>
      </w:tr>
      <w:tr w:rsidR="001B628D" w:rsidRPr="00FE6AC6" w14:paraId="3E5505DD" w14:textId="77777777" w:rsidTr="00C90F9F">
        <w:trPr>
          <w:cantSplit/>
        </w:trPr>
        <w:tc>
          <w:tcPr>
            <w:tcW w:w="3099" w:type="dxa"/>
            <w:shd w:val="clear" w:color="auto" w:fill="auto"/>
          </w:tcPr>
          <w:p w14:paraId="3E5505DA" w14:textId="77777777" w:rsidR="001B628D" w:rsidRPr="00FE6AC6" w:rsidRDefault="001B628D" w:rsidP="00C90F9F">
            <w:pPr>
              <w:keepNext/>
              <w:widowControl w:val="0"/>
              <w:tabs>
                <w:tab w:val="clear" w:pos="567"/>
              </w:tabs>
              <w:spacing w:line="240" w:lineRule="auto"/>
              <w:ind w:left="284"/>
              <w:rPr>
                <w:rFonts w:eastAsia="MS Mincho"/>
                <w:szCs w:val="22"/>
                <w:lang w:val="en-US"/>
              </w:rPr>
            </w:pPr>
            <w:r w:rsidRPr="00FE6AC6">
              <w:rPr>
                <w:rFonts w:eastAsia="MS Mincho"/>
                <w:szCs w:val="22"/>
                <w:lang w:val="en-US"/>
              </w:rPr>
              <w:t>48</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505DB"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87</w:t>
            </w:r>
            <w:r w:rsidRPr="00FE6AC6">
              <w:rPr>
                <w:rFonts w:eastAsia="MS Mincho"/>
                <w:szCs w:val="22"/>
                <w:lang w:val="bg-BG"/>
              </w:rPr>
              <w:t>,</w:t>
            </w:r>
            <w:r w:rsidRPr="00FE6AC6">
              <w:rPr>
                <w:rFonts w:eastAsia="MS Mincho"/>
                <w:szCs w:val="22"/>
                <w:lang w:val="en-US"/>
              </w:rPr>
              <w:t>9 (81</w:t>
            </w:r>
            <w:r w:rsidRPr="00FE6AC6">
              <w:rPr>
                <w:rFonts w:eastAsia="MS Mincho"/>
                <w:szCs w:val="22"/>
                <w:lang w:val="bg-BG"/>
              </w:rPr>
              <w:t>,</w:t>
            </w:r>
            <w:r w:rsidRPr="00FE6AC6">
              <w:rPr>
                <w:rFonts w:eastAsia="MS Mincho"/>
                <w:szCs w:val="22"/>
                <w:lang w:val="en-US"/>
              </w:rPr>
              <w:t>1</w:t>
            </w:r>
            <w:r w:rsidRPr="00FE6AC6">
              <w:rPr>
                <w:rFonts w:eastAsia="MS Mincho"/>
                <w:szCs w:val="22"/>
                <w:lang w:val="en-US"/>
              </w:rPr>
              <w:noBreakHyphen/>
              <w:t>92</w:t>
            </w:r>
            <w:r w:rsidRPr="00FE6AC6">
              <w:rPr>
                <w:rFonts w:eastAsia="MS Mincho"/>
                <w:szCs w:val="22"/>
                <w:lang w:val="bg-BG"/>
              </w:rPr>
              <w:t>,</w:t>
            </w:r>
            <w:r w:rsidRPr="00FE6AC6">
              <w:rPr>
                <w:rFonts w:eastAsia="MS Mincho"/>
                <w:szCs w:val="22"/>
                <w:lang w:val="en-US"/>
              </w:rPr>
              <w:t>3)</w:t>
            </w:r>
          </w:p>
        </w:tc>
        <w:tc>
          <w:tcPr>
            <w:tcW w:w="3100" w:type="dxa"/>
            <w:shd w:val="clear" w:color="auto" w:fill="auto"/>
          </w:tcPr>
          <w:p w14:paraId="3E5505DC" w14:textId="77777777" w:rsidR="001B628D" w:rsidRPr="00FE6AC6" w:rsidRDefault="001B628D" w:rsidP="00C90F9F">
            <w:pPr>
              <w:keepNext/>
              <w:widowControl w:val="0"/>
              <w:tabs>
                <w:tab w:val="clear" w:pos="567"/>
                <w:tab w:val="left" w:pos="284"/>
              </w:tabs>
              <w:spacing w:line="240" w:lineRule="auto"/>
              <w:rPr>
                <w:rFonts w:eastAsia="MS Mincho"/>
                <w:szCs w:val="22"/>
                <w:lang w:val="en-US"/>
              </w:rPr>
            </w:pPr>
            <w:r w:rsidRPr="00FE6AC6">
              <w:rPr>
                <w:rFonts w:eastAsia="MS Mincho"/>
                <w:szCs w:val="22"/>
                <w:lang w:val="en-US"/>
              </w:rPr>
              <w:t>95</w:t>
            </w:r>
            <w:r w:rsidRPr="00FE6AC6">
              <w:rPr>
                <w:rFonts w:eastAsia="MS Mincho"/>
                <w:szCs w:val="22"/>
                <w:lang w:val="bg-BG"/>
              </w:rPr>
              <w:t>,</w:t>
            </w:r>
            <w:r w:rsidRPr="00FE6AC6">
              <w:rPr>
                <w:rFonts w:eastAsia="MS Mincho"/>
                <w:szCs w:val="22"/>
                <w:lang w:val="en-US"/>
              </w:rPr>
              <w:t>6 (91</w:t>
            </w:r>
            <w:r w:rsidRPr="00FE6AC6">
              <w:rPr>
                <w:rFonts w:eastAsia="MS Mincho"/>
                <w:szCs w:val="22"/>
                <w:lang w:val="bg-BG"/>
              </w:rPr>
              <w:t>,</w:t>
            </w:r>
            <w:r w:rsidRPr="00FE6AC6">
              <w:rPr>
                <w:rFonts w:eastAsia="MS Mincho"/>
                <w:szCs w:val="22"/>
                <w:lang w:val="en-US"/>
              </w:rPr>
              <w:t>2</w:t>
            </w:r>
            <w:r w:rsidRPr="00FE6AC6">
              <w:rPr>
                <w:rFonts w:eastAsia="MS Mincho"/>
                <w:szCs w:val="22"/>
                <w:lang w:val="en-US"/>
              </w:rPr>
              <w:noBreakHyphen/>
              <w:t>97</w:t>
            </w:r>
            <w:r w:rsidRPr="00FE6AC6">
              <w:rPr>
                <w:rFonts w:eastAsia="MS Mincho"/>
                <w:szCs w:val="22"/>
                <w:lang w:val="bg-BG"/>
              </w:rPr>
              <w:t>,</w:t>
            </w:r>
            <w:r w:rsidRPr="00FE6AC6">
              <w:rPr>
                <w:rFonts w:eastAsia="MS Mincho"/>
                <w:szCs w:val="22"/>
                <w:lang w:val="en-US"/>
              </w:rPr>
              <w:t>8)</w:t>
            </w:r>
          </w:p>
        </w:tc>
      </w:tr>
      <w:tr w:rsidR="001B628D" w:rsidRPr="00FE6AC6" w14:paraId="3E5505E1" w14:textId="77777777" w:rsidTr="00C90F9F">
        <w:trPr>
          <w:cantSplit/>
        </w:trPr>
        <w:tc>
          <w:tcPr>
            <w:tcW w:w="3099" w:type="dxa"/>
            <w:shd w:val="clear" w:color="auto" w:fill="auto"/>
          </w:tcPr>
          <w:p w14:paraId="3E5505DE" w14:textId="77777777" w:rsidR="001B628D" w:rsidRPr="00FE6AC6" w:rsidRDefault="001B628D" w:rsidP="00C90F9F">
            <w:pPr>
              <w:widowControl w:val="0"/>
              <w:tabs>
                <w:tab w:val="clear" w:pos="567"/>
              </w:tabs>
              <w:spacing w:line="240" w:lineRule="auto"/>
              <w:ind w:left="284"/>
              <w:rPr>
                <w:rFonts w:eastAsia="MS Mincho"/>
                <w:szCs w:val="22"/>
                <w:lang w:val="en-US"/>
              </w:rPr>
            </w:pPr>
            <w:r w:rsidRPr="00FE6AC6">
              <w:rPr>
                <w:rFonts w:eastAsia="MS Mincho"/>
                <w:szCs w:val="22"/>
                <w:lang w:val="en-US"/>
              </w:rPr>
              <w:t>60</w:t>
            </w:r>
            <w:r w:rsidRPr="00FE6AC6">
              <w:rPr>
                <w:rFonts w:eastAsia="MS Mincho"/>
                <w:szCs w:val="22"/>
                <w:lang w:val="en-US" w:eastAsia="ja-JP"/>
              </w:rPr>
              <w:t> </w:t>
            </w:r>
            <w:r w:rsidRPr="00FE6AC6">
              <w:rPr>
                <w:rFonts w:eastAsia="MS Mincho"/>
                <w:szCs w:val="22"/>
                <w:lang w:val="bg-BG" w:eastAsia="ja-JP"/>
              </w:rPr>
              <w:t>месеца</w:t>
            </w:r>
          </w:p>
        </w:tc>
        <w:tc>
          <w:tcPr>
            <w:tcW w:w="3100" w:type="dxa"/>
            <w:shd w:val="clear" w:color="auto" w:fill="auto"/>
          </w:tcPr>
          <w:p w14:paraId="3E5505DF" w14:textId="77777777" w:rsidR="001B628D" w:rsidRPr="00FE6AC6" w:rsidRDefault="001B628D" w:rsidP="00C90F9F">
            <w:pPr>
              <w:widowControl w:val="0"/>
              <w:tabs>
                <w:tab w:val="clear" w:pos="567"/>
                <w:tab w:val="left" w:pos="284"/>
              </w:tabs>
              <w:spacing w:line="240" w:lineRule="auto"/>
              <w:rPr>
                <w:rFonts w:eastAsia="MS Mincho"/>
                <w:szCs w:val="22"/>
                <w:lang w:val="en-US"/>
              </w:rPr>
            </w:pPr>
            <w:r w:rsidRPr="00FE6AC6">
              <w:rPr>
                <w:rFonts w:eastAsia="MS Mincho"/>
                <w:szCs w:val="22"/>
                <w:lang w:val="en-US"/>
              </w:rPr>
              <w:t>81</w:t>
            </w:r>
            <w:r w:rsidRPr="00FE6AC6">
              <w:rPr>
                <w:rFonts w:eastAsia="MS Mincho"/>
                <w:szCs w:val="22"/>
                <w:lang w:val="bg-BG"/>
              </w:rPr>
              <w:t>,</w:t>
            </w:r>
            <w:r w:rsidRPr="00FE6AC6">
              <w:rPr>
                <w:rFonts w:eastAsia="MS Mincho"/>
                <w:szCs w:val="22"/>
                <w:lang w:val="en-US"/>
              </w:rPr>
              <w:t>7 (73</w:t>
            </w:r>
            <w:r w:rsidRPr="00FE6AC6">
              <w:rPr>
                <w:rFonts w:eastAsia="MS Mincho"/>
                <w:szCs w:val="22"/>
                <w:lang w:val="bg-BG"/>
              </w:rPr>
              <w:t>,</w:t>
            </w:r>
            <w:r w:rsidRPr="00FE6AC6">
              <w:rPr>
                <w:rFonts w:eastAsia="MS Mincho"/>
                <w:szCs w:val="22"/>
                <w:lang w:val="en-US"/>
              </w:rPr>
              <w:t>0</w:t>
            </w:r>
            <w:r w:rsidRPr="00FE6AC6">
              <w:rPr>
                <w:rFonts w:eastAsia="MS Mincho"/>
                <w:szCs w:val="22"/>
                <w:lang w:val="en-US"/>
              </w:rPr>
              <w:noBreakHyphen/>
              <w:t>87</w:t>
            </w:r>
            <w:r w:rsidRPr="00FE6AC6">
              <w:rPr>
                <w:rFonts w:eastAsia="MS Mincho"/>
                <w:szCs w:val="22"/>
                <w:lang w:val="bg-BG"/>
              </w:rPr>
              <w:t>,</w:t>
            </w:r>
            <w:r w:rsidRPr="00FE6AC6">
              <w:rPr>
                <w:rFonts w:eastAsia="MS Mincho"/>
                <w:szCs w:val="22"/>
                <w:lang w:val="en-US"/>
              </w:rPr>
              <w:t>8)</w:t>
            </w:r>
          </w:p>
        </w:tc>
        <w:tc>
          <w:tcPr>
            <w:tcW w:w="3100" w:type="dxa"/>
            <w:shd w:val="clear" w:color="auto" w:fill="auto"/>
          </w:tcPr>
          <w:p w14:paraId="3E5505E0" w14:textId="77777777" w:rsidR="001B628D" w:rsidRPr="00FE6AC6" w:rsidRDefault="001B628D" w:rsidP="00C90F9F">
            <w:pPr>
              <w:widowControl w:val="0"/>
              <w:tabs>
                <w:tab w:val="clear" w:pos="567"/>
                <w:tab w:val="left" w:pos="284"/>
              </w:tabs>
              <w:spacing w:line="240" w:lineRule="auto"/>
              <w:rPr>
                <w:rFonts w:eastAsia="MS Mincho"/>
                <w:szCs w:val="22"/>
                <w:lang w:val="en-US"/>
              </w:rPr>
            </w:pPr>
            <w:r w:rsidRPr="00FE6AC6">
              <w:rPr>
                <w:rFonts w:eastAsia="MS Mincho"/>
                <w:szCs w:val="22"/>
                <w:lang w:val="en-US"/>
              </w:rPr>
              <w:t>92</w:t>
            </w:r>
            <w:r w:rsidRPr="00FE6AC6">
              <w:rPr>
                <w:rFonts w:eastAsia="MS Mincho"/>
                <w:szCs w:val="22"/>
                <w:lang w:val="bg-BG"/>
              </w:rPr>
              <w:t>,</w:t>
            </w:r>
            <w:r w:rsidRPr="00FE6AC6">
              <w:rPr>
                <w:rFonts w:eastAsia="MS Mincho"/>
                <w:szCs w:val="22"/>
                <w:lang w:val="en-US"/>
              </w:rPr>
              <w:t>0 (85</w:t>
            </w:r>
            <w:r w:rsidRPr="00FE6AC6">
              <w:rPr>
                <w:rFonts w:eastAsia="MS Mincho"/>
                <w:szCs w:val="22"/>
                <w:lang w:val="bg-BG"/>
              </w:rPr>
              <w:t>,</w:t>
            </w:r>
            <w:r w:rsidRPr="00FE6AC6">
              <w:rPr>
                <w:rFonts w:eastAsia="MS Mincho"/>
                <w:szCs w:val="22"/>
                <w:lang w:val="en-US"/>
              </w:rPr>
              <w:t>3</w:t>
            </w:r>
            <w:r w:rsidRPr="00FE6AC6">
              <w:rPr>
                <w:rFonts w:eastAsia="MS Mincho"/>
                <w:szCs w:val="22"/>
                <w:lang w:val="en-US"/>
              </w:rPr>
              <w:noBreakHyphen/>
              <w:t>95</w:t>
            </w:r>
            <w:r w:rsidRPr="00FE6AC6">
              <w:rPr>
                <w:rFonts w:eastAsia="MS Mincho"/>
                <w:szCs w:val="22"/>
                <w:lang w:val="bg-BG"/>
              </w:rPr>
              <w:t>,</w:t>
            </w:r>
            <w:r w:rsidRPr="00FE6AC6">
              <w:rPr>
                <w:rFonts w:eastAsia="MS Mincho"/>
                <w:szCs w:val="22"/>
                <w:lang w:val="en-US"/>
              </w:rPr>
              <w:t>7)</w:t>
            </w:r>
          </w:p>
        </w:tc>
      </w:tr>
    </w:tbl>
    <w:p w14:paraId="3E5505E2" w14:textId="77777777" w:rsidR="001B628D" w:rsidRPr="00FE6AC6" w:rsidRDefault="001B628D" w:rsidP="0063575E">
      <w:pPr>
        <w:widowControl w:val="0"/>
        <w:tabs>
          <w:tab w:val="clear" w:pos="567"/>
        </w:tabs>
        <w:spacing w:line="240" w:lineRule="auto"/>
        <w:rPr>
          <w:rFonts w:eastAsia="MS Mincho"/>
          <w:szCs w:val="22"/>
          <w:lang w:val="en-US"/>
        </w:rPr>
      </w:pPr>
    </w:p>
    <w:p w14:paraId="3E5505E3" w14:textId="77777777" w:rsidR="001B628D" w:rsidRPr="00FE6AC6" w:rsidRDefault="001B628D" w:rsidP="0063575E">
      <w:pPr>
        <w:keepNext/>
        <w:keepLines/>
        <w:widowControl w:val="0"/>
        <w:tabs>
          <w:tab w:val="clear" w:pos="567"/>
          <w:tab w:val="left" w:pos="1134"/>
        </w:tabs>
        <w:spacing w:line="240" w:lineRule="auto"/>
        <w:ind w:left="1134" w:hanging="1134"/>
        <w:outlineLvl w:val="6"/>
        <w:rPr>
          <w:rFonts w:eastAsia="MS Mincho"/>
          <w:b/>
          <w:szCs w:val="22"/>
          <w:lang w:val="bg-BG"/>
        </w:rPr>
      </w:pPr>
      <w:r w:rsidRPr="00FE6AC6">
        <w:rPr>
          <w:rFonts w:eastAsia="MS Mincho"/>
          <w:b/>
          <w:szCs w:val="22"/>
          <w:lang w:val="bg-BG"/>
        </w:rPr>
        <w:t>Фигура</w:t>
      </w:r>
      <w:r w:rsidRPr="00FE6AC6">
        <w:rPr>
          <w:rFonts w:eastAsia="MS Mincho"/>
          <w:b/>
          <w:szCs w:val="22"/>
          <w:lang w:val="en-US"/>
        </w:rPr>
        <w:t> 1</w:t>
      </w:r>
      <w:r w:rsidRPr="00FE6AC6">
        <w:rPr>
          <w:rFonts w:eastAsia="MS Mincho"/>
          <w:b/>
          <w:szCs w:val="22"/>
          <w:lang w:val="en-US"/>
        </w:rPr>
        <w:tab/>
      </w:r>
      <w:r w:rsidRPr="00FE6AC6">
        <w:rPr>
          <w:rFonts w:eastAsia="MS Mincho"/>
          <w:b/>
          <w:szCs w:val="22"/>
          <w:lang w:val="bg-BG"/>
        </w:rPr>
        <w:t xml:space="preserve">Оценка по </w:t>
      </w:r>
      <w:r w:rsidRPr="00FE6AC6">
        <w:rPr>
          <w:rFonts w:eastAsia="MS Mincho"/>
          <w:b/>
          <w:szCs w:val="22"/>
          <w:lang w:val="en-US"/>
        </w:rPr>
        <w:t xml:space="preserve">Kaplan-Meier </w:t>
      </w:r>
      <w:r w:rsidRPr="00FE6AC6">
        <w:rPr>
          <w:rFonts w:eastAsia="MS Mincho"/>
          <w:b/>
          <w:szCs w:val="22"/>
          <w:lang w:val="bg-BG"/>
        </w:rPr>
        <w:t>на преживяемостта без рецидив</w:t>
      </w:r>
      <w:r w:rsidRPr="00FE6AC6">
        <w:rPr>
          <w:rFonts w:eastAsia="MS Mincho"/>
          <w:b/>
          <w:szCs w:val="22"/>
          <w:lang w:val="en-US"/>
        </w:rPr>
        <w:t xml:space="preserve"> (ITT </w:t>
      </w:r>
      <w:r w:rsidRPr="00FE6AC6">
        <w:rPr>
          <w:rFonts w:eastAsia="MS Mincho"/>
          <w:b/>
          <w:szCs w:val="22"/>
          <w:lang w:val="bg-BG"/>
        </w:rPr>
        <w:t>популация</w:t>
      </w:r>
      <w:r w:rsidRPr="00FE6AC6">
        <w:rPr>
          <w:rFonts w:eastAsia="MS Mincho"/>
          <w:b/>
          <w:szCs w:val="22"/>
          <w:lang w:val="en-US"/>
        </w:rPr>
        <w:t>)</w:t>
      </w:r>
    </w:p>
    <w:p w14:paraId="3E5505E4" w14:textId="77777777" w:rsidR="001B628D" w:rsidRPr="00FE6AC6" w:rsidRDefault="00613193" w:rsidP="0063575E">
      <w:pPr>
        <w:keepNext/>
        <w:keepLines/>
        <w:widowControl w:val="0"/>
        <w:tabs>
          <w:tab w:val="clear" w:pos="567"/>
        </w:tabs>
        <w:spacing w:line="240" w:lineRule="auto"/>
        <w:rPr>
          <w:rFonts w:eastAsia="MS Mincho"/>
          <w:szCs w:val="22"/>
          <w:lang w:val="en-US"/>
        </w:rPr>
      </w:pPr>
      <w:r w:rsidRPr="00FE6AC6">
        <w:rPr>
          <w:rFonts w:eastAsia="MS Mincho"/>
          <w:noProof/>
          <w:szCs w:val="22"/>
          <w:lang w:val="en-US"/>
        </w:rPr>
        <mc:AlternateContent>
          <mc:Choice Requires="wps">
            <w:drawing>
              <wp:anchor distT="0" distB="0" distL="114300" distR="114300" simplePos="0" relativeHeight="251660288" behindDoc="0" locked="0" layoutInCell="1" allowOverlap="1" wp14:anchorId="3E550FD8" wp14:editId="3E550FD9">
                <wp:simplePos x="0" y="0"/>
                <wp:positionH relativeFrom="column">
                  <wp:posOffset>-293370</wp:posOffset>
                </wp:positionH>
                <wp:positionV relativeFrom="paragraph">
                  <wp:posOffset>10160</wp:posOffset>
                </wp:positionV>
                <wp:extent cx="459740" cy="27787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2778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5103B" w14:textId="77777777" w:rsidR="006033B4" w:rsidRPr="0086760E" w:rsidRDefault="006033B4" w:rsidP="001B628D">
                            <w:r w:rsidRPr="0086760E">
                              <w:rPr>
                                <w:lang w:val="bg-BG"/>
                              </w:rPr>
                              <w:t>Вероятност за преживяемост без рецидив</w:t>
                            </w:r>
                          </w:p>
                          <w:p w14:paraId="3E55103C" w14:textId="77777777" w:rsidR="006033B4" w:rsidRPr="00A33DBA" w:rsidRDefault="006033B4" w:rsidP="001B628D">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D8" id="_x0000_s1032" type="#_x0000_t202" style="position:absolute;margin-left:-23.1pt;margin-top:.8pt;width:36.2pt;height:21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" stroked="f">
                <v:fill opacity="0"/>
                <v:textbox style="layout-flow:vertical;mso-layout-flow-alt:bottom-to-top">
                  <w:txbxContent>
                    <w:p w14:paraId="3E55103B" w14:textId="77777777" w:rsidR="006033B4" w:rsidRPr="0086760E" w:rsidRDefault="006033B4" w:rsidP="001B628D">
                      <w:r w:rsidRPr="0086760E">
                        <w:rPr>
                          <w:lang w:val="bg-BG"/>
                        </w:rPr>
                        <w:t>Вероятност за преживяемост без рецидив</w:t>
                      </w:r>
                    </w:p>
                    <w:p w14:paraId="3E55103C" w14:textId="77777777" w:rsidR="006033B4" w:rsidRPr="00A33DBA" w:rsidRDefault="006033B4" w:rsidP="001B628D">
                      <w:pPr>
                        <w:rPr>
                          <w:rFonts w:ascii="Arial" w:hAnsi="Arial" w:cs="Arial"/>
                          <w:sz w:val="20"/>
                        </w:rPr>
                      </w:pPr>
                    </w:p>
                  </w:txbxContent>
                </v:textbox>
              </v:shape>
            </w:pict>
          </mc:Fallback>
        </mc:AlternateContent>
      </w:r>
    </w:p>
    <w:p w14:paraId="3E5505E5" w14:textId="77777777" w:rsidR="001B628D" w:rsidRPr="00FE6AC6" w:rsidRDefault="00613193" w:rsidP="0063575E">
      <w:pPr>
        <w:keepNext/>
        <w:keepLines/>
        <w:widowControl w:val="0"/>
        <w:tabs>
          <w:tab w:val="clear" w:pos="567"/>
        </w:tabs>
        <w:spacing w:line="240" w:lineRule="auto"/>
        <w:rPr>
          <w:rFonts w:eastAsia="MS Mincho"/>
          <w:szCs w:val="22"/>
          <w:lang w:val="en-US"/>
        </w:rPr>
      </w:pPr>
      <w:r w:rsidRPr="00FE6AC6">
        <w:rPr>
          <w:rFonts w:eastAsia="MS Mincho"/>
          <w:noProof/>
          <w:szCs w:val="22"/>
          <w:lang w:val="en-US"/>
        </w:rPr>
        <mc:AlternateContent>
          <mc:Choice Requires="wps">
            <w:drawing>
              <wp:anchor distT="0" distB="0" distL="114300" distR="114300" simplePos="0" relativeHeight="251658240" behindDoc="0" locked="0" layoutInCell="1" allowOverlap="1" wp14:anchorId="3E550FDA" wp14:editId="3E550FDB">
                <wp:simplePos x="0" y="0"/>
                <wp:positionH relativeFrom="column">
                  <wp:posOffset>350520</wp:posOffset>
                </wp:positionH>
                <wp:positionV relativeFrom="paragraph">
                  <wp:posOffset>1158240</wp:posOffset>
                </wp:positionV>
                <wp:extent cx="4585335" cy="12369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09"/>
                              <w:gridCol w:w="850"/>
                            </w:tblGrid>
                            <w:tr w:rsidR="006033B4" w:rsidRPr="0086760E" w14:paraId="3E551040" w14:textId="77777777">
                              <w:trPr>
                                <w:gridAfter w:val="4"/>
                                <w:wAfter w:w="2781" w:type="dxa"/>
                              </w:trPr>
                              <w:tc>
                                <w:tcPr>
                                  <w:tcW w:w="3281" w:type="dxa"/>
                                  <w:gridSpan w:val="2"/>
                                  <w:shd w:val="clear" w:color="auto" w:fill="auto"/>
                                </w:tcPr>
                                <w:p w14:paraId="3E55103D" w14:textId="77777777" w:rsidR="006033B4" w:rsidRPr="0086760E" w:rsidRDefault="006033B4" w:rsidP="00D8384E">
                                  <w:r w:rsidRPr="0086760E">
                                    <w:t>P &lt; 0</w:t>
                                  </w:r>
                                  <w:r w:rsidRPr="0086760E">
                                    <w:rPr>
                                      <w:lang w:val="bg-BG"/>
                                    </w:rPr>
                                    <w:t>,</w:t>
                                  </w:r>
                                  <w:r w:rsidRPr="0086760E">
                                    <w:t>0001</w:t>
                                  </w:r>
                                </w:p>
                                <w:p w14:paraId="3E55103E" w14:textId="77777777" w:rsidR="006033B4" w:rsidRPr="0086760E" w:rsidRDefault="006033B4" w:rsidP="00D8384E">
                                  <w:r w:rsidRPr="0086760E">
                                    <w:rPr>
                                      <w:lang w:val="bg-BG"/>
                                    </w:rPr>
                                    <w:t>Коефициент на риск</w:t>
                                  </w:r>
                                  <w:r w:rsidRPr="0086760E">
                                    <w:t xml:space="preserve"> 0,46</w:t>
                                  </w:r>
                                </w:p>
                                <w:p w14:paraId="3E55103F" w14:textId="77777777" w:rsidR="006033B4" w:rsidRPr="0086760E" w:rsidRDefault="006033B4" w:rsidP="00B33277">
                                  <w:pPr>
                                    <w:rPr>
                                      <w:lang w:val="de-DE"/>
                                    </w:rPr>
                                  </w:pPr>
                                  <w:r w:rsidRPr="0086760E">
                                    <w:t xml:space="preserve">(95% </w:t>
                                  </w:r>
                                  <w:r>
                                    <w:t>CI</w:t>
                                  </w:r>
                                  <w:r w:rsidRPr="0086760E">
                                    <w:t>, 0,32</w:t>
                                  </w:r>
                                  <w:r w:rsidRPr="0086760E">
                                    <w:noBreakHyphen/>
                                    <w:t>0,65)</w:t>
                                  </w:r>
                                </w:p>
                              </w:tc>
                            </w:tr>
                            <w:tr w:rsidR="006033B4" w:rsidRPr="0055776F" w14:paraId="3E551046" w14:textId="77777777">
                              <w:tc>
                                <w:tcPr>
                                  <w:tcW w:w="817" w:type="dxa"/>
                                  <w:shd w:val="clear" w:color="auto" w:fill="auto"/>
                                </w:tcPr>
                                <w:p w14:paraId="3E551041" w14:textId="77777777" w:rsidR="006033B4" w:rsidRPr="0086760E" w:rsidRDefault="006033B4" w:rsidP="00F80ECB"/>
                              </w:tc>
                              <w:tc>
                                <w:tcPr>
                                  <w:tcW w:w="2835" w:type="dxa"/>
                                  <w:gridSpan w:val="2"/>
                                  <w:shd w:val="clear" w:color="auto" w:fill="auto"/>
                                </w:tcPr>
                                <w:p w14:paraId="3E551042" w14:textId="77777777" w:rsidR="006033B4" w:rsidRPr="0086760E" w:rsidRDefault="006033B4" w:rsidP="00F80ECB"/>
                              </w:tc>
                              <w:tc>
                                <w:tcPr>
                                  <w:tcW w:w="851" w:type="dxa"/>
                                  <w:tcBorders>
                                    <w:bottom w:val="single" w:sz="4" w:space="0" w:color="auto"/>
                                  </w:tcBorders>
                                  <w:shd w:val="clear" w:color="auto" w:fill="auto"/>
                                </w:tcPr>
                                <w:p w14:paraId="3E551043" w14:textId="77777777" w:rsidR="006033B4" w:rsidRPr="0086760E" w:rsidRDefault="006033B4" w:rsidP="00F80ECB">
                                  <w:r w:rsidRPr="0086760E">
                                    <w:rPr>
                                      <w:lang w:val="de-DE"/>
                                    </w:rPr>
                                    <w:t>N</w:t>
                                  </w:r>
                                </w:p>
                              </w:tc>
                              <w:tc>
                                <w:tcPr>
                                  <w:tcW w:w="709" w:type="dxa"/>
                                  <w:tcBorders>
                                    <w:bottom w:val="single" w:sz="4" w:space="0" w:color="auto"/>
                                  </w:tcBorders>
                                  <w:shd w:val="clear" w:color="auto" w:fill="auto"/>
                                </w:tcPr>
                                <w:p w14:paraId="3E551044" w14:textId="77777777" w:rsidR="006033B4" w:rsidRPr="0086760E" w:rsidRDefault="006033B4" w:rsidP="00F80ECB">
                                  <w:r w:rsidRPr="0086760E">
                                    <w:rPr>
                                      <w:lang w:val="bg-BG"/>
                                    </w:rPr>
                                    <w:t>Съб</w:t>
                                  </w:r>
                                </w:p>
                              </w:tc>
                              <w:tc>
                                <w:tcPr>
                                  <w:tcW w:w="850" w:type="dxa"/>
                                  <w:tcBorders>
                                    <w:bottom w:val="single" w:sz="4" w:space="0" w:color="auto"/>
                                  </w:tcBorders>
                                  <w:shd w:val="clear" w:color="auto" w:fill="auto"/>
                                </w:tcPr>
                                <w:p w14:paraId="3E551045" w14:textId="77777777" w:rsidR="006033B4" w:rsidRPr="0086760E" w:rsidRDefault="006033B4" w:rsidP="00F80ECB">
                                  <w:r w:rsidRPr="0086760E">
                                    <w:rPr>
                                      <w:lang w:val="bg-BG"/>
                                    </w:rPr>
                                    <w:t>Цен</w:t>
                                  </w:r>
                                </w:p>
                              </w:tc>
                            </w:tr>
                            <w:tr w:rsidR="006033B4" w:rsidRPr="0055776F" w14:paraId="3E55104C" w14:textId="77777777">
                              <w:tc>
                                <w:tcPr>
                                  <w:tcW w:w="817" w:type="dxa"/>
                                  <w:shd w:val="clear" w:color="auto" w:fill="auto"/>
                                </w:tcPr>
                                <w:p w14:paraId="3E551047" w14:textId="77777777" w:rsidR="006033B4" w:rsidRPr="0086760E" w:rsidRDefault="006033B4" w:rsidP="00F80ECB">
                                  <w:r w:rsidRPr="0086760E">
                                    <w:rPr>
                                      <w:b/>
                                    </w:rPr>
                                    <w:t>——</w:t>
                                  </w:r>
                                </w:p>
                              </w:tc>
                              <w:tc>
                                <w:tcPr>
                                  <w:tcW w:w="2835" w:type="dxa"/>
                                  <w:gridSpan w:val="2"/>
                                  <w:shd w:val="clear" w:color="auto" w:fill="auto"/>
                                </w:tcPr>
                                <w:p w14:paraId="3E551048" w14:textId="77777777" w:rsidR="006033B4" w:rsidRPr="0086760E" w:rsidRDefault="006033B4" w:rsidP="00F80ECB">
                                  <w:r w:rsidRPr="0086760E">
                                    <w:t xml:space="preserve">1) </w:t>
                                  </w:r>
                                  <w:r w:rsidRPr="0086760E">
                                    <w:rPr>
                                      <w:lang w:val="bg-BG"/>
                                    </w:rPr>
                                    <w:t>Иматиниб</w:t>
                                  </w:r>
                                  <w:r w:rsidRPr="0086760E">
                                    <w:t xml:space="preserve"> 12 </w:t>
                                  </w:r>
                                  <w:r w:rsidRPr="0086760E">
                                    <w:rPr>
                                      <w:lang w:val="bg-BG"/>
                                    </w:rPr>
                                    <w:t>Месеца</w:t>
                                  </w:r>
                                  <w:r w:rsidRPr="0086760E">
                                    <w:t>:</w:t>
                                  </w:r>
                                </w:p>
                              </w:tc>
                              <w:tc>
                                <w:tcPr>
                                  <w:tcW w:w="851" w:type="dxa"/>
                                  <w:tcBorders>
                                    <w:top w:val="single" w:sz="4" w:space="0" w:color="auto"/>
                                  </w:tcBorders>
                                  <w:shd w:val="clear" w:color="auto" w:fill="auto"/>
                                </w:tcPr>
                                <w:p w14:paraId="3E551049" w14:textId="77777777" w:rsidR="006033B4" w:rsidRPr="0086760E" w:rsidRDefault="006033B4" w:rsidP="00F80ECB">
                                  <w:r w:rsidRPr="0086760E">
                                    <w:t>199</w:t>
                                  </w:r>
                                </w:p>
                              </w:tc>
                              <w:tc>
                                <w:tcPr>
                                  <w:tcW w:w="709" w:type="dxa"/>
                                  <w:tcBorders>
                                    <w:top w:val="single" w:sz="4" w:space="0" w:color="auto"/>
                                  </w:tcBorders>
                                  <w:shd w:val="clear" w:color="auto" w:fill="auto"/>
                                </w:tcPr>
                                <w:p w14:paraId="3E55104A" w14:textId="77777777" w:rsidR="006033B4" w:rsidRPr="0086760E" w:rsidRDefault="006033B4" w:rsidP="00F80ECB">
                                  <w:r w:rsidRPr="0086760E">
                                    <w:t>84</w:t>
                                  </w:r>
                                </w:p>
                              </w:tc>
                              <w:tc>
                                <w:tcPr>
                                  <w:tcW w:w="850" w:type="dxa"/>
                                  <w:tcBorders>
                                    <w:top w:val="single" w:sz="4" w:space="0" w:color="auto"/>
                                  </w:tcBorders>
                                  <w:shd w:val="clear" w:color="auto" w:fill="auto"/>
                                </w:tcPr>
                                <w:p w14:paraId="3E55104B" w14:textId="77777777" w:rsidR="006033B4" w:rsidRPr="0086760E" w:rsidRDefault="006033B4" w:rsidP="00F80ECB">
                                  <w:r w:rsidRPr="0086760E">
                                    <w:t>115</w:t>
                                  </w:r>
                                </w:p>
                              </w:tc>
                            </w:tr>
                            <w:tr w:rsidR="006033B4" w:rsidRPr="0055776F" w14:paraId="3E551052" w14:textId="77777777">
                              <w:tc>
                                <w:tcPr>
                                  <w:tcW w:w="817" w:type="dxa"/>
                                  <w:shd w:val="clear" w:color="auto" w:fill="auto"/>
                                </w:tcPr>
                                <w:p w14:paraId="3E55104D" w14:textId="77777777" w:rsidR="006033B4" w:rsidRPr="0086760E" w:rsidRDefault="006033B4" w:rsidP="00F80ECB">
                                  <w:r w:rsidRPr="0086760E">
                                    <w:t>-----</w:t>
                                  </w:r>
                                </w:p>
                              </w:tc>
                              <w:tc>
                                <w:tcPr>
                                  <w:tcW w:w="2835" w:type="dxa"/>
                                  <w:gridSpan w:val="2"/>
                                  <w:shd w:val="clear" w:color="auto" w:fill="auto"/>
                                </w:tcPr>
                                <w:p w14:paraId="3E55104E" w14:textId="77777777" w:rsidR="006033B4" w:rsidRPr="0086760E" w:rsidRDefault="006033B4" w:rsidP="00F80ECB">
                                  <w:r w:rsidRPr="0086760E">
                                    <w:t xml:space="preserve">(2) </w:t>
                                  </w:r>
                                  <w:r w:rsidRPr="0086760E">
                                    <w:rPr>
                                      <w:lang w:val="bg-BG"/>
                                    </w:rPr>
                                    <w:t>Иматиниб</w:t>
                                  </w:r>
                                  <w:r w:rsidRPr="0086760E">
                                    <w:t xml:space="preserve"> 36 </w:t>
                                  </w:r>
                                  <w:r w:rsidRPr="0086760E">
                                    <w:rPr>
                                      <w:lang w:val="bg-BG"/>
                                    </w:rPr>
                                    <w:t>Месеца</w:t>
                                  </w:r>
                                  <w:r w:rsidRPr="0086760E">
                                    <w:t>:</w:t>
                                  </w:r>
                                </w:p>
                              </w:tc>
                              <w:tc>
                                <w:tcPr>
                                  <w:tcW w:w="851" w:type="dxa"/>
                                  <w:tcBorders>
                                    <w:bottom w:val="single" w:sz="4" w:space="0" w:color="auto"/>
                                  </w:tcBorders>
                                  <w:shd w:val="clear" w:color="auto" w:fill="auto"/>
                                </w:tcPr>
                                <w:p w14:paraId="3E55104F" w14:textId="77777777" w:rsidR="006033B4" w:rsidRPr="0086760E" w:rsidRDefault="006033B4" w:rsidP="00F80ECB">
                                  <w:r w:rsidRPr="0086760E">
                                    <w:t>198</w:t>
                                  </w:r>
                                </w:p>
                              </w:tc>
                              <w:tc>
                                <w:tcPr>
                                  <w:tcW w:w="709" w:type="dxa"/>
                                  <w:tcBorders>
                                    <w:bottom w:val="single" w:sz="4" w:space="0" w:color="auto"/>
                                  </w:tcBorders>
                                  <w:shd w:val="clear" w:color="auto" w:fill="auto"/>
                                </w:tcPr>
                                <w:p w14:paraId="3E551050" w14:textId="77777777" w:rsidR="006033B4" w:rsidRPr="0086760E" w:rsidRDefault="006033B4" w:rsidP="00F80ECB">
                                  <w:r w:rsidRPr="0086760E">
                                    <w:t>50</w:t>
                                  </w:r>
                                </w:p>
                              </w:tc>
                              <w:tc>
                                <w:tcPr>
                                  <w:tcW w:w="850" w:type="dxa"/>
                                  <w:tcBorders>
                                    <w:bottom w:val="single" w:sz="4" w:space="0" w:color="auto"/>
                                  </w:tcBorders>
                                  <w:shd w:val="clear" w:color="auto" w:fill="auto"/>
                                </w:tcPr>
                                <w:p w14:paraId="3E551051" w14:textId="77777777" w:rsidR="006033B4" w:rsidRPr="0086760E" w:rsidRDefault="006033B4" w:rsidP="00F80ECB">
                                  <w:r w:rsidRPr="0086760E">
                                    <w:t>148</w:t>
                                  </w:r>
                                </w:p>
                              </w:tc>
                            </w:tr>
                            <w:tr w:rsidR="006033B4" w:rsidRPr="0055776F" w14:paraId="3E551058" w14:textId="77777777">
                              <w:tc>
                                <w:tcPr>
                                  <w:tcW w:w="817" w:type="dxa"/>
                                  <w:shd w:val="clear" w:color="auto" w:fill="auto"/>
                                </w:tcPr>
                                <w:p w14:paraId="3E551053" w14:textId="77777777" w:rsidR="006033B4" w:rsidRPr="0086760E" w:rsidRDefault="006033B4" w:rsidP="00F80ECB">
                                  <w:r w:rsidRPr="0086760E">
                                    <w:t>│││</w:t>
                                  </w:r>
                                </w:p>
                              </w:tc>
                              <w:tc>
                                <w:tcPr>
                                  <w:tcW w:w="2835" w:type="dxa"/>
                                  <w:gridSpan w:val="2"/>
                                  <w:shd w:val="clear" w:color="auto" w:fill="auto"/>
                                </w:tcPr>
                                <w:p w14:paraId="3E551054" w14:textId="77777777" w:rsidR="006033B4" w:rsidRPr="0086760E" w:rsidRDefault="006033B4" w:rsidP="00F80ECB">
                                  <w:r w:rsidRPr="0086760E">
                                    <w:rPr>
                                      <w:lang w:val="bg-BG"/>
                                    </w:rPr>
                                    <w:t>Цензурирани наблюдения</w:t>
                                  </w:r>
                                </w:p>
                              </w:tc>
                              <w:tc>
                                <w:tcPr>
                                  <w:tcW w:w="851" w:type="dxa"/>
                                  <w:tcBorders>
                                    <w:top w:val="single" w:sz="4" w:space="0" w:color="auto"/>
                                  </w:tcBorders>
                                  <w:shd w:val="clear" w:color="auto" w:fill="auto"/>
                                </w:tcPr>
                                <w:p w14:paraId="3E551055" w14:textId="77777777" w:rsidR="006033B4" w:rsidRPr="0086760E" w:rsidRDefault="006033B4" w:rsidP="00F80ECB"/>
                              </w:tc>
                              <w:tc>
                                <w:tcPr>
                                  <w:tcW w:w="709" w:type="dxa"/>
                                  <w:tcBorders>
                                    <w:top w:val="single" w:sz="4" w:space="0" w:color="auto"/>
                                  </w:tcBorders>
                                  <w:shd w:val="clear" w:color="auto" w:fill="auto"/>
                                </w:tcPr>
                                <w:p w14:paraId="3E551056" w14:textId="77777777" w:rsidR="006033B4" w:rsidRPr="0086760E" w:rsidRDefault="006033B4" w:rsidP="00F80ECB"/>
                              </w:tc>
                              <w:tc>
                                <w:tcPr>
                                  <w:tcW w:w="850" w:type="dxa"/>
                                  <w:tcBorders>
                                    <w:top w:val="single" w:sz="4" w:space="0" w:color="auto"/>
                                  </w:tcBorders>
                                  <w:shd w:val="clear" w:color="auto" w:fill="auto"/>
                                </w:tcPr>
                                <w:p w14:paraId="3E551057" w14:textId="77777777" w:rsidR="006033B4" w:rsidRPr="0086760E" w:rsidRDefault="006033B4" w:rsidP="00F80ECB"/>
                              </w:tc>
                            </w:tr>
                          </w:tbl>
                          <w:p w14:paraId="3E551059" w14:textId="77777777" w:rsidR="006033B4" w:rsidRPr="00A33DBA" w:rsidRDefault="006033B4" w:rsidP="001B628D">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DA" id="_x0000_s1033" type="#_x0000_t202" style="position:absolute;margin-left:27.6pt;margin-top:91.2pt;width:361.05pt;height:9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371"/>
                        <w:gridCol w:w="851"/>
                        <w:gridCol w:w="709"/>
                        <w:gridCol w:w="850"/>
                      </w:tblGrid>
                      <w:tr w:rsidR="006033B4" w:rsidRPr="0086760E" w14:paraId="3E551040" w14:textId="77777777">
                        <w:trPr>
                          <w:gridAfter w:val="4"/>
                          <w:wAfter w:w="2781" w:type="dxa"/>
                        </w:trPr>
                        <w:tc>
                          <w:tcPr>
                            <w:tcW w:w="3281" w:type="dxa"/>
                            <w:gridSpan w:val="2"/>
                            <w:shd w:val="clear" w:color="auto" w:fill="auto"/>
                          </w:tcPr>
                          <w:p w14:paraId="3E55103D" w14:textId="77777777" w:rsidR="006033B4" w:rsidRPr="0086760E" w:rsidRDefault="006033B4" w:rsidP="00D8384E">
                            <w:r w:rsidRPr="0086760E">
                              <w:t>P &lt; 0</w:t>
                            </w:r>
                            <w:r w:rsidRPr="0086760E">
                              <w:rPr>
                                <w:lang w:val="bg-BG"/>
                              </w:rPr>
                              <w:t>,</w:t>
                            </w:r>
                            <w:r w:rsidRPr="0086760E">
                              <w:t>0001</w:t>
                            </w:r>
                          </w:p>
                          <w:p w14:paraId="3E55103E" w14:textId="77777777" w:rsidR="006033B4" w:rsidRPr="0086760E" w:rsidRDefault="006033B4" w:rsidP="00D8384E">
                            <w:r w:rsidRPr="0086760E">
                              <w:rPr>
                                <w:lang w:val="bg-BG"/>
                              </w:rPr>
                              <w:t>Коефициент на риск</w:t>
                            </w:r>
                            <w:r w:rsidRPr="0086760E">
                              <w:t xml:space="preserve"> 0,46</w:t>
                            </w:r>
                          </w:p>
                          <w:p w14:paraId="3E55103F" w14:textId="77777777" w:rsidR="006033B4" w:rsidRPr="0086760E" w:rsidRDefault="006033B4" w:rsidP="00B33277">
                            <w:pPr>
                              <w:rPr>
                                <w:lang w:val="de-DE"/>
                              </w:rPr>
                            </w:pPr>
                            <w:r w:rsidRPr="0086760E">
                              <w:t xml:space="preserve">(95% </w:t>
                            </w:r>
                            <w:r>
                              <w:t>CI</w:t>
                            </w:r>
                            <w:r w:rsidRPr="0086760E">
                              <w:t>, 0,32</w:t>
                            </w:r>
                            <w:r w:rsidRPr="0086760E">
                              <w:noBreakHyphen/>
                              <w:t>0,65)</w:t>
                            </w:r>
                          </w:p>
                        </w:tc>
                      </w:tr>
                      <w:tr w:rsidR="006033B4" w:rsidRPr="0055776F" w14:paraId="3E551046" w14:textId="77777777">
                        <w:tc>
                          <w:tcPr>
                            <w:tcW w:w="817" w:type="dxa"/>
                            <w:shd w:val="clear" w:color="auto" w:fill="auto"/>
                          </w:tcPr>
                          <w:p w14:paraId="3E551041" w14:textId="77777777" w:rsidR="006033B4" w:rsidRPr="0086760E" w:rsidRDefault="006033B4" w:rsidP="00F80ECB"/>
                        </w:tc>
                        <w:tc>
                          <w:tcPr>
                            <w:tcW w:w="2835" w:type="dxa"/>
                            <w:gridSpan w:val="2"/>
                            <w:shd w:val="clear" w:color="auto" w:fill="auto"/>
                          </w:tcPr>
                          <w:p w14:paraId="3E551042" w14:textId="77777777" w:rsidR="006033B4" w:rsidRPr="0086760E" w:rsidRDefault="006033B4" w:rsidP="00F80ECB"/>
                        </w:tc>
                        <w:tc>
                          <w:tcPr>
                            <w:tcW w:w="851" w:type="dxa"/>
                            <w:tcBorders>
                              <w:bottom w:val="single" w:sz="4" w:space="0" w:color="auto"/>
                            </w:tcBorders>
                            <w:shd w:val="clear" w:color="auto" w:fill="auto"/>
                          </w:tcPr>
                          <w:p w14:paraId="3E551043" w14:textId="77777777" w:rsidR="006033B4" w:rsidRPr="0086760E" w:rsidRDefault="006033B4" w:rsidP="00F80ECB">
                            <w:r w:rsidRPr="0086760E">
                              <w:rPr>
                                <w:lang w:val="de-DE"/>
                              </w:rPr>
                              <w:t>N</w:t>
                            </w:r>
                          </w:p>
                        </w:tc>
                        <w:tc>
                          <w:tcPr>
                            <w:tcW w:w="709" w:type="dxa"/>
                            <w:tcBorders>
                              <w:bottom w:val="single" w:sz="4" w:space="0" w:color="auto"/>
                            </w:tcBorders>
                            <w:shd w:val="clear" w:color="auto" w:fill="auto"/>
                          </w:tcPr>
                          <w:p w14:paraId="3E551044" w14:textId="77777777" w:rsidR="006033B4" w:rsidRPr="0086760E" w:rsidRDefault="006033B4" w:rsidP="00F80ECB">
                            <w:r w:rsidRPr="0086760E">
                              <w:rPr>
                                <w:lang w:val="bg-BG"/>
                              </w:rPr>
                              <w:t>Съб</w:t>
                            </w:r>
                          </w:p>
                        </w:tc>
                        <w:tc>
                          <w:tcPr>
                            <w:tcW w:w="850" w:type="dxa"/>
                            <w:tcBorders>
                              <w:bottom w:val="single" w:sz="4" w:space="0" w:color="auto"/>
                            </w:tcBorders>
                            <w:shd w:val="clear" w:color="auto" w:fill="auto"/>
                          </w:tcPr>
                          <w:p w14:paraId="3E551045" w14:textId="77777777" w:rsidR="006033B4" w:rsidRPr="0086760E" w:rsidRDefault="006033B4" w:rsidP="00F80ECB">
                            <w:r w:rsidRPr="0086760E">
                              <w:rPr>
                                <w:lang w:val="bg-BG"/>
                              </w:rPr>
                              <w:t>Цен</w:t>
                            </w:r>
                          </w:p>
                        </w:tc>
                      </w:tr>
                      <w:tr w:rsidR="006033B4" w:rsidRPr="0055776F" w14:paraId="3E55104C" w14:textId="77777777">
                        <w:tc>
                          <w:tcPr>
                            <w:tcW w:w="817" w:type="dxa"/>
                            <w:shd w:val="clear" w:color="auto" w:fill="auto"/>
                          </w:tcPr>
                          <w:p w14:paraId="3E551047" w14:textId="77777777" w:rsidR="006033B4" w:rsidRPr="0086760E" w:rsidRDefault="006033B4" w:rsidP="00F80ECB">
                            <w:r w:rsidRPr="0086760E">
                              <w:rPr>
                                <w:b/>
                              </w:rPr>
                              <w:t>——</w:t>
                            </w:r>
                          </w:p>
                        </w:tc>
                        <w:tc>
                          <w:tcPr>
                            <w:tcW w:w="2835" w:type="dxa"/>
                            <w:gridSpan w:val="2"/>
                            <w:shd w:val="clear" w:color="auto" w:fill="auto"/>
                          </w:tcPr>
                          <w:p w14:paraId="3E551048" w14:textId="77777777" w:rsidR="006033B4" w:rsidRPr="0086760E" w:rsidRDefault="006033B4" w:rsidP="00F80ECB">
                            <w:r w:rsidRPr="0086760E">
                              <w:t xml:space="preserve">1) </w:t>
                            </w:r>
                            <w:r w:rsidRPr="0086760E">
                              <w:rPr>
                                <w:lang w:val="bg-BG"/>
                              </w:rPr>
                              <w:t>Иматиниб</w:t>
                            </w:r>
                            <w:r w:rsidRPr="0086760E">
                              <w:t xml:space="preserve"> 12 </w:t>
                            </w:r>
                            <w:r w:rsidRPr="0086760E">
                              <w:rPr>
                                <w:lang w:val="bg-BG"/>
                              </w:rPr>
                              <w:t>Месеца</w:t>
                            </w:r>
                            <w:r w:rsidRPr="0086760E">
                              <w:t>:</w:t>
                            </w:r>
                          </w:p>
                        </w:tc>
                        <w:tc>
                          <w:tcPr>
                            <w:tcW w:w="851" w:type="dxa"/>
                            <w:tcBorders>
                              <w:top w:val="single" w:sz="4" w:space="0" w:color="auto"/>
                            </w:tcBorders>
                            <w:shd w:val="clear" w:color="auto" w:fill="auto"/>
                          </w:tcPr>
                          <w:p w14:paraId="3E551049" w14:textId="77777777" w:rsidR="006033B4" w:rsidRPr="0086760E" w:rsidRDefault="006033B4" w:rsidP="00F80ECB">
                            <w:r w:rsidRPr="0086760E">
                              <w:t>199</w:t>
                            </w:r>
                          </w:p>
                        </w:tc>
                        <w:tc>
                          <w:tcPr>
                            <w:tcW w:w="709" w:type="dxa"/>
                            <w:tcBorders>
                              <w:top w:val="single" w:sz="4" w:space="0" w:color="auto"/>
                            </w:tcBorders>
                            <w:shd w:val="clear" w:color="auto" w:fill="auto"/>
                          </w:tcPr>
                          <w:p w14:paraId="3E55104A" w14:textId="77777777" w:rsidR="006033B4" w:rsidRPr="0086760E" w:rsidRDefault="006033B4" w:rsidP="00F80ECB">
                            <w:r w:rsidRPr="0086760E">
                              <w:t>84</w:t>
                            </w:r>
                          </w:p>
                        </w:tc>
                        <w:tc>
                          <w:tcPr>
                            <w:tcW w:w="850" w:type="dxa"/>
                            <w:tcBorders>
                              <w:top w:val="single" w:sz="4" w:space="0" w:color="auto"/>
                            </w:tcBorders>
                            <w:shd w:val="clear" w:color="auto" w:fill="auto"/>
                          </w:tcPr>
                          <w:p w14:paraId="3E55104B" w14:textId="77777777" w:rsidR="006033B4" w:rsidRPr="0086760E" w:rsidRDefault="006033B4" w:rsidP="00F80ECB">
                            <w:r w:rsidRPr="0086760E">
                              <w:t>115</w:t>
                            </w:r>
                          </w:p>
                        </w:tc>
                      </w:tr>
                      <w:tr w:rsidR="006033B4" w:rsidRPr="0055776F" w14:paraId="3E551052" w14:textId="77777777">
                        <w:tc>
                          <w:tcPr>
                            <w:tcW w:w="817" w:type="dxa"/>
                            <w:shd w:val="clear" w:color="auto" w:fill="auto"/>
                          </w:tcPr>
                          <w:p w14:paraId="3E55104D" w14:textId="77777777" w:rsidR="006033B4" w:rsidRPr="0086760E" w:rsidRDefault="006033B4" w:rsidP="00F80ECB">
                            <w:r w:rsidRPr="0086760E">
                              <w:t>-----</w:t>
                            </w:r>
                          </w:p>
                        </w:tc>
                        <w:tc>
                          <w:tcPr>
                            <w:tcW w:w="2835" w:type="dxa"/>
                            <w:gridSpan w:val="2"/>
                            <w:shd w:val="clear" w:color="auto" w:fill="auto"/>
                          </w:tcPr>
                          <w:p w14:paraId="3E55104E" w14:textId="77777777" w:rsidR="006033B4" w:rsidRPr="0086760E" w:rsidRDefault="006033B4" w:rsidP="00F80ECB">
                            <w:r w:rsidRPr="0086760E">
                              <w:t xml:space="preserve">(2) </w:t>
                            </w:r>
                            <w:r w:rsidRPr="0086760E">
                              <w:rPr>
                                <w:lang w:val="bg-BG"/>
                              </w:rPr>
                              <w:t>Иматиниб</w:t>
                            </w:r>
                            <w:r w:rsidRPr="0086760E">
                              <w:t xml:space="preserve"> 36 </w:t>
                            </w:r>
                            <w:r w:rsidRPr="0086760E">
                              <w:rPr>
                                <w:lang w:val="bg-BG"/>
                              </w:rPr>
                              <w:t>Месеца</w:t>
                            </w:r>
                            <w:r w:rsidRPr="0086760E">
                              <w:t>:</w:t>
                            </w:r>
                          </w:p>
                        </w:tc>
                        <w:tc>
                          <w:tcPr>
                            <w:tcW w:w="851" w:type="dxa"/>
                            <w:tcBorders>
                              <w:bottom w:val="single" w:sz="4" w:space="0" w:color="auto"/>
                            </w:tcBorders>
                            <w:shd w:val="clear" w:color="auto" w:fill="auto"/>
                          </w:tcPr>
                          <w:p w14:paraId="3E55104F" w14:textId="77777777" w:rsidR="006033B4" w:rsidRPr="0086760E" w:rsidRDefault="006033B4" w:rsidP="00F80ECB">
                            <w:r w:rsidRPr="0086760E">
                              <w:t>198</w:t>
                            </w:r>
                          </w:p>
                        </w:tc>
                        <w:tc>
                          <w:tcPr>
                            <w:tcW w:w="709" w:type="dxa"/>
                            <w:tcBorders>
                              <w:bottom w:val="single" w:sz="4" w:space="0" w:color="auto"/>
                            </w:tcBorders>
                            <w:shd w:val="clear" w:color="auto" w:fill="auto"/>
                          </w:tcPr>
                          <w:p w14:paraId="3E551050" w14:textId="77777777" w:rsidR="006033B4" w:rsidRPr="0086760E" w:rsidRDefault="006033B4" w:rsidP="00F80ECB">
                            <w:r w:rsidRPr="0086760E">
                              <w:t>50</w:t>
                            </w:r>
                          </w:p>
                        </w:tc>
                        <w:tc>
                          <w:tcPr>
                            <w:tcW w:w="850" w:type="dxa"/>
                            <w:tcBorders>
                              <w:bottom w:val="single" w:sz="4" w:space="0" w:color="auto"/>
                            </w:tcBorders>
                            <w:shd w:val="clear" w:color="auto" w:fill="auto"/>
                          </w:tcPr>
                          <w:p w14:paraId="3E551051" w14:textId="77777777" w:rsidR="006033B4" w:rsidRPr="0086760E" w:rsidRDefault="006033B4" w:rsidP="00F80ECB">
                            <w:r w:rsidRPr="0086760E">
                              <w:t>148</w:t>
                            </w:r>
                          </w:p>
                        </w:tc>
                      </w:tr>
                      <w:tr w:rsidR="006033B4" w:rsidRPr="0055776F" w14:paraId="3E551058" w14:textId="77777777">
                        <w:tc>
                          <w:tcPr>
                            <w:tcW w:w="817" w:type="dxa"/>
                            <w:shd w:val="clear" w:color="auto" w:fill="auto"/>
                          </w:tcPr>
                          <w:p w14:paraId="3E551053" w14:textId="77777777" w:rsidR="006033B4" w:rsidRPr="0086760E" w:rsidRDefault="006033B4" w:rsidP="00F80ECB">
                            <w:r w:rsidRPr="0086760E">
                              <w:t>│││</w:t>
                            </w:r>
                          </w:p>
                        </w:tc>
                        <w:tc>
                          <w:tcPr>
                            <w:tcW w:w="2835" w:type="dxa"/>
                            <w:gridSpan w:val="2"/>
                            <w:shd w:val="clear" w:color="auto" w:fill="auto"/>
                          </w:tcPr>
                          <w:p w14:paraId="3E551054" w14:textId="77777777" w:rsidR="006033B4" w:rsidRPr="0086760E" w:rsidRDefault="006033B4" w:rsidP="00F80ECB">
                            <w:r w:rsidRPr="0086760E">
                              <w:rPr>
                                <w:lang w:val="bg-BG"/>
                              </w:rPr>
                              <w:t>Цензурирани наблюдения</w:t>
                            </w:r>
                          </w:p>
                        </w:tc>
                        <w:tc>
                          <w:tcPr>
                            <w:tcW w:w="851" w:type="dxa"/>
                            <w:tcBorders>
                              <w:top w:val="single" w:sz="4" w:space="0" w:color="auto"/>
                            </w:tcBorders>
                            <w:shd w:val="clear" w:color="auto" w:fill="auto"/>
                          </w:tcPr>
                          <w:p w14:paraId="3E551055" w14:textId="77777777" w:rsidR="006033B4" w:rsidRPr="0086760E" w:rsidRDefault="006033B4" w:rsidP="00F80ECB"/>
                        </w:tc>
                        <w:tc>
                          <w:tcPr>
                            <w:tcW w:w="709" w:type="dxa"/>
                            <w:tcBorders>
                              <w:top w:val="single" w:sz="4" w:space="0" w:color="auto"/>
                            </w:tcBorders>
                            <w:shd w:val="clear" w:color="auto" w:fill="auto"/>
                          </w:tcPr>
                          <w:p w14:paraId="3E551056" w14:textId="77777777" w:rsidR="006033B4" w:rsidRPr="0086760E" w:rsidRDefault="006033B4" w:rsidP="00F80ECB"/>
                        </w:tc>
                        <w:tc>
                          <w:tcPr>
                            <w:tcW w:w="850" w:type="dxa"/>
                            <w:tcBorders>
                              <w:top w:val="single" w:sz="4" w:space="0" w:color="auto"/>
                            </w:tcBorders>
                            <w:shd w:val="clear" w:color="auto" w:fill="auto"/>
                          </w:tcPr>
                          <w:p w14:paraId="3E551057" w14:textId="77777777" w:rsidR="006033B4" w:rsidRPr="0086760E" w:rsidRDefault="006033B4" w:rsidP="00F80ECB"/>
                        </w:tc>
                      </w:tr>
                    </w:tbl>
                    <w:p w14:paraId="3E551059" w14:textId="77777777" w:rsidR="006033B4" w:rsidRPr="00A33DBA" w:rsidRDefault="006033B4" w:rsidP="001B628D">
                      <w:pPr>
                        <w:rPr>
                          <w:rFonts w:ascii="Arial" w:hAnsi="Arial" w:cs="Arial"/>
                          <w:sz w:val="20"/>
                        </w:rPr>
                      </w:pPr>
                    </w:p>
                  </w:txbxContent>
                </v:textbox>
              </v:shape>
            </w:pict>
          </mc:Fallback>
        </mc:AlternateContent>
      </w:r>
      <w:r w:rsidRPr="00FE6AC6">
        <w:rPr>
          <w:rFonts w:eastAsia="MS Mincho"/>
          <w:noProof/>
          <w:szCs w:val="22"/>
          <w:lang w:val="en-US"/>
        </w:rPr>
        <mc:AlternateContent>
          <mc:Choice Requires="wps">
            <w:drawing>
              <wp:anchor distT="0" distB="0" distL="114300" distR="114300" simplePos="0" relativeHeight="251659264" behindDoc="0" locked="0" layoutInCell="1" allowOverlap="1" wp14:anchorId="3E550FDC" wp14:editId="3E550FDD">
                <wp:simplePos x="0" y="0"/>
                <wp:positionH relativeFrom="column">
                  <wp:posOffset>1986915</wp:posOffset>
                </wp:positionH>
                <wp:positionV relativeFrom="paragraph">
                  <wp:posOffset>2679700</wp:posOffset>
                </wp:positionV>
                <wp:extent cx="1665605" cy="3333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605" cy="333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5105A" w14:textId="77777777" w:rsidR="006033B4" w:rsidRPr="0086760E" w:rsidRDefault="006033B4" w:rsidP="001B628D">
                            <w:r w:rsidRPr="0086760E">
                              <w:rPr>
                                <w:lang w:val="bg-BG"/>
                              </w:rPr>
                              <w:t>Преживяемост в месеци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DC" id="_x0000_s1034" type="#_x0000_t202" style="position:absolute;margin-left:156.45pt;margin-top:211pt;width:131.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" stroked="f">
                <v:fill opacity="0"/>
                <v:textbox>
                  <w:txbxContent>
                    <w:p w14:paraId="3E55105A" w14:textId="77777777" w:rsidR="006033B4" w:rsidRPr="0086760E" w:rsidRDefault="006033B4" w:rsidP="001B628D">
                      <w:r w:rsidRPr="0086760E">
                        <w:rPr>
                          <w:lang w:val="bg-BG"/>
                        </w:rPr>
                        <w:t>Преживяемост в месеци</w:t>
                      </w:r>
                    </w:p>
                  </w:txbxContent>
                </v:textbox>
              </v:shape>
            </w:pict>
          </mc:Fallback>
        </mc:AlternateContent>
      </w:r>
      <w:r w:rsidRPr="00FE6AC6">
        <w:rPr>
          <w:noProof/>
          <w:lang w:val="en-US"/>
        </w:rPr>
        <w:drawing>
          <wp:inline distT="0" distB="0" distL="0" distR="0" wp14:anchorId="3E550FDE" wp14:editId="3E550FDF">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3E5505E6" w14:textId="77777777" w:rsidR="001B628D" w:rsidRPr="00FE6AC6" w:rsidRDefault="001B628D" w:rsidP="0063575E">
      <w:pPr>
        <w:keepNext/>
        <w:keepLines/>
        <w:widowControl w:val="0"/>
        <w:tabs>
          <w:tab w:val="clear" w:pos="567"/>
        </w:tabs>
        <w:spacing w:line="240" w:lineRule="auto"/>
        <w:rPr>
          <w:rFonts w:eastAsia="MS Mincho"/>
          <w:szCs w:val="22"/>
          <w:lang w:val="en-US"/>
        </w:rPr>
      </w:pPr>
    </w:p>
    <w:p w14:paraId="3E5505E7" w14:textId="77777777" w:rsidR="001B628D" w:rsidRPr="00FE6AC6" w:rsidRDefault="001B628D" w:rsidP="0063575E">
      <w:pPr>
        <w:keepNext/>
        <w:keepLines/>
        <w:widowControl w:val="0"/>
        <w:spacing w:line="240" w:lineRule="auto"/>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1B628D" w:rsidRPr="00FE6AC6" w14:paraId="3E5505E9" w14:textId="77777777" w:rsidTr="001342AA">
        <w:tc>
          <w:tcPr>
            <w:tcW w:w="10599" w:type="dxa"/>
            <w:gridSpan w:val="16"/>
            <w:shd w:val="clear" w:color="auto" w:fill="auto"/>
          </w:tcPr>
          <w:p w14:paraId="3E5505E8" w14:textId="77777777" w:rsidR="001B628D" w:rsidRPr="00FE6AC6" w:rsidRDefault="001B628D" w:rsidP="0063575E">
            <w:pPr>
              <w:keepNext/>
              <w:keepLines/>
              <w:widowControl w:val="0"/>
              <w:spacing w:line="240" w:lineRule="auto"/>
              <w:ind w:left="-27"/>
              <w:rPr>
                <w:sz w:val="16"/>
                <w:szCs w:val="16"/>
              </w:rPr>
            </w:pPr>
            <w:r w:rsidRPr="00FE6AC6">
              <w:rPr>
                <w:lang w:val="bg-BG"/>
              </w:rPr>
              <w:t>Изложени на риск: Събития</w:t>
            </w:r>
          </w:p>
        </w:tc>
      </w:tr>
      <w:tr w:rsidR="001B628D" w:rsidRPr="00FE6AC6" w14:paraId="3E5505FA" w14:textId="77777777" w:rsidTr="001342AA">
        <w:tc>
          <w:tcPr>
            <w:tcW w:w="450" w:type="dxa"/>
            <w:shd w:val="clear" w:color="auto" w:fill="auto"/>
          </w:tcPr>
          <w:p w14:paraId="3E5505EA" w14:textId="77777777" w:rsidR="001B628D" w:rsidRPr="00FE6AC6" w:rsidRDefault="001B628D" w:rsidP="0063575E">
            <w:pPr>
              <w:keepNext/>
              <w:keepLines/>
              <w:widowControl w:val="0"/>
              <w:spacing w:line="240" w:lineRule="auto"/>
              <w:rPr>
                <w:sz w:val="18"/>
                <w:szCs w:val="18"/>
              </w:rPr>
            </w:pPr>
            <w:r w:rsidRPr="00FE6AC6">
              <w:rPr>
                <w:sz w:val="18"/>
                <w:szCs w:val="18"/>
              </w:rPr>
              <w:t>(1)</w:t>
            </w:r>
          </w:p>
        </w:tc>
        <w:tc>
          <w:tcPr>
            <w:tcW w:w="646" w:type="dxa"/>
            <w:shd w:val="clear" w:color="auto" w:fill="auto"/>
          </w:tcPr>
          <w:p w14:paraId="3E5505EB" w14:textId="77777777" w:rsidR="001B628D" w:rsidRPr="00FE6AC6" w:rsidRDefault="001B628D" w:rsidP="0063575E">
            <w:pPr>
              <w:keepNext/>
              <w:keepLines/>
              <w:widowControl w:val="0"/>
              <w:spacing w:line="240" w:lineRule="auto"/>
              <w:ind w:left="-27"/>
              <w:rPr>
                <w:sz w:val="18"/>
                <w:szCs w:val="18"/>
              </w:rPr>
            </w:pPr>
            <w:r w:rsidRPr="00FE6AC6">
              <w:rPr>
                <w:sz w:val="18"/>
                <w:szCs w:val="18"/>
              </w:rPr>
              <w:t>199:0</w:t>
            </w:r>
          </w:p>
        </w:tc>
        <w:tc>
          <w:tcPr>
            <w:tcW w:w="645" w:type="dxa"/>
            <w:shd w:val="clear" w:color="auto" w:fill="auto"/>
          </w:tcPr>
          <w:p w14:paraId="3E5505EC" w14:textId="77777777" w:rsidR="001B628D" w:rsidRPr="00FE6AC6" w:rsidRDefault="001B628D" w:rsidP="0063575E">
            <w:pPr>
              <w:keepNext/>
              <w:keepLines/>
              <w:widowControl w:val="0"/>
              <w:spacing w:line="240" w:lineRule="auto"/>
              <w:ind w:left="-27"/>
              <w:rPr>
                <w:sz w:val="18"/>
                <w:szCs w:val="18"/>
              </w:rPr>
            </w:pPr>
            <w:r w:rsidRPr="00FE6AC6">
              <w:rPr>
                <w:sz w:val="18"/>
                <w:szCs w:val="18"/>
              </w:rPr>
              <w:t>182:8</w:t>
            </w:r>
          </w:p>
        </w:tc>
        <w:tc>
          <w:tcPr>
            <w:tcW w:w="745" w:type="dxa"/>
            <w:shd w:val="clear" w:color="auto" w:fill="auto"/>
          </w:tcPr>
          <w:p w14:paraId="3E5505ED" w14:textId="77777777" w:rsidR="001B628D" w:rsidRPr="00FE6AC6" w:rsidRDefault="001B628D" w:rsidP="0063575E">
            <w:pPr>
              <w:keepNext/>
              <w:keepLines/>
              <w:widowControl w:val="0"/>
              <w:spacing w:line="240" w:lineRule="auto"/>
              <w:ind w:left="-27"/>
              <w:rPr>
                <w:sz w:val="18"/>
                <w:szCs w:val="18"/>
              </w:rPr>
            </w:pPr>
            <w:r w:rsidRPr="00FE6AC6">
              <w:rPr>
                <w:sz w:val="18"/>
                <w:szCs w:val="18"/>
              </w:rPr>
              <w:t>177:12</w:t>
            </w:r>
          </w:p>
        </w:tc>
        <w:tc>
          <w:tcPr>
            <w:tcW w:w="745" w:type="dxa"/>
            <w:shd w:val="clear" w:color="auto" w:fill="auto"/>
          </w:tcPr>
          <w:p w14:paraId="3E5505EE" w14:textId="77777777" w:rsidR="001B628D" w:rsidRPr="00FE6AC6" w:rsidRDefault="001B628D" w:rsidP="0063575E">
            <w:pPr>
              <w:keepNext/>
              <w:keepLines/>
              <w:widowControl w:val="0"/>
              <w:spacing w:line="240" w:lineRule="auto"/>
              <w:ind w:left="-27"/>
              <w:rPr>
                <w:sz w:val="18"/>
                <w:szCs w:val="18"/>
              </w:rPr>
            </w:pPr>
            <w:r w:rsidRPr="00FE6AC6">
              <w:rPr>
                <w:sz w:val="18"/>
                <w:szCs w:val="18"/>
              </w:rPr>
              <w:t>163:25</w:t>
            </w:r>
          </w:p>
        </w:tc>
        <w:tc>
          <w:tcPr>
            <w:tcW w:w="745" w:type="dxa"/>
            <w:shd w:val="clear" w:color="auto" w:fill="auto"/>
          </w:tcPr>
          <w:p w14:paraId="3E5505EF" w14:textId="77777777" w:rsidR="001B628D" w:rsidRPr="00FE6AC6" w:rsidRDefault="001B628D" w:rsidP="0063575E">
            <w:pPr>
              <w:keepNext/>
              <w:keepLines/>
              <w:widowControl w:val="0"/>
              <w:spacing w:line="240" w:lineRule="auto"/>
              <w:ind w:left="-27"/>
              <w:rPr>
                <w:sz w:val="18"/>
                <w:szCs w:val="18"/>
              </w:rPr>
            </w:pPr>
            <w:r w:rsidRPr="00FE6AC6">
              <w:rPr>
                <w:sz w:val="18"/>
                <w:szCs w:val="18"/>
              </w:rPr>
              <w:t>137:46</w:t>
            </w:r>
          </w:p>
        </w:tc>
        <w:tc>
          <w:tcPr>
            <w:tcW w:w="752" w:type="dxa"/>
            <w:shd w:val="clear" w:color="auto" w:fill="auto"/>
          </w:tcPr>
          <w:p w14:paraId="3E5505F0" w14:textId="77777777" w:rsidR="001B628D" w:rsidRPr="00FE6AC6" w:rsidRDefault="001B628D" w:rsidP="0063575E">
            <w:pPr>
              <w:keepNext/>
              <w:keepLines/>
              <w:widowControl w:val="0"/>
              <w:spacing w:line="240" w:lineRule="auto"/>
              <w:ind w:left="-27"/>
              <w:rPr>
                <w:sz w:val="18"/>
                <w:szCs w:val="18"/>
              </w:rPr>
            </w:pPr>
            <w:r w:rsidRPr="00FE6AC6">
              <w:rPr>
                <w:sz w:val="18"/>
                <w:szCs w:val="18"/>
              </w:rPr>
              <w:t>105:65</w:t>
            </w:r>
          </w:p>
        </w:tc>
        <w:tc>
          <w:tcPr>
            <w:tcW w:w="745" w:type="dxa"/>
            <w:shd w:val="clear" w:color="auto" w:fill="auto"/>
          </w:tcPr>
          <w:p w14:paraId="3E5505F1" w14:textId="77777777" w:rsidR="001B628D" w:rsidRPr="00FE6AC6" w:rsidRDefault="001B628D" w:rsidP="0063575E">
            <w:pPr>
              <w:keepNext/>
              <w:keepLines/>
              <w:widowControl w:val="0"/>
              <w:spacing w:line="240" w:lineRule="auto"/>
              <w:ind w:left="-27"/>
              <w:rPr>
                <w:sz w:val="18"/>
                <w:szCs w:val="18"/>
              </w:rPr>
            </w:pPr>
            <w:r w:rsidRPr="00FE6AC6">
              <w:rPr>
                <w:sz w:val="18"/>
                <w:szCs w:val="18"/>
              </w:rPr>
              <w:t>88:72</w:t>
            </w:r>
          </w:p>
        </w:tc>
        <w:tc>
          <w:tcPr>
            <w:tcW w:w="745" w:type="dxa"/>
            <w:shd w:val="clear" w:color="auto" w:fill="auto"/>
          </w:tcPr>
          <w:p w14:paraId="3E5505F2" w14:textId="77777777" w:rsidR="001B628D" w:rsidRPr="00FE6AC6" w:rsidRDefault="001B628D" w:rsidP="0063575E">
            <w:pPr>
              <w:keepNext/>
              <w:keepLines/>
              <w:widowControl w:val="0"/>
              <w:spacing w:line="240" w:lineRule="auto"/>
              <w:ind w:left="-27"/>
              <w:rPr>
                <w:sz w:val="18"/>
                <w:szCs w:val="18"/>
              </w:rPr>
            </w:pPr>
            <w:r w:rsidRPr="00FE6AC6">
              <w:rPr>
                <w:sz w:val="18"/>
                <w:szCs w:val="18"/>
              </w:rPr>
              <w:t>61:77</w:t>
            </w:r>
          </w:p>
        </w:tc>
        <w:tc>
          <w:tcPr>
            <w:tcW w:w="652" w:type="dxa"/>
            <w:shd w:val="clear" w:color="auto" w:fill="auto"/>
          </w:tcPr>
          <w:p w14:paraId="3E5505F3" w14:textId="77777777" w:rsidR="001B628D" w:rsidRPr="00FE6AC6" w:rsidRDefault="001B628D" w:rsidP="0063575E">
            <w:pPr>
              <w:keepNext/>
              <w:keepLines/>
              <w:widowControl w:val="0"/>
              <w:spacing w:line="240" w:lineRule="auto"/>
              <w:ind w:left="-27"/>
              <w:rPr>
                <w:sz w:val="18"/>
                <w:szCs w:val="18"/>
              </w:rPr>
            </w:pPr>
            <w:r w:rsidRPr="00FE6AC6">
              <w:rPr>
                <w:sz w:val="18"/>
                <w:szCs w:val="18"/>
              </w:rPr>
              <w:t>49:81</w:t>
            </w:r>
          </w:p>
        </w:tc>
        <w:tc>
          <w:tcPr>
            <w:tcW w:w="652" w:type="dxa"/>
            <w:shd w:val="clear" w:color="auto" w:fill="auto"/>
          </w:tcPr>
          <w:p w14:paraId="3E5505F4" w14:textId="77777777" w:rsidR="001B628D" w:rsidRPr="00FE6AC6" w:rsidRDefault="001B628D" w:rsidP="0063575E">
            <w:pPr>
              <w:keepNext/>
              <w:keepLines/>
              <w:widowControl w:val="0"/>
              <w:spacing w:line="240" w:lineRule="auto"/>
              <w:ind w:left="-27"/>
              <w:rPr>
                <w:sz w:val="18"/>
                <w:szCs w:val="18"/>
              </w:rPr>
            </w:pPr>
            <w:r w:rsidRPr="00FE6AC6">
              <w:rPr>
                <w:sz w:val="18"/>
                <w:szCs w:val="18"/>
              </w:rPr>
              <w:t>36:83</w:t>
            </w:r>
          </w:p>
        </w:tc>
        <w:tc>
          <w:tcPr>
            <w:tcW w:w="649" w:type="dxa"/>
            <w:shd w:val="clear" w:color="auto" w:fill="auto"/>
          </w:tcPr>
          <w:p w14:paraId="3E5505F5" w14:textId="77777777" w:rsidR="001B628D" w:rsidRPr="00FE6AC6" w:rsidRDefault="001B628D" w:rsidP="0063575E">
            <w:pPr>
              <w:keepNext/>
              <w:keepLines/>
              <w:widowControl w:val="0"/>
              <w:spacing w:line="240" w:lineRule="auto"/>
              <w:ind w:left="-27"/>
              <w:rPr>
                <w:sz w:val="18"/>
                <w:szCs w:val="18"/>
              </w:rPr>
            </w:pPr>
            <w:r w:rsidRPr="00FE6AC6">
              <w:rPr>
                <w:sz w:val="18"/>
                <w:szCs w:val="18"/>
              </w:rPr>
              <w:t>27:84</w:t>
            </w:r>
          </w:p>
        </w:tc>
        <w:tc>
          <w:tcPr>
            <w:tcW w:w="660" w:type="dxa"/>
            <w:shd w:val="clear" w:color="auto" w:fill="auto"/>
          </w:tcPr>
          <w:p w14:paraId="3E5505F6" w14:textId="77777777" w:rsidR="001B628D" w:rsidRPr="00FE6AC6" w:rsidRDefault="001B628D" w:rsidP="0063575E">
            <w:pPr>
              <w:keepNext/>
              <w:keepLines/>
              <w:widowControl w:val="0"/>
              <w:spacing w:line="240" w:lineRule="auto"/>
              <w:ind w:left="-27"/>
              <w:rPr>
                <w:sz w:val="18"/>
                <w:szCs w:val="18"/>
              </w:rPr>
            </w:pPr>
            <w:r w:rsidRPr="00FE6AC6">
              <w:rPr>
                <w:sz w:val="18"/>
                <w:szCs w:val="18"/>
              </w:rPr>
              <w:t>14:84</w:t>
            </w:r>
          </w:p>
        </w:tc>
        <w:tc>
          <w:tcPr>
            <w:tcW w:w="649" w:type="dxa"/>
            <w:shd w:val="clear" w:color="auto" w:fill="auto"/>
          </w:tcPr>
          <w:p w14:paraId="3E5505F7" w14:textId="77777777" w:rsidR="001B628D" w:rsidRPr="00FE6AC6" w:rsidRDefault="001B628D" w:rsidP="0063575E">
            <w:pPr>
              <w:keepNext/>
              <w:keepLines/>
              <w:widowControl w:val="0"/>
              <w:spacing w:line="240" w:lineRule="auto"/>
              <w:ind w:left="-27"/>
              <w:rPr>
                <w:sz w:val="18"/>
                <w:szCs w:val="18"/>
              </w:rPr>
            </w:pPr>
            <w:r w:rsidRPr="00FE6AC6">
              <w:rPr>
                <w:sz w:val="18"/>
                <w:szCs w:val="18"/>
              </w:rPr>
              <w:t>10:84</w:t>
            </w:r>
          </w:p>
        </w:tc>
        <w:tc>
          <w:tcPr>
            <w:tcW w:w="564" w:type="dxa"/>
            <w:shd w:val="clear" w:color="auto" w:fill="auto"/>
          </w:tcPr>
          <w:p w14:paraId="3E5505F8" w14:textId="77777777" w:rsidR="001B628D" w:rsidRPr="00FE6AC6" w:rsidRDefault="001B628D" w:rsidP="0063575E">
            <w:pPr>
              <w:keepNext/>
              <w:keepLines/>
              <w:widowControl w:val="0"/>
              <w:spacing w:line="240" w:lineRule="auto"/>
              <w:ind w:left="-27"/>
              <w:rPr>
                <w:sz w:val="18"/>
                <w:szCs w:val="18"/>
              </w:rPr>
            </w:pPr>
            <w:r w:rsidRPr="00FE6AC6">
              <w:rPr>
                <w:sz w:val="18"/>
                <w:szCs w:val="18"/>
              </w:rPr>
              <w:t>2:84</w:t>
            </w:r>
          </w:p>
        </w:tc>
        <w:tc>
          <w:tcPr>
            <w:tcW w:w="555" w:type="dxa"/>
            <w:shd w:val="clear" w:color="auto" w:fill="auto"/>
          </w:tcPr>
          <w:p w14:paraId="3E5505F9" w14:textId="77777777" w:rsidR="001B628D" w:rsidRPr="00FE6AC6" w:rsidRDefault="001B628D" w:rsidP="0063575E">
            <w:pPr>
              <w:keepNext/>
              <w:keepLines/>
              <w:widowControl w:val="0"/>
              <w:spacing w:line="240" w:lineRule="auto"/>
              <w:ind w:left="-27"/>
              <w:rPr>
                <w:sz w:val="18"/>
                <w:szCs w:val="18"/>
              </w:rPr>
            </w:pPr>
            <w:r w:rsidRPr="00FE6AC6">
              <w:rPr>
                <w:sz w:val="18"/>
                <w:szCs w:val="18"/>
              </w:rPr>
              <w:t>0:84</w:t>
            </w:r>
          </w:p>
        </w:tc>
      </w:tr>
      <w:tr w:rsidR="001B628D" w:rsidRPr="00FE6AC6" w14:paraId="3E55060B" w14:textId="77777777" w:rsidTr="001342AA">
        <w:tc>
          <w:tcPr>
            <w:tcW w:w="450" w:type="dxa"/>
            <w:shd w:val="clear" w:color="auto" w:fill="auto"/>
          </w:tcPr>
          <w:p w14:paraId="3E5505FB" w14:textId="77777777" w:rsidR="001B628D" w:rsidRPr="00FE6AC6" w:rsidRDefault="001B628D" w:rsidP="0063575E">
            <w:pPr>
              <w:keepNext/>
              <w:keepLines/>
              <w:widowControl w:val="0"/>
              <w:spacing w:line="240" w:lineRule="auto"/>
              <w:rPr>
                <w:sz w:val="18"/>
                <w:szCs w:val="18"/>
              </w:rPr>
            </w:pPr>
            <w:r w:rsidRPr="00FE6AC6">
              <w:rPr>
                <w:sz w:val="18"/>
                <w:szCs w:val="18"/>
              </w:rPr>
              <w:t>(2)</w:t>
            </w:r>
          </w:p>
        </w:tc>
        <w:tc>
          <w:tcPr>
            <w:tcW w:w="646" w:type="dxa"/>
            <w:shd w:val="clear" w:color="auto" w:fill="auto"/>
          </w:tcPr>
          <w:p w14:paraId="3E5505FC" w14:textId="77777777" w:rsidR="001B628D" w:rsidRPr="00FE6AC6" w:rsidRDefault="001B628D" w:rsidP="0063575E">
            <w:pPr>
              <w:keepNext/>
              <w:keepLines/>
              <w:widowControl w:val="0"/>
              <w:spacing w:line="240" w:lineRule="auto"/>
              <w:ind w:left="-27"/>
              <w:rPr>
                <w:sz w:val="18"/>
                <w:szCs w:val="18"/>
              </w:rPr>
            </w:pPr>
            <w:r w:rsidRPr="00FE6AC6">
              <w:rPr>
                <w:sz w:val="18"/>
                <w:szCs w:val="18"/>
              </w:rPr>
              <w:t>198:0</w:t>
            </w:r>
          </w:p>
        </w:tc>
        <w:tc>
          <w:tcPr>
            <w:tcW w:w="645" w:type="dxa"/>
            <w:shd w:val="clear" w:color="auto" w:fill="auto"/>
          </w:tcPr>
          <w:p w14:paraId="3E5505FD" w14:textId="77777777" w:rsidR="001B628D" w:rsidRPr="00FE6AC6" w:rsidRDefault="001B628D" w:rsidP="0063575E">
            <w:pPr>
              <w:keepNext/>
              <w:keepLines/>
              <w:widowControl w:val="0"/>
              <w:spacing w:line="240" w:lineRule="auto"/>
              <w:ind w:left="-27"/>
              <w:rPr>
                <w:sz w:val="18"/>
                <w:szCs w:val="18"/>
              </w:rPr>
            </w:pPr>
            <w:r w:rsidRPr="00FE6AC6">
              <w:rPr>
                <w:sz w:val="18"/>
                <w:szCs w:val="18"/>
              </w:rPr>
              <w:t>189:5</w:t>
            </w:r>
          </w:p>
        </w:tc>
        <w:tc>
          <w:tcPr>
            <w:tcW w:w="745" w:type="dxa"/>
            <w:shd w:val="clear" w:color="auto" w:fill="auto"/>
          </w:tcPr>
          <w:p w14:paraId="3E5505FE" w14:textId="77777777" w:rsidR="001B628D" w:rsidRPr="00FE6AC6" w:rsidRDefault="001B628D" w:rsidP="0063575E">
            <w:pPr>
              <w:keepNext/>
              <w:keepLines/>
              <w:widowControl w:val="0"/>
              <w:spacing w:line="240" w:lineRule="auto"/>
              <w:ind w:left="-27"/>
              <w:rPr>
                <w:sz w:val="18"/>
                <w:szCs w:val="18"/>
              </w:rPr>
            </w:pPr>
            <w:r w:rsidRPr="00FE6AC6">
              <w:rPr>
                <w:sz w:val="18"/>
                <w:szCs w:val="18"/>
              </w:rPr>
              <w:t>184:8</w:t>
            </w:r>
          </w:p>
        </w:tc>
        <w:tc>
          <w:tcPr>
            <w:tcW w:w="745" w:type="dxa"/>
            <w:shd w:val="clear" w:color="auto" w:fill="auto"/>
          </w:tcPr>
          <w:p w14:paraId="3E5505FF" w14:textId="77777777" w:rsidR="001B628D" w:rsidRPr="00FE6AC6" w:rsidRDefault="001B628D" w:rsidP="0063575E">
            <w:pPr>
              <w:keepNext/>
              <w:keepLines/>
              <w:widowControl w:val="0"/>
              <w:spacing w:line="240" w:lineRule="auto"/>
              <w:ind w:left="-27"/>
              <w:rPr>
                <w:sz w:val="18"/>
                <w:szCs w:val="18"/>
              </w:rPr>
            </w:pPr>
            <w:r w:rsidRPr="00FE6AC6">
              <w:rPr>
                <w:sz w:val="18"/>
                <w:szCs w:val="18"/>
              </w:rPr>
              <w:t>181:11</w:t>
            </w:r>
          </w:p>
        </w:tc>
        <w:tc>
          <w:tcPr>
            <w:tcW w:w="745" w:type="dxa"/>
            <w:shd w:val="clear" w:color="auto" w:fill="auto"/>
          </w:tcPr>
          <w:p w14:paraId="3E550600" w14:textId="77777777" w:rsidR="001B628D" w:rsidRPr="00FE6AC6" w:rsidRDefault="001B628D" w:rsidP="0063575E">
            <w:pPr>
              <w:keepNext/>
              <w:keepLines/>
              <w:widowControl w:val="0"/>
              <w:spacing w:line="240" w:lineRule="auto"/>
              <w:ind w:left="-27"/>
              <w:rPr>
                <w:sz w:val="18"/>
                <w:szCs w:val="18"/>
              </w:rPr>
            </w:pPr>
            <w:r w:rsidRPr="00FE6AC6">
              <w:rPr>
                <w:sz w:val="18"/>
                <w:szCs w:val="18"/>
              </w:rPr>
              <w:t>173:18</w:t>
            </w:r>
          </w:p>
        </w:tc>
        <w:tc>
          <w:tcPr>
            <w:tcW w:w="752" w:type="dxa"/>
            <w:shd w:val="clear" w:color="auto" w:fill="auto"/>
          </w:tcPr>
          <w:p w14:paraId="3E550601" w14:textId="77777777" w:rsidR="001B628D" w:rsidRPr="00FE6AC6" w:rsidRDefault="001B628D" w:rsidP="0063575E">
            <w:pPr>
              <w:keepNext/>
              <w:keepLines/>
              <w:widowControl w:val="0"/>
              <w:spacing w:line="240" w:lineRule="auto"/>
              <w:ind w:left="-27"/>
              <w:rPr>
                <w:sz w:val="18"/>
                <w:szCs w:val="18"/>
              </w:rPr>
            </w:pPr>
            <w:r w:rsidRPr="00FE6AC6">
              <w:rPr>
                <w:sz w:val="18"/>
                <w:szCs w:val="18"/>
              </w:rPr>
              <w:t>152:22</w:t>
            </w:r>
          </w:p>
        </w:tc>
        <w:tc>
          <w:tcPr>
            <w:tcW w:w="745" w:type="dxa"/>
            <w:shd w:val="clear" w:color="auto" w:fill="auto"/>
          </w:tcPr>
          <w:p w14:paraId="3E550602" w14:textId="77777777" w:rsidR="001B628D" w:rsidRPr="00FE6AC6" w:rsidRDefault="001B628D" w:rsidP="0063575E">
            <w:pPr>
              <w:keepNext/>
              <w:keepLines/>
              <w:widowControl w:val="0"/>
              <w:spacing w:line="240" w:lineRule="auto"/>
              <w:ind w:left="-27"/>
              <w:rPr>
                <w:sz w:val="18"/>
                <w:szCs w:val="18"/>
              </w:rPr>
            </w:pPr>
            <w:r w:rsidRPr="00FE6AC6">
              <w:rPr>
                <w:sz w:val="18"/>
                <w:szCs w:val="18"/>
              </w:rPr>
              <w:t>133:25</w:t>
            </w:r>
          </w:p>
        </w:tc>
        <w:tc>
          <w:tcPr>
            <w:tcW w:w="745" w:type="dxa"/>
            <w:shd w:val="clear" w:color="auto" w:fill="auto"/>
          </w:tcPr>
          <w:p w14:paraId="3E550603" w14:textId="77777777" w:rsidR="001B628D" w:rsidRPr="00FE6AC6" w:rsidRDefault="001B628D" w:rsidP="0063575E">
            <w:pPr>
              <w:keepNext/>
              <w:keepLines/>
              <w:widowControl w:val="0"/>
              <w:spacing w:line="240" w:lineRule="auto"/>
              <w:ind w:left="-27"/>
              <w:rPr>
                <w:sz w:val="18"/>
                <w:szCs w:val="18"/>
              </w:rPr>
            </w:pPr>
            <w:r w:rsidRPr="00FE6AC6">
              <w:rPr>
                <w:sz w:val="18"/>
                <w:szCs w:val="18"/>
              </w:rPr>
              <w:t>102:29</w:t>
            </w:r>
          </w:p>
        </w:tc>
        <w:tc>
          <w:tcPr>
            <w:tcW w:w="652" w:type="dxa"/>
            <w:shd w:val="clear" w:color="auto" w:fill="auto"/>
          </w:tcPr>
          <w:p w14:paraId="3E550604" w14:textId="77777777" w:rsidR="001B628D" w:rsidRPr="00FE6AC6" w:rsidRDefault="001B628D" w:rsidP="0063575E">
            <w:pPr>
              <w:keepNext/>
              <w:keepLines/>
              <w:widowControl w:val="0"/>
              <w:spacing w:line="240" w:lineRule="auto"/>
              <w:ind w:left="-27"/>
              <w:rPr>
                <w:sz w:val="18"/>
                <w:szCs w:val="18"/>
              </w:rPr>
            </w:pPr>
            <w:r w:rsidRPr="00FE6AC6">
              <w:rPr>
                <w:sz w:val="18"/>
                <w:szCs w:val="18"/>
              </w:rPr>
              <w:t>82:35</w:t>
            </w:r>
          </w:p>
        </w:tc>
        <w:tc>
          <w:tcPr>
            <w:tcW w:w="652" w:type="dxa"/>
            <w:shd w:val="clear" w:color="auto" w:fill="auto"/>
          </w:tcPr>
          <w:p w14:paraId="3E550605" w14:textId="77777777" w:rsidR="001B628D" w:rsidRPr="00FE6AC6" w:rsidRDefault="001B628D" w:rsidP="0063575E">
            <w:pPr>
              <w:keepNext/>
              <w:keepLines/>
              <w:widowControl w:val="0"/>
              <w:spacing w:line="240" w:lineRule="auto"/>
              <w:ind w:left="-27"/>
              <w:rPr>
                <w:sz w:val="18"/>
                <w:szCs w:val="18"/>
              </w:rPr>
            </w:pPr>
            <w:r w:rsidRPr="00FE6AC6">
              <w:rPr>
                <w:sz w:val="18"/>
                <w:szCs w:val="18"/>
              </w:rPr>
              <w:t>54:46</w:t>
            </w:r>
          </w:p>
        </w:tc>
        <w:tc>
          <w:tcPr>
            <w:tcW w:w="649" w:type="dxa"/>
            <w:shd w:val="clear" w:color="auto" w:fill="auto"/>
          </w:tcPr>
          <w:p w14:paraId="3E550606" w14:textId="77777777" w:rsidR="001B628D" w:rsidRPr="00FE6AC6" w:rsidRDefault="001B628D" w:rsidP="0063575E">
            <w:pPr>
              <w:keepNext/>
              <w:keepLines/>
              <w:widowControl w:val="0"/>
              <w:spacing w:line="240" w:lineRule="auto"/>
              <w:ind w:left="-27"/>
              <w:rPr>
                <w:sz w:val="18"/>
                <w:szCs w:val="18"/>
              </w:rPr>
            </w:pPr>
            <w:r w:rsidRPr="00FE6AC6">
              <w:rPr>
                <w:sz w:val="18"/>
                <w:szCs w:val="18"/>
              </w:rPr>
              <w:t>39:47</w:t>
            </w:r>
          </w:p>
        </w:tc>
        <w:tc>
          <w:tcPr>
            <w:tcW w:w="660" w:type="dxa"/>
            <w:shd w:val="clear" w:color="auto" w:fill="auto"/>
          </w:tcPr>
          <w:p w14:paraId="3E550607" w14:textId="77777777" w:rsidR="001B628D" w:rsidRPr="00FE6AC6" w:rsidRDefault="001B628D" w:rsidP="0063575E">
            <w:pPr>
              <w:keepNext/>
              <w:keepLines/>
              <w:widowControl w:val="0"/>
              <w:spacing w:line="240" w:lineRule="auto"/>
              <w:ind w:left="-27"/>
              <w:rPr>
                <w:sz w:val="18"/>
                <w:szCs w:val="18"/>
              </w:rPr>
            </w:pPr>
            <w:r w:rsidRPr="00FE6AC6">
              <w:rPr>
                <w:sz w:val="18"/>
                <w:szCs w:val="18"/>
              </w:rPr>
              <w:t>21:49</w:t>
            </w:r>
          </w:p>
        </w:tc>
        <w:tc>
          <w:tcPr>
            <w:tcW w:w="649" w:type="dxa"/>
            <w:shd w:val="clear" w:color="auto" w:fill="auto"/>
          </w:tcPr>
          <w:p w14:paraId="3E550608" w14:textId="77777777" w:rsidR="001B628D" w:rsidRPr="00FE6AC6" w:rsidRDefault="001B628D" w:rsidP="0063575E">
            <w:pPr>
              <w:keepNext/>
              <w:keepLines/>
              <w:widowControl w:val="0"/>
              <w:spacing w:line="240" w:lineRule="auto"/>
              <w:ind w:left="-27"/>
              <w:rPr>
                <w:sz w:val="18"/>
                <w:szCs w:val="18"/>
              </w:rPr>
            </w:pPr>
            <w:r w:rsidRPr="00FE6AC6">
              <w:rPr>
                <w:sz w:val="18"/>
                <w:szCs w:val="18"/>
              </w:rPr>
              <w:t>8:50</w:t>
            </w:r>
          </w:p>
        </w:tc>
        <w:tc>
          <w:tcPr>
            <w:tcW w:w="564" w:type="dxa"/>
            <w:shd w:val="clear" w:color="auto" w:fill="auto"/>
          </w:tcPr>
          <w:p w14:paraId="3E550609" w14:textId="77777777" w:rsidR="001B628D" w:rsidRPr="00FE6AC6" w:rsidRDefault="001B628D" w:rsidP="0063575E">
            <w:pPr>
              <w:keepNext/>
              <w:keepLines/>
              <w:widowControl w:val="0"/>
              <w:spacing w:line="240" w:lineRule="auto"/>
              <w:ind w:left="-27"/>
              <w:rPr>
                <w:sz w:val="18"/>
                <w:szCs w:val="18"/>
              </w:rPr>
            </w:pPr>
            <w:r w:rsidRPr="00FE6AC6">
              <w:rPr>
                <w:sz w:val="18"/>
                <w:szCs w:val="18"/>
              </w:rPr>
              <w:t>0:50</w:t>
            </w:r>
          </w:p>
        </w:tc>
        <w:tc>
          <w:tcPr>
            <w:tcW w:w="555" w:type="dxa"/>
            <w:shd w:val="clear" w:color="auto" w:fill="auto"/>
          </w:tcPr>
          <w:p w14:paraId="3E55060A" w14:textId="77777777" w:rsidR="001B628D" w:rsidRPr="00FE6AC6" w:rsidRDefault="001B628D" w:rsidP="0063575E">
            <w:pPr>
              <w:keepNext/>
              <w:keepLines/>
              <w:widowControl w:val="0"/>
              <w:spacing w:line="240" w:lineRule="auto"/>
              <w:ind w:left="-27"/>
              <w:rPr>
                <w:sz w:val="18"/>
                <w:szCs w:val="18"/>
              </w:rPr>
            </w:pPr>
          </w:p>
        </w:tc>
      </w:tr>
    </w:tbl>
    <w:p w14:paraId="3E55060C" w14:textId="77777777" w:rsidR="001B628D" w:rsidRPr="00FE6AC6" w:rsidRDefault="001B628D" w:rsidP="0063575E">
      <w:pPr>
        <w:widowControl w:val="0"/>
        <w:tabs>
          <w:tab w:val="clear" w:pos="567"/>
        </w:tabs>
        <w:spacing w:line="240" w:lineRule="auto"/>
        <w:rPr>
          <w:rFonts w:eastAsia="MS Mincho"/>
          <w:szCs w:val="22"/>
          <w:lang w:val="en-US"/>
        </w:rPr>
      </w:pPr>
    </w:p>
    <w:p w14:paraId="3E55060D" w14:textId="77777777" w:rsidR="001B628D" w:rsidRPr="00FE6AC6" w:rsidRDefault="001B628D" w:rsidP="0063575E">
      <w:pPr>
        <w:keepNext/>
        <w:keepLines/>
        <w:widowControl w:val="0"/>
        <w:tabs>
          <w:tab w:val="clear" w:pos="567"/>
        </w:tabs>
        <w:spacing w:line="240" w:lineRule="auto"/>
        <w:ind w:left="1134" w:hanging="1134"/>
        <w:outlineLvl w:val="6"/>
        <w:rPr>
          <w:rFonts w:eastAsia="MS Mincho"/>
          <w:b/>
          <w:szCs w:val="22"/>
          <w:lang w:val="en-US"/>
        </w:rPr>
      </w:pPr>
      <w:r w:rsidRPr="00FE6AC6">
        <w:rPr>
          <w:rFonts w:eastAsia="MS Mincho"/>
          <w:b/>
          <w:szCs w:val="22"/>
          <w:lang w:val="bg-BG"/>
        </w:rPr>
        <w:t>Фигура</w:t>
      </w:r>
      <w:r w:rsidRPr="00FE6AC6">
        <w:rPr>
          <w:rFonts w:eastAsia="MS Mincho"/>
          <w:b/>
          <w:szCs w:val="22"/>
          <w:lang w:val="en-US"/>
        </w:rPr>
        <w:t> 2</w:t>
      </w:r>
      <w:r w:rsidRPr="00FE6AC6">
        <w:rPr>
          <w:rFonts w:eastAsia="MS Mincho"/>
          <w:b/>
          <w:szCs w:val="22"/>
          <w:lang w:val="en-US"/>
        </w:rPr>
        <w:tab/>
      </w:r>
      <w:r w:rsidRPr="00FE6AC6">
        <w:rPr>
          <w:rFonts w:eastAsia="MS Mincho"/>
          <w:b/>
          <w:szCs w:val="22"/>
          <w:lang w:val="bg-BG"/>
        </w:rPr>
        <w:t xml:space="preserve">Оценка по </w:t>
      </w:r>
      <w:r w:rsidRPr="00FE6AC6">
        <w:rPr>
          <w:rFonts w:eastAsia="MS Mincho"/>
          <w:b/>
          <w:szCs w:val="22"/>
          <w:lang w:val="en-US"/>
        </w:rPr>
        <w:t xml:space="preserve">Kaplan-Meier </w:t>
      </w:r>
      <w:r w:rsidRPr="00FE6AC6">
        <w:rPr>
          <w:rFonts w:eastAsia="MS Mincho"/>
          <w:b/>
          <w:szCs w:val="22"/>
          <w:lang w:val="bg-BG"/>
        </w:rPr>
        <w:t>на общата преживяемост</w:t>
      </w:r>
      <w:r w:rsidRPr="00FE6AC6">
        <w:rPr>
          <w:rFonts w:eastAsia="MS Mincho"/>
          <w:b/>
          <w:szCs w:val="22"/>
          <w:lang w:val="en-US"/>
        </w:rPr>
        <w:t xml:space="preserve"> (ITT </w:t>
      </w:r>
      <w:r w:rsidRPr="00FE6AC6">
        <w:rPr>
          <w:rFonts w:eastAsia="MS Mincho"/>
          <w:b/>
          <w:szCs w:val="22"/>
          <w:lang w:val="bg-BG"/>
        </w:rPr>
        <w:t>популация</w:t>
      </w:r>
      <w:r w:rsidRPr="00FE6AC6">
        <w:rPr>
          <w:rFonts w:eastAsia="MS Mincho"/>
          <w:b/>
          <w:szCs w:val="22"/>
          <w:lang w:val="en-US"/>
        </w:rPr>
        <w:t>)</w:t>
      </w:r>
    </w:p>
    <w:p w14:paraId="3E55060E" w14:textId="77777777" w:rsidR="001B628D" w:rsidRPr="00FE6AC6" w:rsidRDefault="001B628D" w:rsidP="0063575E">
      <w:pPr>
        <w:pStyle w:val="Text"/>
        <w:keepNext/>
        <w:keepLines/>
        <w:widowControl w:val="0"/>
        <w:spacing w:before="0"/>
        <w:jc w:val="left"/>
        <w:rPr>
          <w:rFonts w:eastAsia="MS Mincho"/>
          <w:color w:val="000000"/>
          <w:sz w:val="22"/>
          <w:szCs w:val="22"/>
          <w:lang w:eastAsia="ja-JP"/>
        </w:rPr>
      </w:pPr>
    </w:p>
    <w:p w14:paraId="3E55060F" w14:textId="77777777" w:rsidR="001B628D" w:rsidRPr="00FE6AC6" w:rsidRDefault="00613193" w:rsidP="0063575E">
      <w:pPr>
        <w:pStyle w:val="Text"/>
        <w:keepNext/>
        <w:keepLines/>
        <w:widowControl w:val="0"/>
        <w:spacing w:before="0"/>
        <w:jc w:val="left"/>
        <w:rPr>
          <w:rFonts w:eastAsia="MS Mincho"/>
          <w:color w:val="000000"/>
          <w:sz w:val="22"/>
          <w:szCs w:val="22"/>
          <w:lang w:eastAsia="ja-JP"/>
        </w:rPr>
      </w:pPr>
      <w:r w:rsidRPr="00FE6AC6">
        <w:rPr>
          <w:rFonts w:eastAsia="MS Mincho"/>
          <w:noProof/>
          <w:color w:val="000000"/>
          <w:sz w:val="22"/>
          <w:szCs w:val="22"/>
        </w:rPr>
        <mc:AlternateContent>
          <mc:Choice Requires="wps">
            <w:drawing>
              <wp:anchor distT="0" distB="0" distL="114300" distR="114300" simplePos="0" relativeHeight="251663360" behindDoc="0" locked="0" layoutInCell="1" allowOverlap="1" wp14:anchorId="3E550FE0" wp14:editId="3E550FE1">
                <wp:simplePos x="0" y="0"/>
                <wp:positionH relativeFrom="column">
                  <wp:posOffset>-207645</wp:posOffset>
                </wp:positionH>
                <wp:positionV relativeFrom="paragraph">
                  <wp:posOffset>147955</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5105B" w14:textId="77777777" w:rsidR="006033B4" w:rsidRPr="0086760E" w:rsidRDefault="006033B4" w:rsidP="001B628D">
                            <w:r w:rsidRPr="0086760E">
                              <w:rPr>
                                <w:lang w:val="bg-BG"/>
                              </w:rPr>
                              <w:t>Вероятност за обща преживяемост</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E0" id="_x0000_s1035" type="#_x0000_t202" style="position:absolute;margin-left:-16.35pt;margin-top:11.65pt;width:26.45pt;height:17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4A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" stroked="f">
                <v:fill opacity="0"/>
                <v:textbox style="layout-flow:vertical;mso-layout-flow-alt:bottom-to-top">
                  <w:txbxContent>
                    <w:p w14:paraId="3E55105B" w14:textId="77777777" w:rsidR="006033B4" w:rsidRPr="0086760E" w:rsidRDefault="006033B4" w:rsidP="001B628D">
                      <w:r w:rsidRPr="0086760E">
                        <w:rPr>
                          <w:lang w:val="bg-BG"/>
                        </w:rPr>
                        <w:t>Вероятност за обща преживяемост</w:t>
                      </w:r>
                    </w:p>
                  </w:txbxContent>
                </v:textbox>
              </v:shape>
            </w:pict>
          </mc:Fallback>
        </mc:AlternateContent>
      </w:r>
      <w:r w:rsidRPr="00FE6AC6">
        <w:rPr>
          <w:noProof/>
        </w:rPr>
        <mc:AlternateContent>
          <mc:Choice Requires="wps">
            <w:drawing>
              <wp:anchor distT="0" distB="0" distL="114300" distR="114300" simplePos="0" relativeHeight="251661312" behindDoc="0" locked="0" layoutInCell="1" allowOverlap="1" wp14:anchorId="3E550FE2" wp14:editId="3E550FE3">
                <wp:simplePos x="0" y="0"/>
                <wp:positionH relativeFrom="column">
                  <wp:posOffset>1948815</wp:posOffset>
                </wp:positionH>
                <wp:positionV relativeFrom="paragraph">
                  <wp:posOffset>2664460</wp:posOffset>
                </wp:positionV>
                <wp:extent cx="1818005" cy="2863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286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5105C" w14:textId="77777777" w:rsidR="006033B4" w:rsidRPr="00A33DBA" w:rsidRDefault="006033B4" w:rsidP="001B628D">
                            <w:pPr>
                              <w:rPr>
                                <w:rFonts w:ascii="Arial" w:hAnsi="Arial" w:cs="Arial"/>
                                <w:sz w:val="20"/>
                              </w:rPr>
                            </w:pPr>
                            <w:r>
                              <w:rPr>
                                <w:rFonts w:ascii="Arial" w:hAnsi="Arial" w:cs="Arial"/>
                                <w:sz w:val="20"/>
                                <w:lang w:val="bg-BG"/>
                              </w:rPr>
                              <w:t>Преживяемост в месеци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E2" id="_x0000_s1036" type="#_x0000_t202" style="position:absolute;margin-left:153.45pt;margin-top:209.8pt;width:143.1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" stroked="f">
                <v:fill opacity="0"/>
                <v:textbox>
                  <w:txbxContent>
                    <w:p w14:paraId="3E55105C" w14:textId="77777777" w:rsidR="006033B4" w:rsidRPr="00A33DBA" w:rsidRDefault="006033B4" w:rsidP="001B628D">
                      <w:pPr>
                        <w:rPr>
                          <w:rFonts w:ascii="Arial" w:hAnsi="Arial" w:cs="Arial"/>
                          <w:sz w:val="20"/>
                        </w:rPr>
                      </w:pPr>
                      <w:r>
                        <w:rPr>
                          <w:rFonts w:ascii="Arial" w:hAnsi="Arial" w:cs="Arial"/>
                          <w:sz w:val="20"/>
                          <w:lang w:val="bg-BG"/>
                        </w:rPr>
                        <w:t>Преживяемост в месеци</w:t>
                      </w:r>
                    </w:p>
                  </w:txbxContent>
                </v:textbox>
              </v:shape>
            </w:pict>
          </mc:Fallback>
        </mc:AlternateContent>
      </w:r>
      <w:r w:rsidRPr="00FE6AC6">
        <w:rPr>
          <w:noProof/>
        </w:rPr>
        <mc:AlternateContent>
          <mc:Choice Requires="wps">
            <w:drawing>
              <wp:anchor distT="0" distB="0" distL="114300" distR="114300" simplePos="0" relativeHeight="251662336" behindDoc="0" locked="0" layoutInCell="1" allowOverlap="1" wp14:anchorId="3E550FE4" wp14:editId="3E550FE5">
                <wp:simplePos x="0" y="0"/>
                <wp:positionH relativeFrom="column">
                  <wp:posOffset>340995</wp:posOffset>
                </wp:positionH>
                <wp:positionV relativeFrom="paragraph">
                  <wp:posOffset>951865</wp:posOffset>
                </wp:positionV>
                <wp:extent cx="4585335" cy="1428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5105D" w14:textId="77777777" w:rsidR="006033B4" w:rsidRPr="0086760E" w:rsidRDefault="006033B4" w:rsidP="001B628D">
                            <w:pPr>
                              <w:rPr>
                                <w:szCs w:val="22"/>
                              </w:rPr>
                            </w:pPr>
                          </w:p>
                          <w:tbl>
                            <w:tblPr>
                              <w:tblW w:w="0" w:type="auto"/>
                              <w:tblLook w:val="04A0" w:firstRow="1" w:lastRow="0" w:firstColumn="1" w:lastColumn="0" w:noHBand="0" w:noVBand="1"/>
                            </w:tblPr>
                            <w:tblGrid>
                              <w:gridCol w:w="817"/>
                              <w:gridCol w:w="2693"/>
                              <w:gridCol w:w="851"/>
                              <w:gridCol w:w="709"/>
                              <w:gridCol w:w="850"/>
                            </w:tblGrid>
                            <w:tr w:rsidR="006033B4" w:rsidRPr="0086760E" w14:paraId="3E551061" w14:textId="77777777">
                              <w:tc>
                                <w:tcPr>
                                  <w:tcW w:w="5920" w:type="dxa"/>
                                  <w:gridSpan w:val="5"/>
                                  <w:shd w:val="clear" w:color="auto" w:fill="auto"/>
                                </w:tcPr>
                                <w:p w14:paraId="3E55105E" w14:textId="77777777" w:rsidR="006033B4" w:rsidRPr="0086760E" w:rsidRDefault="006033B4" w:rsidP="00A932FA">
                                  <w:pPr>
                                    <w:rPr>
                                      <w:szCs w:val="22"/>
                                    </w:rPr>
                                  </w:pPr>
                                  <w:r w:rsidRPr="0086760E">
                                    <w:rPr>
                                      <w:szCs w:val="22"/>
                                    </w:rPr>
                                    <w:t>P = 0,019</w:t>
                                  </w:r>
                                </w:p>
                                <w:p w14:paraId="3E55105F" w14:textId="77777777" w:rsidR="006033B4" w:rsidRPr="0086760E" w:rsidRDefault="006033B4" w:rsidP="00A932FA">
                                  <w:pPr>
                                    <w:rPr>
                                      <w:szCs w:val="22"/>
                                    </w:rPr>
                                  </w:pPr>
                                  <w:r w:rsidRPr="0086760E">
                                    <w:rPr>
                                      <w:szCs w:val="22"/>
                                      <w:lang w:val="bg-BG"/>
                                    </w:rPr>
                                    <w:t>Коефициент</w:t>
                                  </w:r>
                                  <w:r w:rsidRPr="0086760E">
                                    <w:rPr>
                                      <w:szCs w:val="22"/>
                                    </w:rPr>
                                    <w:t xml:space="preserve"> </w:t>
                                  </w:r>
                                  <w:r w:rsidRPr="0086760E">
                                    <w:rPr>
                                      <w:szCs w:val="22"/>
                                      <w:lang w:val="bg-BG"/>
                                    </w:rPr>
                                    <w:t xml:space="preserve">на риск </w:t>
                                  </w:r>
                                  <w:r w:rsidRPr="0086760E">
                                    <w:rPr>
                                      <w:szCs w:val="22"/>
                                    </w:rPr>
                                    <w:t>0</w:t>
                                  </w:r>
                                  <w:r w:rsidRPr="0086760E">
                                    <w:rPr>
                                      <w:szCs w:val="22"/>
                                      <w:lang w:val="bg-BG"/>
                                    </w:rPr>
                                    <w:t>,</w:t>
                                  </w:r>
                                  <w:r w:rsidRPr="0086760E">
                                    <w:rPr>
                                      <w:szCs w:val="22"/>
                                    </w:rPr>
                                    <w:t>45</w:t>
                                  </w:r>
                                </w:p>
                                <w:p w14:paraId="3E551060" w14:textId="77777777" w:rsidR="006033B4" w:rsidRPr="0086760E" w:rsidRDefault="006033B4" w:rsidP="00B33277">
                                  <w:pPr>
                                    <w:rPr>
                                      <w:szCs w:val="22"/>
                                    </w:rPr>
                                  </w:pPr>
                                  <w:r w:rsidRPr="0086760E">
                                    <w:rPr>
                                      <w:szCs w:val="22"/>
                                    </w:rPr>
                                    <w:t xml:space="preserve">(95% </w:t>
                                  </w:r>
                                  <w:r>
                                    <w:rPr>
                                      <w:szCs w:val="22"/>
                                    </w:rPr>
                                    <w:t>CI</w:t>
                                  </w:r>
                                  <w:r w:rsidRPr="0086760E">
                                    <w:rPr>
                                      <w:szCs w:val="22"/>
                                    </w:rPr>
                                    <w:t>, 0</w:t>
                                  </w:r>
                                  <w:r w:rsidRPr="0086760E">
                                    <w:rPr>
                                      <w:szCs w:val="22"/>
                                      <w:lang w:val="bg-BG"/>
                                    </w:rPr>
                                    <w:t>,</w:t>
                                  </w:r>
                                  <w:r w:rsidRPr="0086760E">
                                    <w:rPr>
                                      <w:szCs w:val="22"/>
                                    </w:rPr>
                                    <w:t>22</w:t>
                                  </w:r>
                                  <w:r w:rsidRPr="0086760E">
                                    <w:rPr>
                                      <w:szCs w:val="22"/>
                                    </w:rPr>
                                    <w:noBreakHyphen/>
                                    <w:t>0</w:t>
                                  </w:r>
                                  <w:r w:rsidRPr="0086760E">
                                    <w:rPr>
                                      <w:szCs w:val="22"/>
                                      <w:lang w:val="bg-BG"/>
                                    </w:rPr>
                                    <w:t>,</w:t>
                                  </w:r>
                                  <w:r w:rsidRPr="0086760E">
                                    <w:rPr>
                                      <w:szCs w:val="22"/>
                                    </w:rPr>
                                    <w:t>89)</w:t>
                                  </w:r>
                                </w:p>
                              </w:tc>
                            </w:tr>
                            <w:tr w:rsidR="006033B4" w:rsidRPr="0086760E" w14:paraId="3E551067" w14:textId="77777777">
                              <w:tc>
                                <w:tcPr>
                                  <w:tcW w:w="817" w:type="dxa"/>
                                  <w:shd w:val="clear" w:color="auto" w:fill="auto"/>
                                </w:tcPr>
                                <w:p w14:paraId="3E551062" w14:textId="77777777" w:rsidR="006033B4" w:rsidRPr="0086760E" w:rsidRDefault="006033B4" w:rsidP="00F80ECB">
                                  <w:pPr>
                                    <w:rPr>
                                      <w:szCs w:val="22"/>
                                    </w:rPr>
                                  </w:pPr>
                                </w:p>
                              </w:tc>
                              <w:tc>
                                <w:tcPr>
                                  <w:tcW w:w="2693" w:type="dxa"/>
                                  <w:shd w:val="clear" w:color="auto" w:fill="auto"/>
                                </w:tcPr>
                                <w:p w14:paraId="3E551063" w14:textId="77777777" w:rsidR="006033B4" w:rsidRPr="0086760E" w:rsidRDefault="006033B4" w:rsidP="00F80ECB">
                                  <w:pPr>
                                    <w:rPr>
                                      <w:szCs w:val="22"/>
                                    </w:rPr>
                                  </w:pPr>
                                </w:p>
                              </w:tc>
                              <w:tc>
                                <w:tcPr>
                                  <w:tcW w:w="851" w:type="dxa"/>
                                  <w:tcBorders>
                                    <w:bottom w:val="single" w:sz="4" w:space="0" w:color="auto"/>
                                  </w:tcBorders>
                                  <w:shd w:val="clear" w:color="auto" w:fill="auto"/>
                                </w:tcPr>
                                <w:p w14:paraId="3E551064" w14:textId="77777777" w:rsidR="006033B4" w:rsidRPr="0086760E" w:rsidRDefault="006033B4" w:rsidP="00F80ECB">
                                  <w:pPr>
                                    <w:rPr>
                                      <w:szCs w:val="22"/>
                                    </w:rPr>
                                  </w:pPr>
                                  <w:r w:rsidRPr="0086760E">
                                    <w:rPr>
                                      <w:szCs w:val="22"/>
                                      <w:lang w:val="de-DE"/>
                                    </w:rPr>
                                    <w:t>N</w:t>
                                  </w:r>
                                </w:p>
                              </w:tc>
                              <w:tc>
                                <w:tcPr>
                                  <w:tcW w:w="709" w:type="dxa"/>
                                  <w:tcBorders>
                                    <w:bottom w:val="single" w:sz="4" w:space="0" w:color="auto"/>
                                  </w:tcBorders>
                                  <w:shd w:val="clear" w:color="auto" w:fill="auto"/>
                                </w:tcPr>
                                <w:p w14:paraId="3E551065" w14:textId="77777777" w:rsidR="006033B4" w:rsidRPr="0086760E" w:rsidRDefault="006033B4" w:rsidP="00F80ECB">
                                  <w:pPr>
                                    <w:rPr>
                                      <w:szCs w:val="22"/>
                                    </w:rPr>
                                  </w:pPr>
                                  <w:r w:rsidRPr="0086760E">
                                    <w:rPr>
                                      <w:szCs w:val="22"/>
                                      <w:lang w:val="bg-BG"/>
                                    </w:rPr>
                                    <w:t>Съб</w:t>
                                  </w:r>
                                </w:p>
                              </w:tc>
                              <w:tc>
                                <w:tcPr>
                                  <w:tcW w:w="850" w:type="dxa"/>
                                  <w:tcBorders>
                                    <w:bottom w:val="single" w:sz="4" w:space="0" w:color="auto"/>
                                  </w:tcBorders>
                                  <w:shd w:val="clear" w:color="auto" w:fill="auto"/>
                                </w:tcPr>
                                <w:p w14:paraId="3E551066" w14:textId="77777777" w:rsidR="006033B4" w:rsidRPr="0086760E" w:rsidRDefault="006033B4" w:rsidP="00F80ECB">
                                  <w:pPr>
                                    <w:rPr>
                                      <w:szCs w:val="22"/>
                                    </w:rPr>
                                  </w:pPr>
                                  <w:r w:rsidRPr="0086760E">
                                    <w:rPr>
                                      <w:szCs w:val="22"/>
                                      <w:lang w:val="bg-BG"/>
                                    </w:rPr>
                                    <w:t>Цен</w:t>
                                  </w:r>
                                </w:p>
                              </w:tc>
                            </w:tr>
                            <w:tr w:rsidR="006033B4" w:rsidRPr="0086760E" w14:paraId="3E55106D" w14:textId="77777777">
                              <w:tc>
                                <w:tcPr>
                                  <w:tcW w:w="817" w:type="dxa"/>
                                  <w:shd w:val="clear" w:color="auto" w:fill="auto"/>
                                </w:tcPr>
                                <w:p w14:paraId="3E551068" w14:textId="77777777" w:rsidR="006033B4" w:rsidRPr="0086760E" w:rsidRDefault="006033B4" w:rsidP="00F80ECB">
                                  <w:pPr>
                                    <w:rPr>
                                      <w:szCs w:val="22"/>
                                    </w:rPr>
                                  </w:pPr>
                                  <w:r w:rsidRPr="0086760E">
                                    <w:rPr>
                                      <w:b/>
                                      <w:szCs w:val="22"/>
                                    </w:rPr>
                                    <w:t>——</w:t>
                                  </w:r>
                                </w:p>
                              </w:tc>
                              <w:tc>
                                <w:tcPr>
                                  <w:tcW w:w="2693" w:type="dxa"/>
                                  <w:shd w:val="clear" w:color="auto" w:fill="auto"/>
                                </w:tcPr>
                                <w:p w14:paraId="3E551069" w14:textId="77777777" w:rsidR="006033B4" w:rsidRPr="0086760E" w:rsidRDefault="006033B4" w:rsidP="00F80ECB">
                                  <w:pPr>
                                    <w:rPr>
                                      <w:szCs w:val="22"/>
                                    </w:rPr>
                                  </w:pPr>
                                  <w:r w:rsidRPr="0086760E">
                                    <w:rPr>
                                      <w:szCs w:val="22"/>
                                    </w:rPr>
                                    <w:t xml:space="preserve">1) </w:t>
                                  </w:r>
                                  <w:r w:rsidRPr="0086760E">
                                    <w:rPr>
                                      <w:szCs w:val="22"/>
                                      <w:lang w:val="bg-BG"/>
                                    </w:rPr>
                                    <w:t>Иматиниб</w:t>
                                  </w:r>
                                  <w:r w:rsidRPr="0086760E">
                                    <w:rPr>
                                      <w:szCs w:val="22"/>
                                    </w:rPr>
                                    <w:t xml:space="preserve"> 12 </w:t>
                                  </w:r>
                                  <w:r w:rsidRPr="0086760E">
                                    <w:rPr>
                                      <w:szCs w:val="22"/>
                                      <w:lang w:val="bg-BG"/>
                                    </w:rPr>
                                    <w:t>Месеца</w:t>
                                  </w:r>
                                  <w:r w:rsidRPr="0086760E">
                                    <w:rPr>
                                      <w:szCs w:val="22"/>
                                    </w:rPr>
                                    <w:t>:</w:t>
                                  </w:r>
                                </w:p>
                              </w:tc>
                              <w:tc>
                                <w:tcPr>
                                  <w:tcW w:w="851" w:type="dxa"/>
                                  <w:tcBorders>
                                    <w:top w:val="single" w:sz="4" w:space="0" w:color="auto"/>
                                  </w:tcBorders>
                                  <w:shd w:val="clear" w:color="auto" w:fill="auto"/>
                                </w:tcPr>
                                <w:p w14:paraId="3E55106A" w14:textId="77777777" w:rsidR="006033B4" w:rsidRPr="0086760E" w:rsidRDefault="006033B4" w:rsidP="00F80ECB">
                                  <w:pPr>
                                    <w:rPr>
                                      <w:szCs w:val="22"/>
                                    </w:rPr>
                                  </w:pPr>
                                  <w:r w:rsidRPr="0086760E">
                                    <w:rPr>
                                      <w:szCs w:val="22"/>
                                    </w:rPr>
                                    <w:t>199</w:t>
                                  </w:r>
                                </w:p>
                              </w:tc>
                              <w:tc>
                                <w:tcPr>
                                  <w:tcW w:w="709" w:type="dxa"/>
                                  <w:tcBorders>
                                    <w:top w:val="single" w:sz="4" w:space="0" w:color="auto"/>
                                  </w:tcBorders>
                                  <w:shd w:val="clear" w:color="auto" w:fill="auto"/>
                                </w:tcPr>
                                <w:p w14:paraId="3E55106B" w14:textId="77777777" w:rsidR="006033B4" w:rsidRPr="0086760E" w:rsidRDefault="006033B4" w:rsidP="00F80ECB">
                                  <w:pPr>
                                    <w:rPr>
                                      <w:szCs w:val="22"/>
                                    </w:rPr>
                                  </w:pPr>
                                  <w:r w:rsidRPr="0086760E">
                                    <w:rPr>
                                      <w:szCs w:val="22"/>
                                    </w:rPr>
                                    <w:t>25</w:t>
                                  </w:r>
                                </w:p>
                              </w:tc>
                              <w:tc>
                                <w:tcPr>
                                  <w:tcW w:w="850" w:type="dxa"/>
                                  <w:tcBorders>
                                    <w:top w:val="single" w:sz="4" w:space="0" w:color="auto"/>
                                  </w:tcBorders>
                                  <w:shd w:val="clear" w:color="auto" w:fill="auto"/>
                                </w:tcPr>
                                <w:p w14:paraId="3E55106C" w14:textId="77777777" w:rsidR="006033B4" w:rsidRPr="0086760E" w:rsidRDefault="006033B4" w:rsidP="00F80ECB">
                                  <w:pPr>
                                    <w:rPr>
                                      <w:szCs w:val="22"/>
                                    </w:rPr>
                                  </w:pPr>
                                  <w:r w:rsidRPr="0086760E">
                                    <w:rPr>
                                      <w:szCs w:val="22"/>
                                    </w:rPr>
                                    <w:t>174</w:t>
                                  </w:r>
                                </w:p>
                              </w:tc>
                            </w:tr>
                            <w:tr w:rsidR="006033B4" w:rsidRPr="0086760E" w14:paraId="3E551073" w14:textId="77777777">
                              <w:tc>
                                <w:tcPr>
                                  <w:tcW w:w="817" w:type="dxa"/>
                                  <w:shd w:val="clear" w:color="auto" w:fill="auto"/>
                                </w:tcPr>
                                <w:p w14:paraId="3E55106E" w14:textId="77777777" w:rsidR="006033B4" w:rsidRPr="0086760E" w:rsidRDefault="006033B4" w:rsidP="00F80ECB">
                                  <w:pPr>
                                    <w:rPr>
                                      <w:szCs w:val="22"/>
                                    </w:rPr>
                                  </w:pPr>
                                  <w:r w:rsidRPr="0086760E">
                                    <w:rPr>
                                      <w:szCs w:val="22"/>
                                    </w:rPr>
                                    <w:t>-----</w:t>
                                  </w:r>
                                </w:p>
                              </w:tc>
                              <w:tc>
                                <w:tcPr>
                                  <w:tcW w:w="2693" w:type="dxa"/>
                                  <w:shd w:val="clear" w:color="auto" w:fill="auto"/>
                                </w:tcPr>
                                <w:p w14:paraId="3E55106F" w14:textId="77777777" w:rsidR="006033B4" w:rsidRPr="0086760E" w:rsidRDefault="006033B4" w:rsidP="00F80ECB">
                                  <w:pPr>
                                    <w:rPr>
                                      <w:szCs w:val="22"/>
                                    </w:rPr>
                                  </w:pPr>
                                  <w:r w:rsidRPr="0086760E">
                                    <w:rPr>
                                      <w:szCs w:val="22"/>
                                    </w:rPr>
                                    <w:t xml:space="preserve">(2) </w:t>
                                  </w:r>
                                  <w:r w:rsidRPr="0086760E">
                                    <w:rPr>
                                      <w:szCs w:val="22"/>
                                      <w:lang w:val="bg-BG"/>
                                    </w:rPr>
                                    <w:t>Иматиниб</w:t>
                                  </w:r>
                                  <w:r w:rsidRPr="0086760E">
                                    <w:rPr>
                                      <w:szCs w:val="22"/>
                                    </w:rPr>
                                    <w:t xml:space="preserve"> 36 </w:t>
                                  </w:r>
                                  <w:r w:rsidRPr="0086760E">
                                    <w:rPr>
                                      <w:szCs w:val="22"/>
                                      <w:lang w:val="bg-BG"/>
                                    </w:rPr>
                                    <w:t>Месеца</w:t>
                                  </w:r>
                                  <w:r w:rsidRPr="0086760E">
                                    <w:rPr>
                                      <w:szCs w:val="22"/>
                                    </w:rPr>
                                    <w:t>:</w:t>
                                  </w:r>
                                </w:p>
                              </w:tc>
                              <w:tc>
                                <w:tcPr>
                                  <w:tcW w:w="851" w:type="dxa"/>
                                  <w:tcBorders>
                                    <w:bottom w:val="single" w:sz="4" w:space="0" w:color="auto"/>
                                  </w:tcBorders>
                                  <w:shd w:val="clear" w:color="auto" w:fill="auto"/>
                                </w:tcPr>
                                <w:p w14:paraId="3E551070" w14:textId="77777777" w:rsidR="006033B4" w:rsidRPr="0086760E" w:rsidRDefault="006033B4" w:rsidP="00F80ECB">
                                  <w:pPr>
                                    <w:rPr>
                                      <w:szCs w:val="22"/>
                                    </w:rPr>
                                  </w:pPr>
                                  <w:r w:rsidRPr="0086760E">
                                    <w:rPr>
                                      <w:szCs w:val="22"/>
                                    </w:rPr>
                                    <w:t>198</w:t>
                                  </w:r>
                                </w:p>
                              </w:tc>
                              <w:tc>
                                <w:tcPr>
                                  <w:tcW w:w="709" w:type="dxa"/>
                                  <w:tcBorders>
                                    <w:bottom w:val="single" w:sz="4" w:space="0" w:color="auto"/>
                                  </w:tcBorders>
                                  <w:shd w:val="clear" w:color="auto" w:fill="auto"/>
                                </w:tcPr>
                                <w:p w14:paraId="3E551071" w14:textId="77777777" w:rsidR="006033B4" w:rsidRPr="0086760E" w:rsidRDefault="006033B4" w:rsidP="00F80ECB">
                                  <w:pPr>
                                    <w:rPr>
                                      <w:szCs w:val="22"/>
                                    </w:rPr>
                                  </w:pPr>
                                  <w:r w:rsidRPr="0086760E">
                                    <w:rPr>
                                      <w:szCs w:val="22"/>
                                    </w:rPr>
                                    <w:t>12</w:t>
                                  </w:r>
                                </w:p>
                              </w:tc>
                              <w:tc>
                                <w:tcPr>
                                  <w:tcW w:w="850" w:type="dxa"/>
                                  <w:tcBorders>
                                    <w:bottom w:val="single" w:sz="4" w:space="0" w:color="auto"/>
                                  </w:tcBorders>
                                  <w:shd w:val="clear" w:color="auto" w:fill="auto"/>
                                </w:tcPr>
                                <w:p w14:paraId="3E551072" w14:textId="77777777" w:rsidR="006033B4" w:rsidRPr="0086760E" w:rsidRDefault="006033B4" w:rsidP="00F80ECB">
                                  <w:pPr>
                                    <w:rPr>
                                      <w:szCs w:val="22"/>
                                    </w:rPr>
                                  </w:pPr>
                                  <w:r w:rsidRPr="0086760E">
                                    <w:rPr>
                                      <w:szCs w:val="22"/>
                                    </w:rPr>
                                    <w:t>186</w:t>
                                  </w:r>
                                </w:p>
                              </w:tc>
                            </w:tr>
                            <w:tr w:rsidR="006033B4" w:rsidRPr="0086760E" w14:paraId="3E551079" w14:textId="77777777">
                              <w:tc>
                                <w:tcPr>
                                  <w:tcW w:w="817" w:type="dxa"/>
                                  <w:shd w:val="clear" w:color="auto" w:fill="auto"/>
                                </w:tcPr>
                                <w:p w14:paraId="3E551074" w14:textId="77777777" w:rsidR="006033B4" w:rsidRPr="0086760E" w:rsidRDefault="006033B4" w:rsidP="00F80ECB">
                                  <w:pPr>
                                    <w:rPr>
                                      <w:szCs w:val="22"/>
                                    </w:rPr>
                                  </w:pPr>
                                  <w:r w:rsidRPr="0086760E">
                                    <w:rPr>
                                      <w:szCs w:val="22"/>
                                    </w:rPr>
                                    <w:t>│││</w:t>
                                  </w:r>
                                </w:p>
                              </w:tc>
                              <w:tc>
                                <w:tcPr>
                                  <w:tcW w:w="2693" w:type="dxa"/>
                                  <w:shd w:val="clear" w:color="auto" w:fill="auto"/>
                                </w:tcPr>
                                <w:p w14:paraId="3E551075" w14:textId="77777777" w:rsidR="006033B4" w:rsidRPr="0086760E" w:rsidRDefault="006033B4" w:rsidP="00F80ECB">
                                  <w:pPr>
                                    <w:rPr>
                                      <w:szCs w:val="22"/>
                                    </w:rPr>
                                  </w:pPr>
                                  <w:r w:rsidRPr="0086760E">
                                    <w:rPr>
                                      <w:szCs w:val="22"/>
                                      <w:lang w:val="bg-BG"/>
                                    </w:rPr>
                                    <w:t>Цензурирани наблюдения</w:t>
                                  </w:r>
                                </w:p>
                              </w:tc>
                              <w:tc>
                                <w:tcPr>
                                  <w:tcW w:w="851" w:type="dxa"/>
                                  <w:tcBorders>
                                    <w:top w:val="single" w:sz="4" w:space="0" w:color="auto"/>
                                  </w:tcBorders>
                                  <w:shd w:val="clear" w:color="auto" w:fill="auto"/>
                                </w:tcPr>
                                <w:p w14:paraId="3E551076" w14:textId="77777777" w:rsidR="006033B4" w:rsidRPr="0086760E" w:rsidRDefault="006033B4" w:rsidP="00F80ECB">
                                  <w:pPr>
                                    <w:rPr>
                                      <w:szCs w:val="22"/>
                                    </w:rPr>
                                  </w:pPr>
                                </w:p>
                              </w:tc>
                              <w:tc>
                                <w:tcPr>
                                  <w:tcW w:w="709" w:type="dxa"/>
                                  <w:tcBorders>
                                    <w:top w:val="single" w:sz="4" w:space="0" w:color="auto"/>
                                  </w:tcBorders>
                                  <w:shd w:val="clear" w:color="auto" w:fill="auto"/>
                                </w:tcPr>
                                <w:p w14:paraId="3E551077" w14:textId="77777777" w:rsidR="006033B4" w:rsidRPr="0086760E" w:rsidRDefault="006033B4" w:rsidP="00F80ECB">
                                  <w:pPr>
                                    <w:rPr>
                                      <w:szCs w:val="22"/>
                                    </w:rPr>
                                  </w:pPr>
                                </w:p>
                              </w:tc>
                              <w:tc>
                                <w:tcPr>
                                  <w:tcW w:w="850" w:type="dxa"/>
                                  <w:tcBorders>
                                    <w:top w:val="single" w:sz="4" w:space="0" w:color="auto"/>
                                  </w:tcBorders>
                                  <w:shd w:val="clear" w:color="auto" w:fill="auto"/>
                                </w:tcPr>
                                <w:p w14:paraId="3E551078" w14:textId="77777777" w:rsidR="006033B4" w:rsidRPr="0086760E" w:rsidRDefault="006033B4" w:rsidP="00F80ECB">
                                  <w:pPr>
                                    <w:rPr>
                                      <w:szCs w:val="22"/>
                                    </w:rPr>
                                  </w:pPr>
                                </w:p>
                              </w:tc>
                            </w:tr>
                          </w:tbl>
                          <w:p w14:paraId="3E55107A" w14:textId="77777777" w:rsidR="006033B4" w:rsidRPr="00A33DBA" w:rsidRDefault="006033B4" w:rsidP="001B628D">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50FE4" id="_x0000_s1037" type="#_x0000_t202" style="position:absolute;margin-left:26.85pt;margin-top:74.9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" filled="f" stroked="f">
                <v:textbox>
                  <w:txbxContent>
                    <w:p w14:paraId="3E55105D" w14:textId="77777777" w:rsidR="006033B4" w:rsidRPr="0086760E" w:rsidRDefault="006033B4" w:rsidP="001B628D">
                      <w:pPr>
                        <w:rPr>
                          <w:szCs w:val="22"/>
                        </w:rPr>
                      </w:pPr>
                    </w:p>
                    <w:tbl>
                      <w:tblPr>
                        <w:tblW w:w="0" w:type="auto"/>
                        <w:tblLook w:val="04A0" w:firstRow="1" w:lastRow="0" w:firstColumn="1" w:lastColumn="0" w:noHBand="0" w:noVBand="1"/>
                      </w:tblPr>
                      <w:tblGrid>
                        <w:gridCol w:w="817"/>
                        <w:gridCol w:w="2693"/>
                        <w:gridCol w:w="851"/>
                        <w:gridCol w:w="709"/>
                        <w:gridCol w:w="850"/>
                      </w:tblGrid>
                      <w:tr w:rsidR="006033B4" w:rsidRPr="0086760E" w14:paraId="3E551061" w14:textId="77777777">
                        <w:tc>
                          <w:tcPr>
                            <w:tcW w:w="5920" w:type="dxa"/>
                            <w:gridSpan w:val="5"/>
                            <w:shd w:val="clear" w:color="auto" w:fill="auto"/>
                          </w:tcPr>
                          <w:p w14:paraId="3E55105E" w14:textId="77777777" w:rsidR="006033B4" w:rsidRPr="0086760E" w:rsidRDefault="006033B4" w:rsidP="00A932FA">
                            <w:pPr>
                              <w:rPr>
                                <w:szCs w:val="22"/>
                              </w:rPr>
                            </w:pPr>
                            <w:r w:rsidRPr="0086760E">
                              <w:rPr>
                                <w:szCs w:val="22"/>
                              </w:rPr>
                              <w:t>P = 0,019</w:t>
                            </w:r>
                          </w:p>
                          <w:p w14:paraId="3E55105F" w14:textId="77777777" w:rsidR="006033B4" w:rsidRPr="0086760E" w:rsidRDefault="006033B4" w:rsidP="00A932FA">
                            <w:pPr>
                              <w:rPr>
                                <w:szCs w:val="22"/>
                              </w:rPr>
                            </w:pPr>
                            <w:r w:rsidRPr="0086760E">
                              <w:rPr>
                                <w:szCs w:val="22"/>
                                <w:lang w:val="bg-BG"/>
                              </w:rPr>
                              <w:t>Коефициент</w:t>
                            </w:r>
                            <w:r w:rsidRPr="0086760E">
                              <w:rPr>
                                <w:szCs w:val="22"/>
                              </w:rPr>
                              <w:t xml:space="preserve"> </w:t>
                            </w:r>
                            <w:r w:rsidRPr="0086760E">
                              <w:rPr>
                                <w:szCs w:val="22"/>
                                <w:lang w:val="bg-BG"/>
                              </w:rPr>
                              <w:t xml:space="preserve">на риск </w:t>
                            </w:r>
                            <w:r w:rsidRPr="0086760E">
                              <w:rPr>
                                <w:szCs w:val="22"/>
                              </w:rPr>
                              <w:t>0</w:t>
                            </w:r>
                            <w:r w:rsidRPr="0086760E">
                              <w:rPr>
                                <w:szCs w:val="22"/>
                                <w:lang w:val="bg-BG"/>
                              </w:rPr>
                              <w:t>,</w:t>
                            </w:r>
                            <w:r w:rsidRPr="0086760E">
                              <w:rPr>
                                <w:szCs w:val="22"/>
                              </w:rPr>
                              <w:t>45</w:t>
                            </w:r>
                          </w:p>
                          <w:p w14:paraId="3E551060" w14:textId="77777777" w:rsidR="006033B4" w:rsidRPr="0086760E" w:rsidRDefault="006033B4" w:rsidP="00B33277">
                            <w:pPr>
                              <w:rPr>
                                <w:szCs w:val="22"/>
                              </w:rPr>
                            </w:pPr>
                            <w:r w:rsidRPr="0086760E">
                              <w:rPr>
                                <w:szCs w:val="22"/>
                              </w:rPr>
                              <w:t xml:space="preserve">(95% </w:t>
                            </w:r>
                            <w:r>
                              <w:rPr>
                                <w:szCs w:val="22"/>
                              </w:rPr>
                              <w:t>CI</w:t>
                            </w:r>
                            <w:r w:rsidRPr="0086760E">
                              <w:rPr>
                                <w:szCs w:val="22"/>
                              </w:rPr>
                              <w:t>, 0</w:t>
                            </w:r>
                            <w:r w:rsidRPr="0086760E">
                              <w:rPr>
                                <w:szCs w:val="22"/>
                                <w:lang w:val="bg-BG"/>
                              </w:rPr>
                              <w:t>,</w:t>
                            </w:r>
                            <w:r w:rsidRPr="0086760E">
                              <w:rPr>
                                <w:szCs w:val="22"/>
                              </w:rPr>
                              <w:t>22</w:t>
                            </w:r>
                            <w:r w:rsidRPr="0086760E">
                              <w:rPr>
                                <w:szCs w:val="22"/>
                              </w:rPr>
                              <w:noBreakHyphen/>
                              <w:t>0</w:t>
                            </w:r>
                            <w:r w:rsidRPr="0086760E">
                              <w:rPr>
                                <w:szCs w:val="22"/>
                                <w:lang w:val="bg-BG"/>
                              </w:rPr>
                              <w:t>,</w:t>
                            </w:r>
                            <w:r w:rsidRPr="0086760E">
                              <w:rPr>
                                <w:szCs w:val="22"/>
                              </w:rPr>
                              <w:t>89)</w:t>
                            </w:r>
                          </w:p>
                        </w:tc>
                      </w:tr>
                      <w:tr w:rsidR="006033B4" w:rsidRPr="0086760E" w14:paraId="3E551067" w14:textId="77777777">
                        <w:tc>
                          <w:tcPr>
                            <w:tcW w:w="817" w:type="dxa"/>
                            <w:shd w:val="clear" w:color="auto" w:fill="auto"/>
                          </w:tcPr>
                          <w:p w14:paraId="3E551062" w14:textId="77777777" w:rsidR="006033B4" w:rsidRPr="0086760E" w:rsidRDefault="006033B4" w:rsidP="00F80ECB">
                            <w:pPr>
                              <w:rPr>
                                <w:szCs w:val="22"/>
                              </w:rPr>
                            </w:pPr>
                          </w:p>
                        </w:tc>
                        <w:tc>
                          <w:tcPr>
                            <w:tcW w:w="2693" w:type="dxa"/>
                            <w:shd w:val="clear" w:color="auto" w:fill="auto"/>
                          </w:tcPr>
                          <w:p w14:paraId="3E551063" w14:textId="77777777" w:rsidR="006033B4" w:rsidRPr="0086760E" w:rsidRDefault="006033B4" w:rsidP="00F80ECB">
                            <w:pPr>
                              <w:rPr>
                                <w:szCs w:val="22"/>
                              </w:rPr>
                            </w:pPr>
                          </w:p>
                        </w:tc>
                        <w:tc>
                          <w:tcPr>
                            <w:tcW w:w="851" w:type="dxa"/>
                            <w:tcBorders>
                              <w:bottom w:val="single" w:sz="4" w:space="0" w:color="auto"/>
                            </w:tcBorders>
                            <w:shd w:val="clear" w:color="auto" w:fill="auto"/>
                          </w:tcPr>
                          <w:p w14:paraId="3E551064" w14:textId="77777777" w:rsidR="006033B4" w:rsidRPr="0086760E" w:rsidRDefault="006033B4" w:rsidP="00F80ECB">
                            <w:pPr>
                              <w:rPr>
                                <w:szCs w:val="22"/>
                              </w:rPr>
                            </w:pPr>
                            <w:r w:rsidRPr="0086760E">
                              <w:rPr>
                                <w:szCs w:val="22"/>
                                <w:lang w:val="de-DE"/>
                              </w:rPr>
                              <w:t>N</w:t>
                            </w:r>
                          </w:p>
                        </w:tc>
                        <w:tc>
                          <w:tcPr>
                            <w:tcW w:w="709" w:type="dxa"/>
                            <w:tcBorders>
                              <w:bottom w:val="single" w:sz="4" w:space="0" w:color="auto"/>
                            </w:tcBorders>
                            <w:shd w:val="clear" w:color="auto" w:fill="auto"/>
                          </w:tcPr>
                          <w:p w14:paraId="3E551065" w14:textId="77777777" w:rsidR="006033B4" w:rsidRPr="0086760E" w:rsidRDefault="006033B4" w:rsidP="00F80ECB">
                            <w:pPr>
                              <w:rPr>
                                <w:szCs w:val="22"/>
                              </w:rPr>
                            </w:pPr>
                            <w:r w:rsidRPr="0086760E">
                              <w:rPr>
                                <w:szCs w:val="22"/>
                                <w:lang w:val="bg-BG"/>
                              </w:rPr>
                              <w:t>Съб</w:t>
                            </w:r>
                          </w:p>
                        </w:tc>
                        <w:tc>
                          <w:tcPr>
                            <w:tcW w:w="850" w:type="dxa"/>
                            <w:tcBorders>
                              <w:bottom w:val="single" w:sz="4" w:space="0" w:color="auto"/>
                            </w:tcBorders>
                            <w:shd w:val="clear" w:color="auto" w:fill="auto"/>
                          </w:tcPr>
                          <w:p w14:paraId="3E551066" w14:textId="77777777" w:rsidR="006033B4" w:rsidRPr="0086760E" w:rsidRDefault="006033B4" w:rsidP="00F80ECB">
                            <w:pPr>
                              <w:rPr>
                                <w:szCs w:val="22"/>
                              </w:rPr>
                            </w:pPr>
                            <w:r w:rsidRPr="0086760E">
                              <w:rPr>
                                <w:szCs w:val="22"/>
                                <w:lang w:val="bg-BG"/>
                              </w:rPr>
                              <w:t>Цен</w:t>
                            </w:r>
                          </w:p>
                        </w:tc>
                      </w:tr>
                      <w:tr w:rsidR="006033B4" w:rsidRPr="0086760E" w14:paraId="3E55106D" w14:textId="77777777">
                        <w:tc>
                          <w:tcPr>
                            <w:tcW w:w="817" w:type="dxa"/>
                            <w:shd w:val="clear" w:color="auto" w:fill="auto"/>
                          </w:tcPr>
                          <w:p w14:paraId="3E551068" w14:textId="77777777" w:rsidR="006033B4" w:rsidRPr="0086760E" w:rsidRDefault="006033B4" w:rsidP="00F80ECB">
                            <w:pPr>
                              <w:rPr>
                                <w:szCs w:val="22"/>
                              </w:rPr>
                            </w:pPr>
                            <w:r w:rsidRPr="0086760E">
                              <w:rPr>
                                <w:b/>
                                <w:szCs w:val="22"/>
                              </w:rPr>
                              <w:t>——</w:t>
                            </w:r>
                          </w:p>
                        </w:tc>
                        <w:tc>
                          <w:tcPr>
                            <w:tcW w:w="2693" w:type="dxa"/>
                            <w:shd w:val="clear" w:color="auto" w:fill="auto"/>
                          </w:tcPr>
                          <w:p w14:paraId="3E551069" w14:textId="77777777" w:rsidR="006033B4" w:rsidRPr="0086760E" w:rsidRDefault="006033B4" w:rsidP="00F80ECB">
                            <w:pPr>
                              <w:rPr>
                                <w:szCs w:val="22"/>
                              </w:rPr>
                            </w:pPr>
                            <w:r w:rsidRPr="0086760E">
                              <w:rPr>
                                <w:szCs w:val="22"/>
                              </w:rPr>
                              <w:t xml:space="preserve">1) </w:t>
                            </w:r>
                            <w:r w:rsidRPr="0086760E">
                              <w:rPr>
                                <w:szCs w:val="22"/>
                                <w:lang w:val="bg-BG"/>
                              </w:rPr>
                              <w:t>Иматиниб</w:t>
                            </w:r>
                            <w:r w:rsidRPr="0086760E">
                              <w:rPr>
                                <w:szCs w:val="22"/>
                              </w:rPr>
                              <w:t xml:space="preserve"> 12 </w:t>
                            </w:r>
                            <w:r w:rsidRPr="0086760E">
                              <w:rPr>
                                <w:szCs w:val="22"/>
                                <w:lang w:val="bg-BG"/>
                              </w:rPr>
                              <w:t>Месеца</w:t>
                            </w:r>
                            <w:r w:rsidRPr="0086760E">
                              <w:rPr>
                                <w:szCs w:val="22"/>
                              </w:rPr>
                              <w:t>:</w:t>
                            </w:r>
                          </w:p>
                        </w:tc>
                        <w:tc>
                          <w:tcPr>
                            <w:tcW w:w="851" w:type="dxa"/>
                            <w:tcBorders>
                              <w:top w:val="single" w:sz="4" w:space="0" w:color="auto"/>
                            </w:tcBorders>
                            <w:shd w:val="clear" w:color="auto" w:fill="auto"/>
                          </w:tcPr>
                          <w:p w14:paraId="3E55106A" w14:textId="77777777" w:rsidR="006033B4" w:rsidRPr="0086760E" w:rsidRDefault="006033B4" w:rsidP="00F80ECB">
                            <w:pPr>
                              <w:rPr>
                                <w:szCs w:val="22"/>
                              </w:rPr>
                            </w:pPr>
                            <w:r w:rsidRPr="0086760E">
                              <w:rPr>
                                <w:szCs w:val="22"/>
                              </w:rPr>
                              <w:t>199</w:t>
                            </w:r>
                          </w:p>
                        </w:tc>
                        <w:tc>
                          <w:tcPr>
                            <w:tcW w:w="709" w:type="dxa"/>
                            <w:tcBorders>
                              <w:top w:val="single" w:sz="4" w:space="0" w:color="auto"/>
                            </w:tcBorders>
                            <w:shd w:val="clear" w:color="auto" w:fill="auto"/>
                          </w:tcPr>
                          <w:p w14:paraId="3E55106B" w14:textId="77777777" w:rsidR="006033B4" w:rsidRPr="0086760E" w:rsidRDefault="006033B4" w:rsidP="00F80ECB">
                            <w:pPr>
                              <w:rPr>
                                <w:szCs w:val="22"/>
                              </w:rPr>
                            </w:pPr>
                            <w:r w:rsidRPr="0086760E">
                              <w:rPr>
                                <w:szCs w:val="22"/>
                              </w:rPr>
                              <w:t>25</w:t>
                            </w:r>
                          </w:p>
                        </w:tc>
                        <w:tc>
                          <w:tcPr>
                            <w:tcW w:w="850" w:type="dxa"/>
                            <w:tcBorders>
                              <w:top w:val="single" w:sz="4" w:space="0" w:color="auto"/>
                            </w:tcBorders>
                            <w:shd w:val="clear" w:color="auto" w:fill="auto"/>
                          </w:tcPr>
                          <w:p w14:paraId="3E55106C" w14:textId="77777777" w:rsidR="006033B4" w:rsidRPr="0086760E" w:rsidRDefault="006033B4" w:rsidP="00F80ECB">
                            <w:pPr>
                              <w:rPr>
                                <w:szCs w:val="22"/>
                              </w:rPr>
                            </w:pPr>
                            <w:r w:rsidRPr="0086760E">
                              <w:rPr>
                                <w:szCs w:val="22"/>
                              </w:rPr>
                              <w:t>174</w:t>
                            </w:r>
                          </w:p>
                        </w:tc>
                      </w:tr>
                      <w:tr w:rsidR="006033B4" w:rsidRPr="0086760E" w14:paraId="3E551073" w14:textId="77777777">
                        <w:tc>
                          <w:tcPr>
                            <w:tcW w:w="817" w:type="dxa"/>
                            <w:shd w:val="clear" w:color="auto" w:fill="auto"/>
                          </w:tcPr>
                          <w:p w14:paraId="3E55106E" w14:textId="77777777" w:rsidR="006033B4" w:rsidRPr="0086760E" w:rsidRDefault="006033B4" w:rsidP="00F80ECB">
                            <w:pPr>
                              <w:rPr>
                                <w:szCs w:val="22"/>
                              </w:rPr>
                            </w:pPr>
                            <w:r w:rsidRPr="0086760E">
                              <w:rPr>
                                <w:szCs w:val="22"/>
                              </w:rPr>
                              <w:t>-----</w:t>
                            </w:r>
                          </w:p>
                        </w:tc>
                        <w:tc>
                          <w:tcPr>
                            <w:tcW w:w="2693" w:type="dxa"/>
                            <w:shd w:val="clear" w:color="auto" w:fill="auto"/>
                          </w:tcPr>
                          <w:p w14:paraId="3E55106F" w14:textId="77777777" w:rsidR="006033B4" w:rsidRPr="0086760E" w:rsidRDefault="006033B4" w:rsidP="00F80ECB">
                            <w:pPr>
                              <w:rPr>
                                <w:szCs w:val="22"/>
                              </w:rPr>
                            </w:pPr>
                            <w:r w:rsidRPr="0086760E">
                              <w:rPr>
                                <w:szCs w:val="22"/>
                              </w:rPr>
                              <w:t xml:space="preserve">(2) </w:t>
                            </w:r>
                            <w:r w:rsidRPr="0086760E">
                              <w:rPr>
                                <w:szCs w:val="22"/>
                                <w:lang w:val="bg-BG"/>
                              </w:rPr>
                              <w:t>Иматиниб</w:t>
                            </w:r>
                            <w:r w:rsidRPr="0086760E">
                              <w:rPr>
                                <w:szCs w:val="22"/>
                              </w:rPr>
                              <w:t xml:space="preserve"> 36 </w:t>
                            </w:r>
                            <w:r w:rsidRPr="0086760E">
                              <w:rPr>
                                <w:szCs w:val="22"/>
                                <w:lang w:val="bg-BG"/>
                              </w:rPr>
                              <w:t>Месеца</w:t>
                            </w:r>
                            <w:r w:rsidRPr="0086760E">
                              <w:rPr>
                                <w:szCs w:val="22"/>
                              </w:rPr>
                              <w:t>:</w:t>
                            </w:r>
                          </w:p>
                        </w:tc>
                        <w:tc>
                          <w:tcPr>
                            <w:tcW w:w="851" w:type="dxa"/>
                            <w:tcBorders>
                              <w:bottom w:val="single" w:sz="4" w:space="0" w:color="auto"/>
                            </w:tcBorders>
                            <w:shd w:val="clear" w:color="auto" w:fill="auto"/>
                          </w:tcPr>
                          <w:p w14:paraId="3E551070" w14:textId="77777777" w:rsidR="006033B4" w:rsidRPr="0086760E" w:rsidRDefault="006033B4" w:rsidP="00F80ECB">
                            <w:pPr>
                              <w:rPr>
                                <w:szCs w:val="22"/>
                              </w:rPr>
                            </w:pPr>
                            <w:r w:rsidRPr="0086760E">
                              <w:rPr>
                                <w:szCs w:val="22"/>
                              </w:rPr>
                              <w:t>198</w:t>
                            </w:r>
                          </w:p>
                        </w:tc>
                        <w:tc>
                          <w:tcPr>
                            <w:tcW w:w="709" w:type="dxa"/>
                            <w:tcBorders>
                              <w:bottom w:val="single" w:sz="4" w:space="0" w:color="auto"/>
                            </w:tcBorders>
                            <w:shd w:val="clear" w:color="auto" w:fill="auto"/>
                          </w:tcPr>
                          <w:p w14:paraId="3E551071" w14:textId="77777777" w:rsidR="006033B4" w:rsidRPr="0086760E" w:rsidRDefault="006033B4" w:rsidP="00F80ECB">
                            <w:pPr>
                              <w:rPr>
                                <w:szCs w:val="22"/>
                              </w:rPr>
                            </w:pPr>
                            <w:r w:rsidRPr="0086760E">
                              <w:rPr>
                                <w:szCs w:val="22"/>
                              </w:rPr>
                              <w:t>12</w:t>
                            </w:r>
                          </w:p>
                        </w:tc>
                        <w:tc>
                          <w:tcPr>
                            <w:tcW w:w="850" w:type="dxa"/>
                            <w:tcBorders>
                              <w:bottom w:val="single" w:sz="4" w:space="0" w:color="auto"/>
                            </w:tcBorders>
                            <w:shd w:val="clear" w:color="auto" w:fill="auto"/>
                          </w:tcPr>
                          <w:p w14:paraId="3E551072" w14:textId="77777777" w:rsidR="006033B4" w:rsidRPr="0086760E" w:rsidRDefault="006033B4" w:rsidP="00F80ECB">
                            <w:pPr>
                              <w:rPr>
                                <w:szCs w:val="22"/>
                              </w:rPr>
                            </w:pPr>
                            <w:r w:rsidRPr="0086760E">
                              <w:rPr>
                                <w:szCs w:val="22"/>
                              </w:rPr>
                              <w:t>186</w:t>
                            </w:r>
                          </w:p>
                        </w:tc>
                      </w:tr>
                      <w:tr w:rsidR="006033B4" w:rsidRPr="0086760E" w14:paraId="3E551079" w14:textId="77777777">
                        <w:tc>
                          <w:tcPr>
                            <w:tcW w:w="817" w:type="dxa"/>
                            <w:shd w:val="clear" w:color="auto" w:fill="auto"/>
                          </w:tcPr>
                          <w:p w14:paraId="3E551074" w14:textId="77777777" w:rsidR="006033B4" w:rsidRPr="0086760E" w:rsidRDefault="006033B4" w:rsidP="00F80ECB">
                            <w:pPr>
                              <w:rPr>
                                <w:szCs w:val="22"/>
                              </w:rPr>
                            </w:pPr>
                            <w:r w:rsidRPr="0086760E">
                              <w:rPr>
                                <w:szCs w:val="22"/>
                              </w:rPr>
                              <w:t>│││</w:t>
                            </w:r>
                          </w:p>
                        </w:tc>
                        <w:tc>
                          <w:tcPr>
                            <w:tcW w:w="2693" w:type="dxa"/>
                            <w:shd w:val="clear" w:color="auto" w:fill="auto"/>
                          </w:tcPr>
                          <w:p w14:paraId="3E551075" w14:textId="77777777" w:rsidR="006033B4" w:rsidRPr="0086760E" w:rsidRDefault="006033B4" w:rsidP="00F80ECB">
                            <w:pPr>
                              <w:rPr>
                                <w:szCs w:val="22"/>
                              </w:rPr>
                            </w:pPr>
                            <w:r w:rsidRPr="0086760E">
                              <w:rPr>
                                <w:szCs w:val="22"/>
                                <w:lang w:val="bg-BG"/>
                              </w:rPr>
                              <w:t>Цензурирани наблюдения</w:t>
                            </w:r>
                          </w:p>
                        </w:tc>
                        <w:tc>
                          <w:tcPr>
                            <w:tcW w:w="851" w:type="dxa"/>
                            <w:tcBorders>
                              <w:top w:val="single" w:sz="4" w:space="0" w:color="auto"/>
                            </w:tcBorders>
                            <w:shd w:val="clear" w:color="auto" w:fill="auto"/>
                          </w:tcPr>
                          <w:p w14:paraId="3E551076" w14:textId="77777777" w:rsidR="006033B4" w:rsidRPr="0086760E" w:rsidRDefault="006033B4" w:rsidP="00F80ECB">
                            <w:pPr>
                              <w:rPr>
                                <w:szCs w:val="22"/>
                              </w:rPr>
                            </w:pPr>
                          </w:p>
                        </w:tc>
                        <w:tc>
                          <w:tcPr>
                            <w:tcW w:w="709" w:type="dxa"/>
                            <w:tcBorders>
                              <w:top w:val="single" w:sz="4" w:space="0" w:color="auto"/>
                            </w:tcBorders>
                            <w:shd w:val="clear" w:color="auto" w:fill="auto"/>
                          </w:tcPr>
                          <w:p w14:paraId="3E551077" w14:textId="77777777" w:rsidR="006033B4" w:rsidRPr="0086760E" w:rsidRDefault="006033B4" w:rsidP="00F80ECB">
                            <w:pPr>
                              <w:rPr>
                                <w:szCs w:val="22"/>
                              </w:rPr>
                            </w:pPr>
                          </w:p>
                        </w:tc>
                        <w:tc>
                          <w:tcPr>
                            <w:tcW w:w="850" w:type="dxa"/>
                            <w:tcBorders>
                              <w:top w:val="single" w:sz="4" w:space="0" w:color="auto"/>
                            </w:tcBorders>
                            <w:shd w:val="clear" w:color="auto" w:fill="auto"/>
                          </w:tcPr>
                          <w:p w14:paraId="3E551078" w14:textId="77777777" w:rsidR="006033B4" w:rsidRPr="0086760E" w:rsidRDefault="006033B4" w:rsidP="00F80ECB">
                            <w:pPr>
                              <w:rPr>
                                <w:szCs w:val="22"/>
                              </w:rPr>
                            </w:pPr>
                          </w:p>
                        </w:tc>
                      </w:tr>
                    </w:tbl>
                    <w:p w14:paraId="3E55107A" w14:textId="77777777" w:rsidR="006033B4" w:rsidRPr="00A33DBA" w:rsidRDefault="006033B4" w:rsidP="001B628D">
                      <w:pPr>
                        <w:rPr>
                          <w:rFonts w:ascii="Arial" w:hAnsi="Arial" w:cs="Arial"/>
                          <w:sz w:val="20"/>
                        </w:rPr>
                      </w:pPr>
                    </w:p>
                  </w:txbxContent>
                </v:textbox>
              </v:shape>
            </w:pict>
          </mc:Fallback>
        </mc:AlternateContent>
      </w:r>
      <w:r w:rsidRPr="00FE6AC6">
        <w:rPr>
          <w:noProof/>
        </w:rPr>
        <w:drawing>
          <wp:inline distT="0" distB="0" distL="0" distR="0" wp14:anchorId="3E550FE6" wp14:editId="3E550FE7">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3E550610" w14:textId="77777777" w:rsidR="001B628D" w:rsidRPr="00FE6AC6" w:rsidRDefault="001B628D" w:rsidP="0063575E">
      <w:pPr>
        <w:pStyle w:val="Text"/>
        <w:keepNext/>
        <w:keepLines/>
        <w:widowControl w:val="0"/>
        <w:spacing w:before="0"/>
        <w:jc w:val="left"/>
        <w:rPr>
          <w:rFonts w:eastAsia="MS Mincho"/>
          <w:color w:val="000000"/>
          <w:sz w:val="22"/>
          <w:szCs w:val="22"/>
          <w:lang w:eastAsia="ja-JP"/>
        </w:rPr>
      </w:pPr>
    </w:p>
    <w:p w14:paraId="3E550611" w14:textId="77777777" w:rsidR="001B628D" w:rsidRPr="00FE6AC6" w:rsidRDefault="001B628D" w:rsidP="0063575E">
      <w:pPr>
        <w:pStyle w:val="Text"/>
        <w:keepNext/>
        <w:keepLines/>
        <w:widowControl w:val="0"/>
        <w:spacing w:before="0"/>
        <w:jc w:val="left"/>
        <w:rPr>
          <w:rFonts w:eastAsia="MS Mincho"/>
          <w:color w:val="000000"/>
          <w:sz w:val="22"/>
          <w:szCs w:val="22"/>
          <w:lang w:eastAsia="ja-JP"/>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1B628D" w:rsidRPr="00FE6AC6" w14:paraId="3E550613" w14:textId="77777777" w:rsidTr="001342AA">
        <w:tc>
          <w:tcPr>
            <w:tcW w:w="10632" w:type="dxa"/>
            <w:gridSpan w:val="16"/>
            <w:shd w:val="clear" w:color="auto" w:fill="auto"/>
          </w:tcPr>
          <w:p w14:paraId="3E550612" w14:textId="77777777" w:rsidR="001B628D" w:rsidRPr="00FE6AC6" w:rsidRDefault="001B628D" w:rsidP="0063575E">
            <w:pPr>
              <w:keepNext/>
              <w:keepLines/>
              <w:widowControl w:val="0"/>
              <w:spacing w:line="240" w:lineRule="auto"/>
              <w:ind w:left="-27"/>
              <w:rPr>
                <w:sz w:val="16"/>
                <w:szCs w:val="16"/>
              </w:rPr>
            </w:pPr>
            <w:r w:rsidRPr="00FE6AC6">
              <w:rPr>
                <w:lang w:val="bg-BG"/>
              </w:rPr>
              <w:t>Изложени на риск: Събития</w:t>
            </w:r>
          </w:p>
        </w:tc>
      </w:tr>
      <w:tr w:rsidR="001B628D" w:rsidRPr="00FE6AC6" w14:paraId="3E550624" w14:textId="77777777" w:rsidTr="001342AA">
        <w:tc>
          <w:tcPr>
            <w:tcW w:w="450" w:type="dxa"/>
            <w:shd w:val="clear" w:color="auto" w:fill="auto"/>
          </w:tcPr>
          <w:p w14:paraId="3E550614" w14:textId="77777777" w:rsidR="001B628D" w:rsidRPr="00FE6AC6" w:rsidRDefault="001B628D" w:rsidP="0063575E">
            <w:pPr>
              <w:keepNext/>
              <w:keepLines/>
              <w:widowControl w:val="0"/>
              <w:spacing w:line="240" w:lineRule="auto"/>
              <w:rPr>
                <w:sz w:val="18"/>
              </w:rPr>
            </w:pPr>
            <w:r w:rsidRPr="00FE6AC6">
              <w:rPr>
                <w:sz w:val="18"/>
              </w:rPr>
              <w:t>(1)</w:t>
            </w:r>
          </w:p>
        </w:tc>
        <w:tc>
          <w:tcPr>
            <w:tcW w:w="687" w:type="dxa"/>
            <w:shd w:val="clear" w:color="auto" w:fill="auto"/>
          </w:tcPr>
          <w:p w14:paraId="3E550615" w14:textId="77777777" w:rsidR="001B628D" w:rsidRPr="00FE6AC6" w:rsidRDefault="001B628D" w:rsidP="0063575E">
            <w:pPr>
              <w:keepNext/>
              <w:keepLines/>
              <w:widowControl w:val="0"/>
              <w:spacing w:line="240" w:lineRule="auto"/>
              <w:ind w:left="-45"/>
              <w:rPr>
                <w:sz w:val="18"/>
              </w:rPr>
            </w:pPr>
            <w:r w:rsidRPr="00FE6AC6">
              <w:rPr>
                <w:sz w:val="18"/>
              </w:rPr>
              <w:t>199:0</w:t>
            </w:r>
          </w:p>
        </w:tc>
        <w:tc>
          <w:tcPr>
            <w:tcW w:w="670" w:type="dxa"/>
            <w:shd w:val="clear" w:color="auto" w:fill="auto"/>
          </w:tcPr>
          <w:p w14:paraId="3E550616" w14:textId="77777777" w:rsidR="001B628D" w:rsidRPr="00FE6AC6" w:rsidRDefault="001B628D" w:rsidP="0063575E">
            <w:pPr>
              <w:keepNext/>
              <w:keepLines/>
              <w:widowControl w:val="0"/>
              <w:spacing w:line="240" w:lineRule="auto"/>
              <w:ind w:left="-45"/>
              <w:rPr>
                <w:sz w:val="18"/>
              </w:rPr>
            </w:pPr>
            <w:r w:rsidRPr="00FE6AC6">
              <w:rPr>
                <w:sz w:val="18"/>
              </w:rPr>
              <w:t>190:2</w:t>
            </w:r>
          </w:p>
        </w:tc>
        <w:tc>
          <w:tcPr>
            <w:tcW w:w="710" w:type="dxa"/>
            <w:shd w:val="clear" w:color="auto" w:fill="auto"/>
          </w:tcPr>
          <w:p w14:paraId="3E550617" w14:textId="77777777" w:rsidR="001B628D" w:rsidRPr="00FE6AC6" w:rsidRDefault="001B628D" w:rsidP="0063575E">
            <w:pPr>
              <w:keepNext/>
              <w:keepLines/>
              <w:widowControl w:val="0"/>
              <w:spacing w:line="240" w:lineRule="auto"/>
              <w:ind w:left="-45"/>
              <w:rPr>
                <w:sz w:val="18"/>
              </w:rPr>
            </w:pPr>
            <w:r w:rsidRPr="00FE6AC6">
              <w:rPr>
                <w:sz w:val="18"/>
              </w:rPr>
              <w:t>188:2</w:t>
            </w:r>
          </w:p>
        </w:tc>
        <w:tc>
          <w:tcPr>
            <w:tcW w:w="717" w:type="dxa"/>
            <w:shd w:val="clear" w:color="auto" w:fill="auto"/>
          </w:tcPr>
          <w:p w14:paraId="3E550618" w14:textId="77777777" w:rsidR="001B628D" w:rsidRPr="00FE6AC6" w:rsidRDefault="001B628D" w:rsidP="0063575E">
            <w:pPr>
              <w:keepNext/>
              <w:keepLines/>
              <w:widowControl w:val="0"/>
              <w:spacing w:line="240" w:lineRule="auto"/>
              <w:ind w:left="-45"/>
              <w:rPr>
                <w:sz w:val="18"/>
              </w:rPr>
            </w:pPr>
            <w:r w:rsidRPr="00FE6AC6">
              <w:rPr>
                <w:sz w:val="18"/>
              </w:rPr>
              <w:t>183:6</w:t>
            </w:r>
          </w:p>
        </w:tc>
        <w:tc>
          <w:tcPr>
            <w:tcW w:w="691" w:type="dxa"/>
            <w:shd w:val="clear" w:color="auto" w:fill="auto"/>
          </w:tcPr>
          <w:p w14:paraId="3E550619" w14:textId="77777777" w:rsidR="001B628D" w:rsidRPr="00FE6AC6" w:rsidRDefault="001B628D" w:rsidP="0063575E">
            <w:pPr>
              <w:keepNext/>
              <w:keepLines/>
              <w:widowControl w:val="0"/>
              <w:spacing w:line="240" w:lineRule="auto"/>
              <w:ind w:left="-45"/>
              <w:rPr>
                <w:sz w:val="18"/>
              </w:rPr>
            </w:pPr>
            <w:r w:rsidRPr="00FE6AC6">
              <w:rPr>
                <w:sz w:val="18"/>
              </w:rPr>
              <w:t>176:8</w:t>
            </w:r>
          </w:p>
        </w:tc>
        <w:tc>
          <w:tcPr>
            <w:tcW w:w="770" w:type="dxa"/>
            <w:shd w:val="clear" w:color="auto" w:fill="auto"/>
          </w:tcPr>
          <w:p w14:paraId="3E55061A" w14:textId="77777777" w:rsidR="001B628D" w:rsidRPr="00FE6AC6" w:rsidRDefault="001B628D" w:rsidP="0063575E">
            <w:pPr>
              <w:keepNext/>
              <w:keepLines/>
              <w:widowControl w:val="0"/>
              <w:spacing w:line="240" w:lineRule="auto"/>
              <w:ind w:left="-45"/>
              <w:rPr>
                <w:sz w:val="18"/>
              </w:rPr>
            </w:pPr>
            <w:r w:rsidRPr="00FE6AC6">
              <w:rPr>
                <w:sz w:val="18"/>
              </w:rPr>
              <w:t>156:10</w:t>
            </w:r>
          </w:p>
        </w:tc>
        <w:tc>
          <w:tcPr>
            <w:tcW w:w="779" w:type="dxa"/>
            <w:shd w:val="clear" w:color="auto" w:fill="auto"/>
          </w:tcPr>
          <w:p w14:paraId="3E55061B" w14:textId="77777777" w:rsidR="001B628D" w:rsidRPr="00FE6AC6" w:rsidRDefault="001B628D" w:rsidP="0063575E">
            <w:pPr>
              <w:keepNext/>
              <w:keepLines/>
              <w:widowControl w:val="0"/>
              <w:spacing w:line="240" w:lineRule="auto"/>
              <w:ind w:left="-45"/>
              <w:rPr>
                <w:sz w:val="18"/>
              </w:rPr>
            </w:pPr>
            <w:r w:rsidRPr="00FE6AC6">
              <w:rPr>
                <w:sz w:val="18"/>
              </w:rPr>
              <w:t>140:11</w:t>
            </w:r>
          </w:p>
        </w:tc>
        <w:tc>
          <w:tcPr>
            <w:tcW w:w="794" w:type="dxa"/>
            <w:shd w:val="clear" w:color="auto" w:fill="auto"/>
          </w:tcPr>
          <w:p w14:paraId="3E55061C" w14:textId="77777777" w:rsidR="001B628D" w:rsidRPr="00FE6AC6" w:rsidRDefault="001B628D" w:rsidP="0063575E">
            <w:pPr>
              <w:keepNext/>
              <w:keepLines/>
              <w:widowControl w:val="0"/>
              <w:spacing w:line="240" w:lineRule="auto"/>
              <w:ind w:left="-45"/>
              <w:rPr>
                <w:sz w:val="18"/>
              </w:rPr>
            </w:pPr>
            <w:r w:rsidRPr="00FE6AC6">
              <w:rPr>
                <w:sz w:val="18"/>
              </w:rPr>
              <w:t>105:14</w:t>
            </w:r>
          </w:p>
        </w:tc>
        <w:tc>
          <w:tcPr>
            <w:tcW w:w="653" w:type="dxa"/>
            <w:shd w:val="clear" w:color="auto" w:fill="auto"/>
          </w:tcPr>
          <w:p w14:paraId="3E55061D" w14:textId="77777777" w:rsidR="001B628D" w:rsidRPr="00FE6AC6" w:rsidRDefault="001B628D" w:rsidP="0063575E">
            <w:pPr>
              <w:keepNext/>
              <w:keepLines/>
              <w:widowControl w:val="0"/>
              <w:spacing w:line="240" w:lineRule="auto"/>
              <w:ind w:left="-45"/>
              <w:rPr>
                <w:sz w:val="18"/>
              </w:rPr>
            </w:pPr>
            <w:r w:rsidRPr="00FE6AC6">
              <w:rPr>
                <w:sz w:val="18"/>
              </w:rPr>
              <w:t>87:18</w:t>
            </w:r>
          </w:p>
        </w:tc>
        <w:tc>
          <w:tcPr>
            <w:tcW w:w="630" w:type="dxa"/>
            <w:shd w:val="clear" w:color="auto" w:fill="auto"/>
          </w:tcPr>
          <w:p w14:paraId="3E55061E" w14:textId="77777777" w:rsidR="001B628D" w:rsidRPr="00FE6AC6" w:rsidRDefault="001B628D" w:rsidP="0063575E">
            <w:pPr>
              <w:keepNext/>
              <w:keepLines/>
              <w:widowControl w:val="0"/>
              <w:spacing w:line="240" w:lineRule="auto"/>
              <w:ind w:left="-45"/>
              <w:rPr>
                <w:sz w:val="18"/>
              </w:rPr>
            </w:pPr>
            <w:r w:rsidRPr="00FE6AC6">
              <w:rPr>
                <w:sz w:val="18"/>
              </w:rPr>
              <w:t>64:22</w:t>
            </w:r>
          </w:p>
        </w:tc>
        <w:tc>
          <w:tcPr>
            <w:tcW w:w="643" w:type="dxa"/>
            <w:shd w:val="clear" w:color="auto" w:fill="auto"/>
          </w:tcPr>
          <w:p w14:paraId="3E55061F" w14:textId="77777777" w:rsidR="001B628D" w:rsidRPr="00FE6AC6" w:rsidRDefault="001B628D" w:rsidP="0063575E">
            <w:pPr>
              <w:keepNext/>
              <w:keepLines/>
              <w:widowControl w:val="0"/>
              <w:spacing w:line="240" w:lineRule="auto"/>
              <w:ind w:left="-45"/>
              <w:rPr>
                <w:sz w:val="18"/>
              </w:rPr>
            </w:pPr>
            <w:r w:rsidRPr="00FE6AC6">
              <w:rPr>
                <w:sz w:val="18"/>
              </w:rPr>
              <w:t>46:23</w:t>
            </w:r>
          </w:p>
        </w:tc>
        <w:tc>
          <w:tcPr>
            <w:tcW w:w="670" w:type="dxa"/>
            <w:shd w:val="clear" w:color="auto" w:fill="auto"/>
          </w:tcPr>
          <w:p w14:paraId="3E550620" w14:textId="77777777" w:rsidR="001B628D" w:rsidRPr="00FE6AC6" w:rsidRDefault="001B628D" w:rsidP="0063575E">
            <w:pPr>
              <w:keepNext/>
              <w:keepLines/>
              <w:widowControl w:val="0"/>
              <w:spacing w:line="240" w:lineRule="auto"/>
              <w:ind w:left="-45"/>
              <w:rPr>
                <w:sz w:val="18"/>
              </w:rPr>
            </w:pPr>
            <w:r w:rsidRPr="00FE6AC6">
              <w:rPr>
                <w:sz w:val="18"/>
              </w:rPr>
              <w:t>27:25</w:t>
            </w:r>
          </w:p>
        </w:tc>
        <w:tc>
          <w:tcPr>
            <w:tcW w:w="683" w:type="dxa"/>
            <w:shd w:val="clear" w:color="auto" w:fill="auto"/>
          </w:tcPr>
          <w:p w14:paraId="3E550621" w14:textId="77777777" w:rsidR="001B628D" w:rsidRPr="00FE6AC6" w:rsidRDefault="001B628D" w:rsidP="0063575E">
            <w:pPr>
              <w:keepNext/>
              <w:keepLines/>
              <w:widowControl w:val="0"/>
              <w:spacing w:line="240" w:lineRule="auto"/>
              <w:ind w:left="-45"/>
              <w:rPr>
                <w:sz w:val="18"/>
              </w:rPr>
            </w:pPr>
            <w:r w:rsidRPr="00FE6AC6">
              <w:rPr>
                <w:sz w:val="18"/>
              </w:rPr>
              <w:t>20:25</w:t>
            </w:r>
          </w:p>
        </w:tc>
        <w:tc>
          <w:tcPr>
            <w:tcW w:w="558" w:type="dxa"/>
            <w:shd w:val="clear" w:color="auto" w:fill="auto"/>
          </w:tcPr>
          <w:p w14:paraId="3E550622" w14:textId="77777777" w:rsidR="001B628D" w:rsidRPr="00FE6AC6" w:rsidRDefault="001B628D" w:rsidP="0063575E">
            <w:pPr>
              <w:keepNext/>
              <w:keepLines/>
              <w:widowControl w:val="0"/>
              <w:spacing w:line="240" w:lineRule="auto"/>
              <w:ind w:left="-45"/>
              <w:rPr>
                <w:sz w:val="18"/>
              </w:rPr>
            </w:pPr>
            <w:r w:rsidRPr="00FE6AC6">
              <w:rPr>
                <w:sz w:val="18"/>
              </w:rPr>
              <w:t>2:25</w:t>
            </w:r>
          </w:p>
        </w:tc>
        <w:tc>
          <w:tcPr>
            <w:tcW w:w="527" w:type="dxa"/>
            <w:shd w:val="clear" w:color="auto" w:fill="auto"/>
          </w:tcPr>
          <w:p w14:paraId="3E550623" w14:textId="77777777" w:rsidR="001B628D" w:rsidRPr="00FE6AC6" w:rsidRDefault="001B628D" w:rsidP="0063575E">
            <w:pPr>
              <w:keepNext/>
              <w:keepLines/>
              <w:widowControl w:val="0"/>
              <w:spacing w:line="240" w:lineRule="auto"/>
              <w:ind w:left="-45"/>
              <w:rPr>
                <w:sz w:val="18"/>
              </w:rPr>
            </w:pPr>
            <w:r w:rsidRPr="00FE6AC6">
              <w:rPr>
                <w:sz w:val="18"/>
              </w:rPr>
              <w:t>0:25</w:t>
            </w:r>
          </w:p>
        </w:tc>
      </w:tr>
      <w:tr w:rsidR="001B628D" w:rsidRPr="00FE6AC6" w14:paraId="3E550635" w14:textId="77777777" w:rsidTr="001342AA">
        <w:tc>
          <w:tcPr>
            <w:tcW w:w="450" w:type="dxa"/>
            <w:shd w:val="clear" w:color="auto" w:fill="auto"/>
          </w:tcPr>
          <w:p w14:paraId="3E550625" w14:textId="77777777" w:rsidR="001B628D" w:rsidRPr="00FE6AC6" w:rsidRDefault="001B628D" w:rsidP="0063575E">
            <w:pPr>
              <w:keepNext/>
              <w:keepLines/>
              <w:widowControl w:val="0"/>
              <w:spacing w:line="240" w:lineRule="auto"/>
              <w:rPr>
                <w:sz w:val="18"/>
              </w:rPr>
            </w:pPr>
            <w:r w:rsidRPr="00FE6AC6">
              <w:rPr>
                <w:sz w:val="18"/>
              </w:rPr>
              <w:t>(2)</w:t>
            </w:r>
          </w:p>
        </w:tc>
        <w:tc>
          <w:tcPr>
            <w:tcW w:w="687" w:type="dxa"/>
            <w:shd w:val="clear" w:color="auto" w:fill="auto"/>
          </w:tcPr>
          <w:p w14:paraId="3E550626" w14:textId="77777777" w:rsidR="001B628D" w:rsidRPr="00FE6AC6" w:rsidRDefault="001B628D" w:rsidP="0063575E">
            <w:pPr>
              <w:keepNext/>
              <w:keepLines/>
              <w:widowControl w:val="0"/>
              <w:spacing w:line="240" w:lineRule="auto"/>
              <w:ind w:left="-45"/>
              <w:rPr>
                <w:sz w:val="18"/>
              </w:rPr>
            </w:pPr>
            <w:r w:rsidRPr="00FE6AC6">
              <w:rPr>
                <w:sz w:val="18"/>
              </w:rPr>
              <w:t>198:0</w:t>
            </w:r>
          </w:p>
        </w:tc>
        <w:tc>
          <w:tcPr>
            <w:tcW w:w="670" w:type="dxa"/>
            <w:shd w:val="clear" w:color="auto" w:fill="auto"/>
          </w:tcPr>
          <w:p w14:paraId="3E550627" w14:textId="77777777" w:rsidR="001B628D" w:rsidRPr="00FE6AC6" w:rsidRDefault="001B628D" w:rsidP="0063575E">
            <w:pPr>
              <w:keepNext/>
              <w:keepLines/>
              <w:widowControl w:val="0"/>
              <w:spacing w:line="240" w:lineRule="auto"/>
              <w:ind w:left="-45"/>
              <w:rPr>
                <w:sz w:val="18"/>
              </w:rPr>
            </w:pPr>
            <w:r w:rsidRPr="00FE6AC6">
              <w:rPr>
                <w:sz w:val="18"/>
              </w:rPr>
              <w:t>196:0</w:t>
            </w:r>
          </w:p>
        </w:tc>
        <w:tc>
          <w:tcPr>
            <w:tcW w:w="710" w:type="dxa"/>
            <w:shd w:val="clear" w:color="auto" w:fill="auto"/>
          </w:tcPr>
          <w:p w14:paraId="3E550628" w14:textId="77777777" w:rsidR="001B628D" w:rsidRPr="00FE6AC6" w:rsidRDefault="001B628D" w:rsidP="0063575E">
            <w:pPr>
              <w:keepNext/>
              <w:keepLines/>
              <w:widowControl w:val="0"/>
              <w:spacing w:line="240" w:lineRule="auto"/>
              <w:ind w:left="-45"/>
              <w:rPr>
                <w:sz w:val="18"/>
              </w:rPr>
            </w:pPr>
            <w:r w:rsidRPr="00FE6AC6">
              <w:rPr>
                <w:sz w:val="18"/>
              </w:rPr>
              <w:t>192:0</w:t>
            </w:r>
          </w:p>
        </w:tc>
        <w:tc>
          <w:tcPr>
            <w:tcW w:w="717" w:type="dxa"/>
            <w:shd w:val="clear" w:color="auto" w:fill="auto"/>
          </w:tcPr>
          <w:p w14:paraId="3E550629" w14:textId="77777777" w:rsidR="001B628D" w:rsidRPr="00FE6AC6" w:rsidRDefault="001B628D" w:rsidP="0063575E">
            <w:pPr>
              <w:keepNext/>
              <w:keepLines/>
              <w:widowControl w:val="0"/>
              <w:spacing w:line="240" w:lineRule="auto"/>
              <w:ind w:left="-45"/>
              <w:rPr>
                <w:sz w:val="18"/>
              </w:rPr>
            </w:pPr>
            <w:r w:rsidRPr="00FE6AC6">
              <w:rPr>
                <w:sz w:val="18"/>
              </w:rPr>
              <w:t>187:4</w:t>
            </w:r>
          </w:p>
        </w:tc>
        <w:tc>
          <w:tcPr>
            <w:tcW w:w="691" w:type="dxa"/>
            <w:shd w:val="clear" w:color="auto" w:fill="auto"/>
          </w:tcPr>
          <w:p w14:paraId="3E55062A" w14:textId="77777777" w:rsidR="001B628D" w:rsidRPr="00FE6AC6" w:rsidRDefault="001B628D" w:rsidP="0063575E">
            <w:pPr>
              <w:keepNext/>
              <w:keepLines/>
              <w:widowControl w:val="0"/>
              <w:spacing w:line="240" w:lineRule="auto"/>
              <w:ind w:left="-45"/>
              <w:rPr>
                <w:sz w:val="18"/>
              </w:rPr>
            </w:pPr>
            <w:r w:rsidRPr="00FE6AC6">
              <w:rPr>
                <w:sz w:val="18"/>
              </w:rPr>
              <w:t>184:5</w:t>
            </w:r>
          </w:p>
        </w:tc>
        <w:tc>
          <w:tcPr>
            <w:tcW w:w="770" w:type="dxa"/>
            <w:shd w:val="clear" w:color="auto" w:fill="auto"/>
          </w:tcPr>
          <w:p w14:paraId="3E55062B" w14:textId="77777777" w:rsidR="001B628D" w:rsidRPr="00FE6AC6" w:rsidRDefault="001B628D" w:rsidP="0063575E">
            <w:pPr>
              <w:keepNext/>
              <w:keepLines/>
              <w:widowControl w:val="0"/>
              <w:spacing w:line="240" w:lineRule="auto"/>
              <w:ind w:left="-45"/>
              <w:rPr>
                <w:sz w:val="18"/>
              </w:rPr>
            </w:pPr>
            <w:r w:rsidRPr="00FE6AC6">
              <w:rPr>
                <w:sz w:val="18"/>
              </w:rPr>
              <w:t>164:7</w:t>
            </w:r>
          </w:p>
        </w:tc>
        <w:tc>
          <w:tcPr>
            <w:tcW w:w="779" w:type="dxa"/>
            <w:shd w:val="clear" w:color="auto" w:fill="auto"/>
          </w:tcPr>
          <w:p w14:paraId="3E55062C" w14:textId="77777777" w:rsidR="001B628D" w:rsidRPr="00FE6AC6" w:rsidRDefault="001B628D" w:rsidP="0063575E">
            <w:pPr>
              <w:keepNext/>
              <w:keepLines/>
              <w:widowControl w:val="0"/>
              <w:spacing w:line="240" w:lineRule="auto"/>
              <w:ind w:left="-45"/>
              <w:rPr>
                <w:sz w:val="18"/>
              </w:rPr>
            </w:pPr>
            <w:r w:rsidRPr="00FE6AC6">
              <w:rPr>
                <w:sz w:val="18"/>
              </w:rPr>
              <w:t>152:7</w:t>
            </w:r>
          </w:p>
        </w:tc>
        <w:tc>
          <w:tcPr>
            <w:tcW w:w="794" w:type="dxa"/>
            <w:shd w:val="clear" w:color="auto" w:fill="auto"/>
          </w:tcPr>
          <w:p w14:paraId="3E55062D" w14:textId="77777777" w:rsidR="001B628D" w:rsidRPr="00FE6AC6" w:rsidRDefault="001B628D" w:rsidP="0063575E">
            <w:pPr>
              <w:keepNext/>
              <w:keepLines/>
              <w:widowControl w:val="0"/>
              <w:spacing w:line="240" w:lineRule="auto"/>
              <w:ind w:left="-45"/>
              <w:rPr>
                <w:sz w:val="18"/>
              </w:rPr>
            </w:pPr>
            <w:r w:rsidRPr="00FE6AC6">
              <w:rPr>
                <w:sz w:val="18"/>
              </w:rPr>
              <w:t>119:8</w:t>
            </w:r>
          </w:p>
        </w:tc>
        <w:tc>
          <w:tcPr>
            <w:tcW w:w="653" w:type="dxa"/>
            <w:shd w:val="clear" w:color="auto" w:fill="auto"/>
          </w:tcPr>
          <w:p w14:paraId="3E55062E" w14:textId="77777777" w:rsidR="001B628D" w:rsidRPr="00FE6AC6" w:rsidRDefault="001B628D" w:rsidP="0063575E">
            <w:pPr>
              <w:keepNext/>
              <w:keepLines/>
              <w:widowControl w:val="0"/>
              <w:spacing w:line="240" w:lineRule="auto"/>
              <w:ind w:left="-45"/>
              <w:rPr>
                <w:sz w:val="18"/>
              </w:rPr>
            </w:pPr>
            <w:r w:rsidRPr="00FE6AC6">
              <w:rPr>
                <w:sz w:val="18"/>
              </w:rPr>
              <w:t>100:8</w:t>
            </w:r>
          </w:p>
        </w:tc>
        <w:tc>
          <w:tcPr>
            <w:tcW w:w="630" w:type="dxa"/>
            <w:shd w:val="clear" w:color="auto" w:fill="auto"/>
          </w:tcPr>
          <w:p w14:paraId="3E55062F" w14:textId="77777777" w:rsidR="001B628D" w:rsidRPr="00FE6AC6" w:rsidRDefault="001B628D" w:rsidP="0063575E">
            <w:pPr>
              <w:keepNext/>
              <w:keepLines/>
              <w:widowControl w:val="0"/>
              <w:spacing w:line="240" w:lineRule="auto"/>
              <w:ind w:left="-45"/>
              <w:rPr>
                <w:sz w:val="18"/>
              </w:rPr>
            </w:pPr>
            <w:r w:rsidRPr="00FE6AC6">
              <w:rPr>
                <w:sz w:val="18"/>
              </w:rPr>
              <w:t>76:10</w:t>
            </w:r>
          </w:p>
        </w:tc>
        <w:tc>
          <w:tcPr>
            <w:tcW w:w="643" w:type="dxa"/>
            <w:shd w:val="clear" w:color="auto" w:fill="auto"/>
          </w:tcPr>
          <w:p w14:paraId="3E550630" w14:textId="77777777" w:rsidR="001B628D" w:rsidRPr="00FE6AC6" w:rsidRDefault="001B628D" w:rsidP="0063575E">
            <w:pPr>
              <w:keepNext/>
              <w:keepLines/>
              <w:widowControl w:val="0"/>
              <w:spacing w:line="240" w:lineRule="auto"/>
              <w:ind w:left="-45"/>
              <w:rPr>
                <w:sz w:val="18"/>
              </w:rPr>
            </w:pPr>
            <w:r w:rsidRPr="00FE6AC6">
              <w:rPr>
                <w:sz w:val="18"/>
              </w:rPr>
              <w:t>56:11</w:t>
            </w:r>
          </w:p>
        </w:tc>
        <w:tc>
          <w:tcPr>
            <w:tcW w:w="670" w:type="dxa"/>
            <w:shd w:val="clear" w:color="auto" w:fill="auto"/>
          </w:tcPr>
          <w:p w14:paraId="3E550631" w14:textId="77777777" w:rsidR="001B628D" w:rsidRPr="00FE6AC6" w:rsidRDefault="001B628D" w:rsidP="0063575E">
            <w:pPr>
              <w:keepNext/>
              <w:keepLines/>
              <w:widowControl w:val="0"/>
              <w:spacing w:line="240" w:lineRule="auto"/>
              <w:ind w:left="-45"/>
              <w:rPr>
                <w:sz w:val="18"/>
              </w:rPr>
            </w:pPr>
            <w:r w:rsidRPr="00FE6AC6">
              <w:rPr>
                <w:sz w:val="18"/>
              </w:rPr>
              <w:t>31:11</w:t>
            </w:r>
          </w:p>
        </w:tc>
        <w:tc>
          <w:tcPr>
            <w:tcW w:w="683" w:type="dxa"/>
            <w:shd w:val="clear" w:color="auto" w:fill="auto"/>
          </w:tcPr>
          <w:p w14:paraId="3E550632" w14:textId="77777777" w:rsidR="001B628D" w:rsidRPr="00FE6AC6" w:rsidRDefault="001B628D" w:rsidP="0063575E">
            <w:pPr>
              <w:keepNext/>
              <w:keepLines/>
              <w:widowControl w:val="0"/>
              <w:spacing w:line="240" w:lineRule="auto"/>
              <w:ind w:left="-45"/>
              <w:rPr>
                <w:sz w:val="18"/>
              </w:rPr>
            </w:pPr>
            <w:r w:rsidRPr="00FE6AC6">
              <w:rPr>
                <w:sz w:val="18"/>
              </w:rPr>
              <w:t>13:12</w:t>
            </w:r>
          </w:p>
        </w:tc>
        <w:tc>
          <w:tcPr>
            <w:tcW w:w="558" w:type="dxa"/>
            <w:shd w:val="clear" w:color="auto" w:fill="auto"/>
          </w:tcPr>
          <w:p w14:paraId="3E550633" w14:textId="77777777" w:rsidR="001B628D" w:rsidRPr="00FE6AC6" w:rsidRDefault="001B628D" w:rsidP="0063575E">
            <w:pPr>
              <w:keepNext/>
              <w:keepLines/>
              <w:widowControl w:val="0"/>
              <w:spacing w:line="240" w:lineRule="auto"/>
              <w:ind w:left="-45"/>
              <w:rPr>
                <w:sz w:val="18"/>
              </w:rPr>
            </w:pPr>
            <w:r w:rsidRPr="00FE6AC6">
              <w:rPr>
                <w:sz w:val="18"/>
              </w:rPr>
              <w:t>0:12</w:t>
            </w:r>
          </w:p>
        </w:tc>
        <w:tc>
          <w:tcPr>
            <w:tcW w:w="527" w:type="dxa"/>
            <w:shd w:val="clear" w:color="auto" w:fill="auto"/>
          </w:tcPr>
          <w:p w14:paraId="3E550634" w14:textId="77777777" w:rsidR="001B628D" w:rsidRPr="00FE6AC6" w:rsidRDefault="001B628D" w:rsidP="0063575E">
            <w:pPr>
              <w:keepNext/>
              <w:keepLines/>
              <w:widowControl w:val="0"/>
              <w:spacing w:line="240" w:lineRule="auto"/>
              <w:ind w:left="-45"/>
              <w:rPr>
                <w:sz w:val="18"/>
              </w:rPr>
            </w:pPr>
          </w:p>
        </w:tc>
      </w:tr>
    </w:tbl>
    <w:p w14:paraId="3E550636" w14:textId="77777777" w:rsidR="001B628D" w:rsidRPr="00FE6AC6" w:rsidRDefault="001B628D" w:rsidP="0063575E">
      <w:pPr>
        <w:widowControl w:val="0"/>
        <w:spacing w:line="240" w:lineRule="auto"/>
        <w:rPr>
          <w:noProof/>
          <w:sz w:val="20"/>
        </w:rPr>
      </w:pPr>
    </w:p>
    <w:p w14:paraId="3E550637" w14:textId="77777777" w:rsidR="001B628D" w:rsidRPr="00FE6AC6" w:rsidRDefault="001B628D" w:rsidP="0063575E">
      <w:pPr>
        <w:pStyle w:val="Text"/>
        <w:widowControl w:val="0"/>
        <w:spacing w:before="0"/>
        <w:jc w:val="left"/>
        <w:rPr>
          <w:rStyle w:val="CommentReference"/>
          <w:sz w:val="22"/>
          <w:szCs w:val="22"/>
        </w:rPr>
      </w:pPr>
      <w:r w:rsidRPr="00FE6AC6">
        <w:rPr>
          <w:rFonts w:eastAsia="MS Mincho"/>
          <w:sz w:val="22"/>
          <w:szCs w:val="22"/>
          <w:lang w:val="bg-BG" w:eastAsia="ja-JP"/>
        </w:rPr>
        <w:t xml:space="preserve">Няма контролирани клинични изпитвания при педиатрични пациенти с </w:t>
      </w:r>
      <w:r w:rsidRPr="00FE6AC6">
        <w:rPr>
          <w:rFonts w:eastAsia="MS Mincho"/>
          <w:sz w:val="22"/>
          <w:szCs w:val="22"/>
          <w:lang w:eastAsia="ja-JP"/>
        </w:rPr>
        <w:t xml:space="preserve">c-Kit </w:t>
      </w:r>
      <w:r w:rsidRPr="00FE6AC6">
        <w:rPr>
          <w:rFonts w:eastAsia="MS Mincho"/>
          <w:sz w:val="22"/>
          <w:szCs w:val="22"/>
          <w:lang w:val="bg-BG" w:eastAsia="ja-JP"/>
        </w:rPr>
        <w:t>позитивен ГИСТ.</w:t>
      </w:r>
      <w:r w:rsidRPr="00FE6AC6">
        <w:rPr>
          <w:rFonts w:eastAsia="MS Mincho"/>
          <w:sz w:val="22"/>
          <w:szCs w:val="22"/>
          <w:lang w:eastAsia="ja-JP"/>
        </w:rPr>
        <w:t xml:space="preserve"> </w:t>
      </w:r>
      <w:r w:rsidRPr="00FE6AC6">
        <w:rPr>
          <w:rFonts w:eastAsia="MS Mincho"/>
          <w:sz w:val="22"/>
          <w:szCs w:val="22"/>
          <w:lang w:val="bg-BG" w:eastAsia="ja-JP"/>
        </w:rPr>
        <w:t xml:space="preserve">В 7 публикации се съобщава за </w:t>
      </w:r>
      <w:r w:rsidRPr="00FE6AC6">
        <w:rPr>
          <w:rFonts w:eastAsia="MS Mincho"/>
          <w:sz w:val="22"/>
          <w:szCs w:val="22"/>
          <w:lang w:eastAsia="ja-JP"/>
        </w:rPr>
        <w:t>17</w:t>
      </w:r>
      <w:r w:rsidRPr="00FE6AC6">
        <w:rPr>
          <w:color w:val="000000"/>
          <w:sz w:val="22"/>
          <w:szCs w:val="22"/>
        </w:rPr>
        <w:t> </w:t>
      </w:r>
      <w:r w:rsidRPr="00FE6AC6">
        <w:rPr>
          <w:color w:val="000000"/>
          <w:sz w:val="22"/>
          <w:szCs w:val="22"/>
          <w:lang w:val="bg-BG"/>
        </w:rPr>
        <w:t xml:space="preserve">пациенти с ГИСТ (със или без </w:t>
      </w:r>
      <w:r w:rsidRPr="00FE6AC6">
        <w:rPr>
          <w:color w:val="000000"/>
          <w:sz w:val="22"/>
          <w:szCs w:val="22"/>
        </w:rPr>
        <w:t xml:space="preserve">Kit </w:t>
      </w:r>
      <w:r w:rsidRPr="00FE6AC6">
        <w:rPr>
          <w:color w:val="000000"/>
          <w:sz w:val="22"/>
          <w:szCs w:val="22"/>
          <w:lang w:val="bg-BG"/>
        </w:rPr>
        <w:t xml:space="preserve">и </w:t>
      </w:r>
      <w:r w:rsidRPr="00FE6AC6">
        <w:rPr>
          <w:color w:val="000000"/>
          <w:sz w:val="22"/>
          <w:szCs w:val="22"/>
        </w:rPr>
        <w:t xml:space="preserve">PDGFR </w:t>
      </w:r>
      <w:r w:rsidRPr="00FE6AC6">
        <w:rPr>
          <w:color w:val="000000"/>
          <w:sz w:val="22"/>
          <w:szCs w:val="22"/>
          <w:lang w:val="bg-BG"/>
        </w:rPr>
        <w:t>мутации)</w:t>
      </w:r>
      <w:r w:rsidRPr="00FE6AC6">
        <w:rPr>
          <w:rFonts w:eastAsia="MS Mincho"/>
          <w:sz w:val="22"/>
          <w:szCs w:val="22"/>
          <w:lang w:eastAsia="ja-JP"/>
        </w:rPr>
        <w:t xml:space="preserve">. </w:t>
      </w:r>
      <w:r w:rsidRPr="00FE6AC6">
        <w:rPr>
          <w:rFonts w:eastAsia="MS Mincho"/>
          <w:sz w:val="22"/>
          <w:szCs w:val="22"/>
          <w:lang w:val="bg-BG" w:eastAsia="ja-JP"/>
        </w:rPr>
        <w:t xml:space="preserve">Възрастта на тези пациенти варира от </w:t>
      </w:r>
      <w:r w:rsidRPr="00FE6AC6">
        <w:rPr>
          <w:rFonts w:eastAsia="MS Mincho"/>
          <w:sz w:val="22"/>
          <w:szCs w:val="22"/>
          <w:lang w:eastAsia="ja-JP"/>
        </w:rPr>
        <w:t xml:space="preserve">8 </w:t>
      </w:r>
      <w:r w:rsidRPr="00FE6AC6">
        <w:rPr>
          <w:rFonts w:eastAsia="MS Mincho"/>
          <w:sz w:val="22"/>
          <w:szCs w:val="22"/>
          <w:lang w:val="bg-BG" w:eastAsia="ja-JP"/>
        </w:rPr>
        <w:t>до</w:t>
      </w:r>
      <w:r w:rsidRPr="00FE6AC6">
        <w:rPr>
          <w:rFonts w:eastAsia="MS Mincho"/>
          <w:sz w:val="22"/>
          <w:szCs w:val="22"/>
          <w:lang w:eastAsia="ja-JP"/>
        </w:rPr>
        <w:t xml:space="preserve"> 18</w:t>
      </w:r>
      <w:r w:rsidRPr="00FE6AC6">
        <w:rPr>
          <w:color w:val="000000"/>
          <w:sz w:val="22"/>
          <w:szCs w:val="22"/>
        </w:rPr>
        <w:t> </w:t>
      </w:r>
      <w:r w:rsidRPr="00FE6AC6">
        <w:rPr>
          <w:color w:val="000000"/>
          <w:sz w:val="22"/>
          <w:szCs w:val="22"/>
          <w:lang w:val="bg-BG"/>
        </w:rPr>
        <w:t xml:space="preserve">години, иматиниб е прилаган както като адювантна терапия, така и при метастатични тумори в дози в интервала от </w:t>
      </w:r>
      <w:r w:rsidRPr="00FE6AC6">
        <w:rPr>
          <w:rFonts w:eastAsia="MS Mincho"/>
          <w:sz w:val="22"/>
          <w:szCs w:val="22"/>
          <w:lang w:eastAsia="ja-JP"/>
        </w:rPr>
        <w:t xml:space="preserve">300 </w:t>
      </w:r>
      <w:r w:rsidRPr="00FE6AC6">
        <w:rPr>
          <w:rFonts w:eastAsia="MS Mincho"/>
          <w:sz w:val="22"/>
          <w:szCs w:val="22"/>
          <w:lang w:val="bg-BG" w:eastAsia="ja-JP"/>
        </w:rPr>
        <w:t>до</w:t>
      </w:r>
      <w:r w:rsidRPr="00FE6AC6">
        <w:rPr>
          <w:rFonts w:eastAsia="MS Mincho"/>
          <w:sz w:val="22"/>
          <w:szCs w:val="22"/>
          <w:lang w:eastAsia="ja-JP"/>
        </w:rPr>
        <w:t xml:space="preserve"> 800</w:t>
      </w:r>
      <w:r w:rsidRPr="00FE6AC6">
        <w:rPr>
          <w:color w:val="000000"/>
          <w:sz w:val="22"/>
          <w:szCs w:val="22"/>
        </w:rPr>
        <w:t> </w:t>
      </w:r>
      <w:r w:rsidRPr="00FE6AC6">
        <w:rPr>
          <w:rFonts w:eastAsia="MS Mincho"/>
          <w:sz w:val="22"/>
          <w:szCs w:val="22"/>
          <w:lang w:eastAsia="ja-JP"/>
        </w:rPr>
        <w:t xml:space="preserve">mg </w:t>
      </w:r>
      <w:r w:rsidRPr="00FE6AC6">
        <w:rPr>
          <w:rFonts w:eastAsia="MS Mincho"/>
          <w:sz w:val="22"/>
          <w:szCs w:val="22"/>
          <w:lang w:val="bg-BG" w:eastAsia="ja-JP"/>
        </w:rPr>
        <w:t>дневно</w:t>
      </w:r>
      <w:r w:rsidRPr="00FE6AC6">
        <w:rPr>
          <w:rFonts w:eastAsia="MS Mincho"/>
          <w:sz w:val="22"/>
          <w:szCs w:val="22"/>
          <w:lang w:eastAsia="ja-JP"/>
        </w:rPr>
        <w:t xml:space="preserve">. </w:t>
      </w:r>
      <w:r w:rsidRPr="00FE6AC6">
        <w:rPr>
          <w:rFonts w:eastAsia="MS Mincho"/>
          <w:sz w:val="22"/>
          <w:szCs w:val="22"/>
          <w:lang w:val="bg-BG" w:eastAsia="ja-JP"/>
        </w:rPr>
        <w:t xml:space="preserve">При повечето от педиатричните пациенти, лекувани за ГИСТ липсват данни, които да потвърждават </w:t>
      </w:r>
      <w:r w:rsidRPr="00FE6AC6">
        <w:rPr>
          <w:rFonts w:eastAsia="MS Mincho"/>
          <w:sz w:val="22"/>
          <w:szCs w:val="22"/>
          <w:lang w:eastAsia="ja-JP"/>
        </w:rPr>
        <w:t xml:space="preserve">c-kit </w:t>
      </w:r>
      <w:r w:rsidRPr="00FE6AC6">
        <w:rPr>
          <w:rFonts w:eastAsia="MS Mincho"/>
          <w:sz w:val="22"/>
          <w:szCs w:val="22"/>
          <w:lang w:val="bg-BG" w:eastAsia="ja-JP"/>
        </w:rPr>
        <w:t>или</w:t>
      </w:r>
      <w:r w:rsidRPr="00FE6AC6">
        <w:rPr>
          <w:rFonts w:eastAsia="MS Mincho"/>
          <w:sz w:val="22"/>
          <w:szCs w:val="22"/>
          <w:lang w:eastAsia="ja-JP"/>
        </w:rPr>
        <w:t xml:space="preserve"> PDGFR </w:t>
      </w:r>
      <w:r w:rsidRPr="00FE6AC6">
        <w:rPr>
          <w:rFonts w:eastAsia="MS Mincho"/>
          <w:sz w:val="22"/>
          <w:szCs w:val="22"/>
          <w:lang w:val="bg-BG" w:eastAsia="ja-JP"/>
        </w:rPr>
        <w:t>мутации, което може да доведе до противоречиви клинични резултати</w:t>
      </w:r>
      <w:r w:rsidRPr="00FE6AC6">
        <w:rPr>
          <w:rFonts w:eastAsia="MS Mincho"/>
          <w:sz w:val="22"/>
          <w:szCs w:val="22"/>
          <w:lang w:eastAsia="ja-JP"/>
        </w:rPr>
        <w:t>.</w:t>
      </w:r>
    </w:p>
    <w:p w14:paraId="3E550638" w14:textId="77777777" w:rsidR="001B628D" w:rsidRPr="00FE6AC6" w:rsidRDefault="001B628D" w:rsidP="0063575E">
      <w:pPr>
        <w:widowControl w:val="0"/>
        <w:spacing w:line="240" w:lineRule="auto"/>
        <w:rPr>
          <w:color w:val="000000"/>
          <w:u w:val="single"/>
          <w:lang w:val="bg-BG"/>
        </w:rPr>
      </w:pPr>
    </w:p>
    <w:p w14:paraId="3E550639" w14:textId="77777777" w:rsidR="001B628D" w:rsidRPr="00FE6AC6" w:rsidRDefault="001B628D" w:rsidP="0063575E">
      <w:pPr>
        <w:keepNext/>
        <w:widowControl w:val="0"/>
        <w:spacing w:line="240" w:lineRule="auto"/>
        <w:rPr>
          <w:color w:val="000000"/>
          <w:u w:val="single"/>
          <w:lang w:val="bg-BG"/>
        </w:rPr>
      </w:pPr>
      <w:r w:rsidRPr="00FE6AC6">
        <w:rPr>
          <w:color w:val="000000"/>
          <w:u w:val="single"/>
          <w:lang w:val="bg-BG"/>
        </w:rPr>
        <w:t>Клинични проучвания при ДФСП</w:t>
      </w:r>
    </w:p>
    <w:p w14:paraId="3E55063A" w14:textId="77777777" w:rsidR="001B628D" w:rsidRPr="00FE6AC6" w:rsidRDefault="001B628D" w:rsidP="0063575E">
      <w:pPr>
        <w:widowControl w:val="0"/>
        <w:spacing w:line="240" w:lineRule="auto"/>
        <w:rPr>
          <w:color w:val="000000"/>
          <w:lang w:val="bg-BG" w:eastAsia="ja-JP"/>
        </w:rPr>
      </w:pPr>
      <w:r w:rsidRPr="00FE6AC6">
        <w:rPr>
          <w:color w:val="000000"/>
          <w:lang w:val="bg-BG"/>
        </w:rPr>
        <w:t>Проведено е едно фаза </w:t>
      </w:r>
      <w:r w:rsidRPr="00FE6AC6">
        <w:rPr>
          <w:color w:val="000000"/>
          <w:lang w:val="en-US"/>
        </w:rPr>
        <w:t>II</w:t>
      </w:r>
      <w:r w:rsidRPr="00FE6AC6">
        <w:rPr>
          <w:color w:val="000000"/>
          <w:lang w:val="bg-BG"/>
        </w:rPr>
        <w:t xml:space="preserve">, отворено, мултицентрово клинични проучване </w:t>
      </w:r>
      <w:r w:rsidRPr="00FE6AC6">
        <w:rPr>
          <w:color w:val="000000"/>
          <w:lang w:val="bg-BG" w:eastAsia="ja-JP"/>
        </w:rPr>
        <w:t xml:space="preserve">(проучване </w:t>
      </w:r>
      <w:r w:rsidRPr="00FE6AC6">
        <w:rPr>
          <w:color w:val="000000"/>
          <w:lang w:eastAsia="ja-JP"/>
        </w:rPr>
        <w:t>B</w:t>
      </w:r>
      <w:r w:rsidRPr="00FE6AC6">
        <w:rPr>
          <w:color w:val="000000"/>
          <w:lang w:val="bg-BG" w:eastAsia="ja-JP"/>
        </w:rPr>
        <w:t xml:space="preserve">2225) включващо 12 пациента с ДФСП, лекувани с </w:t>
      </w:r>
      <w:r w:rsidRPr="00FE6AC6">
        <w:rPr>
          <w:color w:val="000000"/>
          <w:lang w:eastAsia="ja-JP"/>
        </w:rPr>
        <w:t>Glivec</w:t>
      </w:r>
      <w:r w:rsidRPr="00FE6AC6">
        <w:rPr>
          <w:color w:val="000000"/>
          <w:lang w:val="bg-BG" w:eastAsia="ja-JP"/>
        </w:rPr>
        <w:t> 800 </w:t>
      </w:r>
      <w:r w:rsidRPr="00FE6AC6">
        <w:rPr>
          <w:color w:val="000000"/>
          <w:lang w:eastAsia="ja-JP"/>
        </w:rPr>
        <w:t>mg</w:t>
      </w:r>
      <w:r w:rsidRPr="00FE6AC6">
        <w:rPr>
          <w:color w:val="000000"/>
          <w:lang w:val="bg-BG" w:eastAsia="ja-JP"/>
        </w:rPr>
        <w:t xml:space="preserve"> дневно. Възрастта на пациентите с ДФСП варира от 23 до 75 години; ДФСП е била метастатична, локално рецидивирала след първоначална резекционна хирургия и не се счита</w:t>
      </w:r>
      <w:r w:rsidR="00736DA3" w:rsidRPr="00FE6AC6">
        <w:rPr>
          <w:color w:val="000000"/>
          <w:lang w:val="bg-BG" w:eastAsia="ja-JP"/>
        </w:rPr>
        <w:t>ло</w:t>
      </w:r>
      <w:r w:rsidRPr="00FE6AC6">
        <w:rPr>
          <w:color w:val="000000"/>
          <w:lang w:val="bg-BG" w:eastAsia="ja-JP"/>
        </w:rPr>
        <w:t xml:space="preserve">, че ще се поддаде на по-нататъшна резекционна хирургия по време на включване в проучването. Първичното доказателство за ефикасност се основава на степента на обективен отговор. От 12 включени пациенти, 9 отговарят, един пълно и 8 частично. Три от частично отговорилите, впоследствие са се освободили от заболяването чрез хирургично лечение. Средната продължителност на лечението в проучването </w:t>
      </w:r>
      <w:r w:rsidRPr="00FE6AC6">
        <w:rPr>
          <w:color w:val="000000"/>
          <w:lang w:eastAsia="ja-JP"/>
        </w:rPr>
        <w:t>B</w:t>
      </w:r>
      <w:r w:rsidRPr="00FE6AC6">
        <w:rPr>
          <w:color w:val="000000"/>
          <w:lang w:val="bg-BG" w:eastAsia="ja-JP"/>
        </w:rPr>
        <w:t xml:space="preserve">2225 е 6,2 месеца, с максимална продължителност от 24,3 месеца. В 5 публикувани доклада за случаи са съобщени 6 допълнителни пациента с ДФСП, лекувани с </w:t>
      </w:r>
      <w:r w:rsidRPr="00FE6AC6">
        <w:rPr>
          <w:color w:val="000000"/>
          <w:lang w:eastAsia="ja-JP"/>
        </w:rPr>
        <w:t>Glivec</w:t>
      </w:r>
      <w:r w:rsidRPr="00FE6AC6">
        <w:rPr>
          <w:color w:val="000000"/>
          <w:lang w:val="bg-BG" w:eastAsia="ja-JP"/>
        </w:rPr>
        <w:t>, като тяхната възраст варира от 18 месеца до 49 години. Възрастните пациенти, съобщени в публикуваната литература, са лекувани с 400 </w:t>
      </w:r>
      <w:r w:rsidRPr="00FE6AC6">
        <w:rPr>
          <w:color w:val="000000"/>
          <w:lang w:eastAsia="ja-JP"/>
        </w:rPr>
        <w:t>mg</w:t>
      </w:r>
      <w:r w:rsidRPr="00FE6AC6">
        <w:rPr>
          <w:color w:val="000000"/>
          <w:lang w:val="bg-BG" w:eastAsia="ja-JP"/>
        </w:rPr>
        <w:t xml:space="preserve"> (4 случая) или 800 </w:t>
      </w:r>
      <w:r w:rsidRPr="00FE6AC6">
        <w:rPr>
          <w:color w:val="000000"/>
          <w:lang w:eastAsia="ja-JP"/>
        </w:rPr>
        <w:t>mg</w:t>
      </w:r>
      <w:r w:rsidRPr="00FE6AC6">
        <w:rPr>
          <w:color w:val="000000"/>
          <w:lang w:val="bg-BG" w:eastAsia="ja-JP"/>
        </w:rPr>
        <w:t xml:space="preserve"> (1 случай) </w:t>
      </w:r>
      <w:r w:rsidRPr="00FE6AC6">
        <w:rPr>
          <w:color w:val="000000"/>
          <w:lang w:eastAsia="ja-JP"/>
        </w:rPr>
        <w:t>Glivec</w:t>
      </w:r>
      <w:r w:rsidRPr="00FE6AC6">
        <w:rPr>
          <w:color w:val="000000"/>
          <w:lang w:val="bg-BG" w:eastAsia="ja-JP"/>
        </w:rPr>
        <w:t xml:space="preserve"> дневно. Пет пациенти отговарят, 3 пълно и 2 частично. Средната продължителност на лечението в публикуваната литература варира между 4 седмици и повече от 20 месеца. Транслокацията </w:t>
      </w:r>
      <w:r w:rsidRPr="00FE6AC6">
        <w:rPr>
          <w:color w:val="000000"/>
          <w:lang w:eastAsia="ja-JP"/>
        </w:rPr>
        <w:t>t</w:t>
      </w:r>
      <w:r w:rsidRPr="00FE6AC6">
        <w:rPr>
          <w:color w:val="000000"/>
          <w:lang w:val="bg-BG" w:eastAsia="ja-JP"/>
        </w:rPr>
        <w:t>(17:22)[(</w:t>
      </w:r>
      <w:r w:rsidRPr="00FE6AC6">
        <w:rPr>
          <w:color w:val="000000"/>
          <w:lang w:eastAsia="ja-JP"/>
        </w:rPr>
        <w:t>q</w:t>
      </w:r>
      <w:r w:rsidRPr="00FE6AC6">
        <w:rPr>
          <w:color w:val="000000"/>
          <w:lang w:val="bg-BG" w:eastAsia="ja-JP"/>
        </w:rPr>
        <w:t>22:</w:t>
      </w:r>
      <w:r w:rsidRPr="00FE6AC6">
        <w:rPr>
          <w:color w:val="000000"/>
          <w:lang w:eastAsia="ja-JP"/>
        </w:rPr>
        <w:t>q</w:t>
      </w:r>
      <w:r w:rsidRPr="00FE6AC6">
        <w:rPr>
          <w:color w:val="000000"/>
          <w:lang w:val="bg-BG" w:eastAsia="ja-JP"/>
        </w:rPr>
        <w:t xml:space="preserve">13)], или нейния генен продукт се наблюдава при почти всички отговорили на лечението с </w:t>
      </w:r>
      <w:r w:rsidRPr="00FE6AC6">
        <w:rPr>
          <w:color w:val="000000"/>
          <w:lang w:eastAsia="ja-JP"/>
        </w:rPr>
        <w:t>Glivec</w:t>
      </w:r>
      <w:r w:rsidRPr="00FE6AC6">
        <w:rPr>
          <w:color w:val="000000"/>
          <w:lang w:val="bg-BG" w:eastAsia="ja-JP"/>
        </w:rPr>
        <w:t>.</w:t>
      </w:r>
    </w:p>
    <w:p w14:paraId="3E55063B" w14:textId="77777777" w:rsidR="001B628D" w:rsidRPr="00FE6AC6" w:rsidRDefault="001B628D" w:rsidP="0063575E">
      <w:pPr>
        <w:pStyle w:val="Text"/>
        <w:widowControl w:val="0"/>
        <w:spacing w:before="0"/>
        <w:jc w:val="left"/>
        <w:rPr>
          <w:color w:val="000000"/>
          <w:sz w:val="22"/>
          <w:szCs w:val="22"/>
          <w:lang w:val="bg-BG" w:eastAsia="ja-JP"/>
        </w:rPr>
      </w:pPr>
    </w:p>
    <w:p w14:paraId="3E55063C" w14:textId="77777777" w:rsidR="001B628D" w:rsidRPr="00FE6AC6" w:rsidRDefault="001B628D" w:rsidP="0063575E">
      <w:pPr>
        <w:pStyle w:val="Text"/>
        <w:widowControl w:val="0"/>
        <w:spacing w:before="0"/>
        <w:jc w:val="left"/>
        <w:rPr>
          <w:color w:val="000000"/>
          <w:sz w:val="22"/>
          <w:szCs w:val="22"/>
          <w:lang w:val="bg-BG" w:eastAsia="ja-JP"/>
        </w:rPr>
      </w:pPr>
      <w:r w:rsidRPr="00FE6AC6">
        <w:rPr>
          <w:color w:val="000000"/>
          <w:sz w:val="22"/>
          <w:szCs w:val="22"/>
          <w:lang w:val="bg-BG" w:eastAsia="ja-JP"/>
        </w:rPr>
        <w:t xml:space="preserve">Няма контролирани клинични изпитвания при педиатрични пациенти с ДФСП. В 3 публикации се съобщава за 5 пациенти с ДФСП и </w:t>
      </w:r>
      <w:r w:rsidRPr="00FE6AC6">
        <w:rPr>
          <w:color w:val="000000"/>
          <w:sz w:val="22"/>
          <w:szCs w:val="22"/>
        </w:rPr>
        <w:t>PDGFR</w:t>
      </w:r>
      <w:r w:rsidRPr="00FE6AC6">
        <w:rPr>
          <w:color w:val="000000"/>
          <w:sz w:val="22"/>
          <w:szCs w:val="22"/>
          <w:lang w:val="bg-BG"/>
        </w:rPr>
        <w:t xml:space="preserve"> генни пренареждания</w:t>
      </w:r>
      <w:r w:rsidRPr="00FE6AC6">
        <w:rPr>
          <w:color w:val="000000"/>
          <w:sz w:val="22"/>
          <w:szCs w:val="22"/>
          <w:lang w:val="bg-BG" w:eastAsia="ja-JP"/>
        </w:rPr>
        <w:t>. Възрастта на тези пациенти варира от новородени до 14</w:t>
      </w:r>
      <w:r w:rsidRPr="00FE6AC6">
        <w:rPr>
          <w:color w:val="000000"/>
          <w:sz w:val="22"/>
          <w:szCs w:val="22"/>
        </w:rPr>
        <w:t> </w:t>
      </w:r>
      <w:r w:rsidRPr="00FE6AC6">
        <w:rPr>
          <w:color w:val="000000"/>
          <w:sz w:val="22"/>
          <w:szCs w:val="22"/>
          <w:lang w:val="bg-BG"/>
        </w:rPr>
        <w:t xml:space="preserve">години и иматиниб е прилаган в доза от </w:t>
      </w:r>
      <w:r w:rsidRPr="00FE6AC6">
        <w:rPr>
          <w:color w:val="000000"/>
          <w:sz w:val="22"/>
          <w:szCs w:val="22"/>
          <w:lang w:val="bg-BG" w:eastAsia="ja-JP"/>
        </w:rPr>
        <w:t>50</w:t>
      </w:r>
      <w:r w:rsidRPr="00FE6AC6">
        <w:rPr>
          <w:color w:val="000000"/>
          <w:sz w:val="22"/>
          <w:szCs w:val="22"/>
        </w:rPr>
        <w:t> </w:t>
      </w:r>
      <w:r w:rsidRPr="00FE6AC6">
        <w:rPr>
          <w:color w:val="000000"/>
          <w:sz w:val="22"/>
          <w:szCs w:val="22"/>
          <w:lang w:eastAsia="ja-JP"/>
        </w:rPr>
        <w:t>mg</w:t>
      </w:r>
      <w:r w:rsidRPr="00FE6AC6">
        <w:rPr>
          <w:color w:val="000000"/>
          <w:sz w:val="22"/>
          <w:szCs w:val="22"/>
          <w:lang w:val="bg-BG" w:eastAsia="ja-JP"/>
        </w:rPr>
        <w:t xml:space="preserve"> дневно</w:t>
      </w:r>
      <w:r w:rsidRPr="00FE6AC6">
        <w:rPr>
          <w:color w:val="000000"/>
          <w:sz w:val="22"/>
          <w:szCs w:val="22"/>
          <w:lang w:val="bg-BG"/>
        </w:rPr>
        <w:t xml:space="preserve"> или в дози в интервала от </w:t>
      </w:r>
      <w:r w:rsidRPr="00FE6AC6">
        <w:rPr>
          <w:color w:val="000000"/>
          <w:sz w:val="22"/>
          <w:szCs w:val="22"/>
          <w:lang w:val="bg-BG" w:eastAsia="ja-JP"/>
        </w:rPr>
        <w:t>400 до 520</w:t>
      </w:r>
      <w:r w:rsidRPr="00FE6AC6">
        <w:rPr>
          <w:color w:val="000000"/>
          <w:sz w:val="22"/>
          <w:szCs w:val="22"/>
        </w:rPr>
        <w:t> </w:t>
      </w:r>
      <w:r w:rsidRPr="00FE6AC6">
        <w:rPr>
          <w:color w:val="000000"/>
          <w:sz w:val="22"/>
          <w:szCs w:val="22"/>
          <w:lang w:eastAsia="ja-JP"/>
        </w:rPr>
        <w:t>mg</w:t>
      </w:r>
      <w:r w:rsidRPr="00FE6AC6">
        <w:rPr>
          <w:color w:val="000000"/>
          <w:sz w:val="22"/>
          <w:szCs w:val="22"/>
          <w:lang w:val="bg-BG" w:eastAsia="ja-JP"/>
        </w:rPr>
        <w:t>/</w:t>
      </w:r>
      <w:r w:rsidRPr="00FE6AC6">
        <w:rPr>
          <w:color w:val="000000"/>
          <w:sz w:val="22"/>
          <w:szCs w:val="22"/>
          <w:lang w:eastAsia="ja-JP"/>
        </w:rPr>
        <w:t>m</w:t>
      </w:r>
      <w:r w:rsidRPr="00FE6AC6">
        <w:rPr>
          <w:color w:val="000000"/>
          <w:sz w:val="22"/>
          <w:szCs w:val="22"/>
          <w:vertAlign w:val="superscript"/>
          <w:lang w:val="bg-BG" w:eastAsia="ja-JP"/>
        </w:rPr>
        <w:t>2</w:t>
      </w:r>
      <w:r w:rsidRPr="00FE6AC6">
        <w:rPr>
          <w:color w:val="000000"/>
          <w:sz w:val="22"/>
          <w:szCs w:val="22"/>
          <w:lang w:val="bg-BG" w:eastAsia="ja-JP"/>
        </w:rPr>
        <w:t xml:space="preserve"> дневно. При всички пациенти е постигнат частичен и/или пълен отговор.</w:t>
      </w:r>
    </w:p>
    <w:p w14:paraId="3E55063D" w14:textId="77777777" w:rsidR="001B628D" w:rsidRPr="00FE6AC6" w:rsidRDefault="001B628D" w:rsidP="0063575E">
      <w:pPr>
        <w:widowControl w:val="0"/>
        <w:spacing w:line="240" w:lineRule="auto"/>
        <w:rPr>
          <w:color w:val="000000"/>
          <w:lang w:val="bg-BG"/>
        </w:rPr>
      </w:pPr>
    </w:p>
    <w:p w14:paraId="3E55063E" w14:textId="77777777" w:rsidR="00A44656" w:rsidRPr="00FE6AC6" w:rsidRDefault="00A44656" w:rsidP="0063575E">
      <w:pPr>
        <w:keepNext/>
        <w:widowControl w:val="0"/>
        <w:spacing w:line="240" w:lineRule="auto"/>
        <w:rPr>
          <w:b/>
          <w:color w:val="000000"/>
          <w:lang w:val="bg-BG"/>
        </w:rPr>
      </w:pPr>
      <w:r w:rsidRPr="00FE6AC6">
        <w:rPr>
          <w:b/>
          <w:color w:val="000000"/>
          <w:lang w:val="bg-BG"/>
        </w:rPr>
        <w:t>5.2</w:t>
      </w:r>
      <w:r w:rsidRPr="00FE6AC6">
        <w:rPr>
          <w:b/>
          <w:color w:val="000000"/>
          <w:lang w:val="bg-BG"/>
        </w:rPr>
        <w:tab/>
        <w:t>Фармакокинетични свойства</w:t>
      </w:r>
    </w:p>
    <w:p w14:paraId="3E55063F" w14:textId="77777777" w:rsidR="00A44656" w:rsidRPr="00FE6AC6" w:rsidRDefault="00A44656" w:rsidP="0063575E">
      <w:pPr>
        <w:keepNext/>
        <w:widowControl w:val="0"/>
        <w:spacing w:line="240" w:lineRule="auto"/>
        <w:rPr>
          <w:color w:val="000000"/>
          <w:lang w:val="bg-BG"/>
        </w:rPr>
      </w:pPr>
    </w:p>
    <w:p w14:paraId="3E550640"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Фармакокинетика на Glivec</w:t>
      </w:r>
    </w:p>
    <w:p w14:paraId="3E550641" w14:textId="77777777" w:rsidR="00A44656" w:rsidRPr="00FE6AC6" w:rsidRDefault="00A44656" w:rsidP="0063575E">
      <w:pPr>
        <w:widowControl w:val="0"/>
        <w:spacing w:line="240" w:lineRule="auto"/>
        <w:rPr>
          <w:color w:val="000000"/>
          <w:lang w:val="bg-BG"/>
        </w:rPr>
      </w:pPr>
      <w:r w:rsidRPr="00FE6AC6">
        <w:rPr>
          <w:color w:val="000000"/>
          <w:lang w:val="bg-BG"/>
        </w:rPr>
        <w:t>Фармакокинетичните свойства на Glivec са оценени при дози вариращи от 25 до 1 000 mg. Плaзмените фармакокинетични профили са анализирани на 1-ви ден и след това или на 7-ми или на 28-ми ден, когато са достигнати стационарни концентрации.</w:t>
      </w:r>
    </w:p>
    <w:p w14:paraId="3E550642" w14:textId="77777777" w:rsidR="00A44656" w:rsidRPr="00FE6AC6" w:rsidRDefault="00A44656" w:rsidP="0063575E">
      <w:pPr>
        <w:widowControl w:val="0"/>
        <w:spacing w:line="240" w:lineRule="auto"/>
        <w:rPr>
          <w:color w:val="000000"/>
          <w:lang w:val="bg-BG"/>
        </w:rPr>
      </w:pPr>
    </w:p>
    <w:p w14:paraId="3E550643" w14:textId="77777777" w:rsidR="00D73861" w:rsidRPr="00FE6AC6" w:rsidRDefault="00D73861" w:rsidP="0063575E">
      <w:pPr>
        <w:keepNext/>
        <w:widowControl w:val="0"/>
        <w:spacing w:line="240" w:lineRule="auto"/>
        <w:rPr>
          <w:color w:val="000000"/>
          <w:u w:val="single"/>
          <w:lang w:val="bg-BG"/>
        </w:rPr>
      </w:pPr>
      <w:r w:rsidRPr="00FE6AC6">
        <w:rPr>
          <w:color w:val="000000"/>
          <w:u w:val="single"/>
          <w:lang w:val="bg-BG"/>
        </w:rPr>
        <w:t>Абсорбция</w:t>
      </w:r>
    </w:p>
    <w:p w14:paraId="3E550644" w14:textId="77777777" w:rsidR="00D73861" w:rsidRPr="00FE6AC6" w:rsidRDefault="00D73861" w:rsidP="0063575E">
      <w:pPr>
        <w:pStyle w:val="EndnoteText"/>
        <w:widowControl w:val="0"/>
        <w:tabs>
          <w:tab w:val="clear" w:pos="567"/>
        </w:tabs>
        <w:rPr>
          <w:color w:val="000000"/>
          <w:lang w:val="bg-BG"/>
        </w:rPr>
      </w:pPr>
      <w:r w:rsidRPr="00FE6AC6">
        <w:rPr>
          <w:color w:val="000000"/>
          <w:lang w:val="bg-BG"/>
        </w:rPr>
        <w:t>Средната абсолютна бионаличност е 98%. След перорално приложение има голяма вариабилност между пациентите в плазмените нива на AUC на иматиниб. При приемането му с храна с високо съдържание на мазнини, степента на абсорбция на иматиниб намалява минимално (11% понижение на C</w:t>
      </w:r>
      <w:r w:rsidRPr="00FE6AC6">
        <w:rPr>
          <w:color w:val="000000"/>
          <w:vertAlign w:val="subscript"/>
          <w:lang w:val="bg-BG"/>
        </w:rPr>
        <w:t>max</w:t>
      </w:r>
      <w:r w:rsidRPr="00FE6AC6">
        <w:rPr>
          <w:color w:val="000000"/>
          <w:lang w:val="bg-BG"/>
        </w:rPr>
        <w:t xml:space="preserve"> и удължаване на T</w:t>
      </w:r>
      <w:r w:rsidRPr="00FE6AC6">
        <w:rPr>
          <w:color w:val="000000"/>
          <w:vertAlign w:val="subscript"/>
          <w:lang w:val="bg-BG"/>
        </w:rPr>
        <w:t>max</w:t>
      </w:r>
      <w:r w:rsidRPr="00FE6AC6">
        <w:rPr>
          <w:color w:val="000000"/>
          <w:lang w:val="bg-BG"/>
        </w:rPr>
        <w:t xml:space="preserve"> с 1,5h) с леко понижение на AUC (7,4%)</w:t>
      </w:r>
      <w:r w:rsidR="0058505F" w:rsidRPr="00FE6AC6">
        <w:rPr>
          <w:color w:val="000000"/>
          <w:lang w:val="bg-BG"/>
        </w:rPr>
        <w:t>,</w:t>
      </w:r>
      <w:r w:rsidRPr="00FE6AC6">
        <w:rPr>
          <w:color w:val="000000"/>
          <w:lang w:val="bg-BG"/>
        </w:rPr>
        <w:t xml:space="preserve"> в сравнение с прием на гладно. Не е изследван ефектът на предхождаща стомашно-чревна операция върху абсорбцията на лекарството.</w:t>
      </w:r>
    </w:p>
    <w:p w14:paraId="3E550645" w14:textId="77777777" w:rsidR="00D73861" w:rsidRPr="00FE6AC6" w:rsidRDefault="00D73861" w:rsidP="0063575E">
      <w:pPr>
        <w:widowControl w:val="0"/>
        <w:spacing w:line="240" w:lineRule="auto"/>
        <w:rPr>
          <w:color w:val="000000"/>
          <w:lang w:val="bg-BG"/>
        </w:rPr>
      </w:pPr>
    </w:p>
    <w:p w14:paraId="3E550646"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Разпределение</w:t>
      </w:r>
    </w:p>
    <w:p w14:paraId="3E550647" w14:textId="77777777" w:rsidR="00A44656" w:rsidRPr="00FE6AC6" w:rsidRDefault="00A44656" w:rsidP="0063575E">
      <w:pPr>
        <w:widowControl w:val="0"/>
        <w:spacing w:line="240" w:lineRule="auto"/>
        <w:rPr>
          <w:color w:val="000000"/>
          <w:lang w:val="bg-BG"/>
        </w:rPr>
      </w:pPr>
      <w:r w:rsidRPr="00FE6AC6">
        <w:rPr>
          <w:color w:val="000000"/>
          <w:lang w:val="bg-BG"/>
        </w:rPr>
        <w:t xml:space="preserve">По данни от </w:t>
      </w:r>
      <w:r w:rsidRPr="00FE6AC6">
        <w:rPr>
          <w:i/>
          <w:color w:val="000000"/>
          <w:lang w:val="bg-BG"/>
        </w:rPr>
        <w:t>in vitro</w:t>
      </w:r>
      <w:r w:rsidRPr="00FE6AC6">
        <w:rPr>
          <w:color w:val="000000"/>
          <w:lang w:val="bg-BG"/>
        </w:rPr>
        <w:t xml:space="preserve"> експерименти при клинично значими концентрации на иматиниб, свързването му с плазмените белтъци е около 95% предимно с албумина и с алфа-киселия гликопротеин и </w:t>
      </w:r>
      <w:r w:rsidR="0058505F" w:rsidRPr="00FE6AC6">
        <w:rPr>
          <w:color w:val="000000"/>
          <w:lang w:val="bg-BG"/>
        </w:rPr>
        <w:t xml:space="preserve">в </w:t>
      </w:r>
      <w:r w:rsidRPr="00FE6AC6">
        <w:rPr>
          <w:color w:val="000000"/>
          <w:lang w:val="bg-BG"/>
        </w:rPr>
        <w:t>малка степен с липопротеин.</w:t>
      </w:r>
    </w:p>
    <w:p w14:paraId="3E550648" w14:textId="77777777" w:rsidR="00A44656" w:rsidRPr="00FE6AC6" w:rsidRDefault="00A44656" w:rsidP="0063575E">
      <w:pPr>
        <w:widowControl w:val="0"/>
        <w:spacing w:line="240" w:lineRule="auto"/>
        <w:rPr>
          <w:color w:val="000000"/>
          <w:lang w:val="bg-BG"/>
        </w:rPr>
      </w:pPr>
    </w:p>
    <w:p w14:paraId="3E550649" w14:textId="77777777" w:rsidR="00A44656" w:rsidRPr="00FE6AC6" w:rsidRDefault="0030318F" w:rsidP="0063575E">
      <w:pPr>
        <w:keepNext/>
        <w:widowControl w:val="0"/>
        <w:spacing w:line="240" w:lineRule="auto"/>
        <w:rPr>
          <w:color w:val="000000"/>
          <w:lang w:val="bg-BG"/>
        </w:rPr>
      </w:pPr>
      <w:r w:rsidRPr="00FE6AC6">
        <w:rPr>
          <w:noProof/>
          <w:szCs w:val="24"/>
          <w:u w:val="single"/>
          <w:lang w:val="bg-BG"/>
        </w:rPr>
        <w:t>Биотрансформация</w:t>
      </w:r>
    </w:p>
    <w:p w14:paraId="3E55064A" w14:textId="77777777" w:rsidR="0058505F" w:rsidRPr="00FE6AC6" w:rsidRDefault="0058505F" w:rsidP="0063575E">
      <w:pPr>
        <w:widowControl w:val="0"/>
        <w:spacing w:line="240" w:lineRule="auto"/>
        <w:rPr>
          <w:color w:val="000000"/>
          <w:lang w:val="bg-BG"/>
        </w:rPr>
      </w:pPr>
      <w:r w:rsidRPr="00FE6AC6">
        <w:rPr>
          <w:color w:val="000000"/>
          <w:lang w:val="bg-BG"/>
        </w:rPr>
        <w:t xml:space="preserve">Основният метаболит в кръвообращението при хора е N-деметилирано пиперазиново производно, което показва </w:t>
      </w:r>
      <w:r w:rsidRPr="00FE6AC6">
        <w:rPr>
          <w:i/>
          <w:color w:val="000000"/>
          <w:lang w:val="bg-BG"/>
        </w:rPr>
        <w:t>in vitro</w:t>
      </w:r>
      <w:r w:rsidRPr="00FE6AC6">
        <w:rPr>
          <w:color w:val="000000"/>
          <w:lang w:val="bg-BG"/>
        </w:rPr>
        <w:t xml:space="preserve"> активност близка до тази на изходното вещество. Установено, че плазмената AUC на този метаболит е само 16% от AUC за иматиниб. Свързването на N-деметилирания метаболит с плазмените белтъци е близко до това на изходното вещество.</w:t>
      </w:r>
    </w:p>
    <w:p w14:paraId="3E55064B" w14:textId="77777777" w:rsidR="00A44656" w:rsidRPr="00FE6AC6" w:rsidRDefault="00A44656" w:rsidP="0063575E">
      <w:pPr>
        <w:widowControl w:val="0"/>
        <w:spacing w:line="240" w:lineRule="auto"/>
        <w:rPr>
          <w:color w:val="000000"/>
          <w:lang w:val="bg-BG"/>
        </w:rPr>
      </w:pPr>
    </w:p>
    <w:p w14:paraId="3E55064C" w14:textId="77777777" w:rsidR="00A44656" w:rsidRPr="00FE6AC6" w:rsidRDefault="00A44656" w:rsidP="0063575E">
      <w:pPr>
        <w:widowControl w:val="0"/>
        <w:spacing w:line="240" w:lineRule="auto"/>
        <w:rPr>
          <w:color w:val="000000"/>
          <w:lang w:val="bg-BG"/>
        </w:rPr>
      </w:pPr>
      <w:r w:rsidRPr="00FE6AC6">
        <w:rPr>
          <w:color w:val="000000"/>
          <w:lang w:val="bg-BG"/>
        </w:rPr>
        <w:t>Заедно N-деметилираният метаболит и иматиниб представляват около 65% от радиоактивността в кръвообръщението (AUC</w:t>
      </w:r>
      <w:r w:rsidRPr="00FE6AC6">
        <w:rPr>
          <w:color w:val="000000"/>
          <w:vertAlign w:val="subscript"/>
          <w:lang w:val="bg-BG"/>
        </w:rPr>
        <w:t>(0-48h)</w:t>
      </w:r>
      <w:r w:rsidRPr="00FE6AC6">
        <w:rPr>
          <w:color w:val="000000"/>
          <w:lang w:val="bg-BG"/>
        </w:rPr>
        <w:t>). Останалата част от радиоактивността се дължи на многобройни второстепенни метаболити.</w:t>
      </w:r>
    </w:p>
    <w:p w14:paraId="3E55064D" w14:textId="77777777" w:rsidR="00A44656" w:rsidRPr="00FE6AC6" w:rsidRDefault="00A44656" w:rsidP="0063575E">
      <w:pPr>
        <w:widowControl w:val="0"/>
        <w:spacing w:line="240" w:lineRule="auto"/>
        <w:rPr>
          <w:color w:val="000000"/>
          <w:lang w:val="bg-BG"/>
        </w:rPr>
      </w:pPr>
    </w:p>
    <w:p w14:paraId="3E55064E" w14:textId="77777777" w:rsidR="00A44656" w:rsidRPr="00FE6AC6" w:rsidRDefault="00A44656" w:rsidP="0063575E">
      <w:pPr>
        <w:widowControl w:val="0"/>
        <w:spacing w:line="240" w:lineRule="auto"/>
        <w:rPr>
          <w:color w:val="000000"/>
          <w:lang w:val="bg-BG"/>
        </w:rPr>
      </w:pPr>
      <w:r w:rsidRPr="00FE6AC6">
        <w:rPr>
          <w:i/>
          <w:color w:val="000000"/>
          <w:lang w:val="bg-BG"/>
        </w:rPr>
        <w:t>In vitro</w:t>
      </w:r>
      <w:r w:rsidRPr="00FE6AC6">
        <w:rPr>
          <w:color w:val="000000"/>
          <w:lang w:val="bg-BG"/>
        </w:rPr>
        <w:t xml:space="preserve"> резултатите показват, че CYP3A4 e основният човешки P450 изоензим, катализиращ биотрансформация на иматиниб. От набора възможни лекарства за съвместно приложение (ацетаминофен, ацикловир, алопуринил, амфотерицин, цитарабин, еритромицин, флуконазол, хидроксиурея, норфлоксацин, пеницилин В) единствено еритромицин (IC</w:t>
      </w:r>
      <w:r w:rsidRPr="00FE6AC6">
        <w:rPr>
          <w:color w:val="000000"/>
          <w:vertAlign w:val="subscript"/>
          <w:lang w:val="bg-BG"/>
        </w:rPr>
        <w:t>50</w:t>
      </w:r>
      <w:r w:rsidRPr="00FE6AC6">
        <w:rPr>
          <w:color w:val="000000"/>
          <w:lang w:val="bg-BG"/>
        </w:rPr>
        <w:t> 50 µM) и флуконазол (IC</w:t>
      </w:r>
      <w:r w:rsidRPr="00FE6AC6">
        <w:rPr>
          <w:color w:val="000000"/>
          <w:vertAlign w:val="subscript"/>
          <w:lang w:val="bg-BG"/>
        </w:rPr>
        <w:t>50</w:t>
      </w:r>
      <w:r w:rsidRPr="00FE6AC6">
        <w:rPr>
          <w:color w:val="000000"/>
          <w:lang w:val="bg-BG"/>
        </w:rPr>
        <w:t> 118 µM) показват инхибиращo действие върху метаболизма на иматиниб, което може да има клинично значение.</w:t>
      </w:r>
    </w:p>
    <w:p w14:paraId="3E55064F" w14:textId="77777777" w:rsidR="00A44656" w:rsidRPr="00FE6AC6" w:rsidRDefault="00A44656" w:rsidP="0063575E">
      <w:pPr>
        <w:widowControl w:val="0"/>
        <w:spacing w:line="240" w:lineRule="auto"/>
        <w:rPr>
          <w:color w:val="000000"/>
          <w:lang w:val="bg-BG"/>
        </w:rPr>
      </w:pPr>
    </w:p>
    <w:p w14:paraId="3E550650" w14:textId="77777777" w:rsidR="0058505F" w:rsidRPr="00FE6AC6" w:rsidRDefault="0058505F" w:rsidP="0063575E">
      <w:pPr>
        <w:widowControl w:val="0"/>
        <w:spacing w:line="240" w:lineRule="auto"/>
        <w:rPr>
          <w:color w:val="000000"/>
          <w:lang w:val="bg-BG"/>
        </w:rPr>
      </w:pPr>
      <w:r w:rsidRPr="00FE6AC6">
        <w:rPr>
          <w:color w:val="000000"/>
          <w:lang w:val="bg-BG"/>
        </w:rPr>
        <w:t xml:space="preserve">Доказано е, че иматиниб в </w:t>
      </w:r>
      <w:r w:rsidRPr="00FE6AC6">
        <w:rPr>
          <w:i/>
          <w:color w:val="000000"/>
          <w:lang w:val="bg-BG"/>
        </w:rPr>
        <w:t>in vitro</w:t>
      </w:r>
      <w:r w:rsidRPr="00FE6AC6">
        <w:rPr>
          <w:color w:val="000000"/>
          <w:lang w:val="bg-BG"/>
        </w:rPr>
        <w:t xml:space="preserve"> условия е конкурентен инхибитор на маркиращи субстрати за CYP2C9, CYP2D6 и CYP3A4/5. Стойностите на K</w:t>
      </w:r>
      <w:r w:rsidRPr="00FE6AC6">
        <w:rPr>
          <w:color w:val="000000"/>
          <w:vertAlign w:val="subscript"/>
          <w:lang w:val="bg-BG"/>
        </w:rPr>
        <w:t>i</w:t>
      </w:r>
      <w:r w:rsidRPr="00FE6AC6">
        <w:rPr>
          <w:color w:val="000000"/>
          <w:lang w:val="bg-BG"/>
        </w:rPr>
        <w:t xml:space="preserve"> в човешките чернодробни микрозоми са съответно 27, 7,5 и 7,9 µmol/l. Максималните плазмени концентрации на иматиниб при пациентите са 2</w:t>
      </w:r>
      <w:r w:rsidRPr="00FE6AC6">
        <w:rPr>
          <w:color w:val="000000"/>
          <w:lang w:val="bg-BG"/>
        </w:rPr>
        <w:noBreakHyphen/>
        <w:t>4 µmol/l, следователно е възможно инхибирането на медиирания от CYP2D6 и/или CYP3A4/5 метаболизъм на съвместно приемани лекарства. Иматиниб не повлиява биотрансформацията на 5-флуорурацил, но инхибира метаболизма на паклитаксел в резултат на конкурентното инхибиране на CYP2C8 (K</w:t>
      </w:r>
      <w:r w:rsidRPr="00FE6AC6">
        <w:rPr>
          <w:color w:val="000000"/>
          <w:vertAlign w:val="subscript"/>
          <w:lang w:val="bg-BG"/>
        </w:rPr>
        <w:t>i</w:t>
      </w:r>
      <w:r w:rsidRPr="00FE6AC6">
        <w:rPr>
          <w:color w:val="000000"/>
          <w:lang w:val="bg-BG"/>
        </w:rPr>
        <w:t>=34,7 µM). Тази стойност на K</w:t>
      </w:r>
      <w:r w:rsidRPr="00FE6AC6">
        <w:rPr>
          <w:color w:val="000000"/>
          <w:vertAlign w:val="subscript"/>
          <w:lang w:val="bg-BG"/>
        </w:rPr>
        <w:t xml:space="preserve">i </w:t>
      </w:r>
      <w:r w:rsidRPr="00FE6AC6">
        <w:rPr>
          <w:color w:val="000000"/>
          <w:lang w:val="bg-BG"/>
        </w:rPr>
        <w:t>е далеч по-висока от очакваните плазмени нива на иматиниб при пациенти, така че не се очаква никакво взаимодействие при съвместното му приложение с 5-флуороурацил или паклитаксел.</w:t>
      </w:r>
    </w:p>
    <w:p w14:paraId="3E550651" w14:textId="77777777" w:rsidR="00A44656" w:rsidRPr="00FE6AC6" w:rsidRDefault="00A44656" w:rsidP="0063575E">
      <w:pPr>
        <w:widowControl w:val="0"/>
        <w:spacing w:line="240" w:lineRule="auto"/>
        <w:rPr>
          <w:color w:val="000000"/>
          <w:lang w:val="bg-BG"/>
        </w:rPr>
      </w:pPr>
    </w:p>
    <w:p w14:paraId="3E550652"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Елиминиране</w:t>
      </w:r>
    </w:p>
    <w:p w14:paraId="3E550653" w14:textId="77777777" w:rsidR="008450A5" w:rsidRPr="00FE6AC6" w:rsidRDefault="00A44656" w:rsidP="0063575E">
      <w:pPr>
        <w:widowControl w:val="0"/>
        <w:spacing w:line="240" w:lineRule="auto"/>
        <w:rPr>
          <w:color w:val="000000"/>
          <w:lang w:val="bg-BG"/>
        </w:rPr>
      </w:pPr>
      <w:r w:rsidRPr="00FE6AC6">
        <w:rPr>
          <w:color w:val="000000"/>
          <w:lang w:val="bg-BG"/>
        </w:rPr>
        <w:t>Въз основава на данните за отделяне на съединението(а) след перорален прием на доза белязан с </w:t>
      </w:r>
      <w:r w:rsidRPr="00FE6AC6">
        <w:rPr>
          <w:color w:val="000000"/>
          <w:vertAlign w:val="superscript"/>
          <w:lang w:val="bg-BG"/>
        </w:rPr>
        <w:t>14</w:t>
      </w:r>
      <w:r w:rsidRPr="00FE6AC6">
        <w:rPr>
          <w:color w:val="000000"/>
          <w:lang w:val="bg-BG"/>
        </w:rPr>
        <w:t xml:space="preserve">C иматиниб, приблизително 81% от дозата в рамките на 7 дни се отделя във фецеса (68% от дозата) и урината (13% от дозата). Неметаболизираният иматиниб съставлява около 25% от дозата (5% в урината, 20% във фецеса), останалата част се </w:t>
      </w:r>
      <w:r w:rsidR="008450A5" w:rsidRPr="00FE6AC6">
        <w:rPr>
          <w:color w:val="000000"/>
          <w:lang w:val="bg-BG"/>
        </w:rPr>
        <w:t>състои от метаболити.</w:t>
      </w:r>
    </w:p>
    <w:p w14:paraId="3E550654" w14:textId="77777777" w:rsidR="00A44656" w:rsidRPr="00FE6AC6" w:rsidRDefault="00A44656" w:rsidP="0063575E">
      <w:pPr>
        <w:widowControl w:val="0"/>
        <w:spacing w:line="240" w:lineRule="auto"/>
        <w:rPr>
          <w:color w:val="000000"/>
          <w:lang w:val="bg-BG"/>
        </w:rPr>
      </w:pPr>
    </w:p>
    <w:p w14:paraId="3E550655"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Плазмена фармакокинетика</w:t>
      </w:r>
    </w:p>
    <w:p w14:paraId="3E550656" w14:textId="39A91A67" w:rsidR="008450A5" w:rsidRPr="00FE6AC6" w:rsidRDefault="008450A5" w:rsidP="0063575E">
      <w:pPr>
        <w:widowControl w:val="0"/>
        <w:spacing w:line="240" w:lineRule="auto"/>
        <w:rPr>
          <w:color w:val="000000"/>
          <w:lang w:val="bg-BG"/>
        </w:rPr>
      </w:pPr>
      <w:r w:rsidRPr="00FE6AC6">
        <w:rPr>
          <w:color w:val="000000"/>
          <w:lang w:val="bg-BG"/>
        </w:rPr>
        <w:t>Проследяването след перорално приложение при здрави доброволци показва, че t</w:t>
      </w:r>
      <w:r w:rsidRPr="00FE6AC6">
        <w:rPr>
          <w:color w:val="000000"/>
          <w:vertAlign w:val="subscript"/>
          <w:lang w:val="bg-BG"/>
        </w:rPr>
        <w:t>½</w:t>
      </w:r>
      <w:r w:rsidRPr="00FE6AC6">
        <w:rPr>
          <w:color w:val="000000"/>
          <w:lang w:val="bg-BG"/>
        </w:rPr>
        <w:t xml:space="preserve"> e приблизително 18h и това предполага, че приемането му веднъж дневно е уместно. Повишаването в средния AUC с увеличаване на дозата е линейно и пропорционално в интервала 25</w:t>
      </w:r>
      <w:r w:rsidRPr="00FE6AC6">
        <w:rPr>
          <w:color w:val="000000"/>
          <w:lang w:val="bg-BG"/>
        </w:rPr>
        <w:noBreakHyphen/>
        <w:t>1 000 </w:t>
      </w:r>
      <w:r w:rsidRPr="00FE6AC6">
        <w:rPr>
          <w:color w:val="000000"/>
          <w:lang w:val="en-US"/>
        </w:rPr>
        <w:t>mg</w:t>
      </w:r>
      <w:r w:rsidRPr="00FE6AC6">
        <w:rPr>
          <w:color w:val="000000"/>
          <w:lang w:val="bg-BG"/>
        </w:rPr>
        <w:t xml:space="preserve"> след перорално приложение.Няма никаква промяна в кинетиката на иматиниб при многократно приложение, като кумулирането му е 1,5</w:t>
      </w:r>
      <w:r w:rsidRPr="00FE6AC6">
        <w:rPr>
          <w:color w:val="000000"/>
          <w:lang w:val="bg-BG"/>
        </w:rPr>
        <w:noBreakHyphen/>
        <w:t>2,5 пъти в стационарно състояние при прием веднъж дневно.</w:t>
      </w:r>
    </w:p>
    <w:p w14:paraId="3E550657" w14:textId="77777777" w:rsidR="00A44656" w:rsidRPr="00FE6AC6" w:rsidRDefault="00A44656" w:rsidP="0063575E">
      <w:pPr>
        <w:widowControl w:val="0"/>
        <w:spacing w:line="240" w:lineRule="auto"/>
        <w:rPr>
          <w:color w:val="000000"/>
          <w:lang w:val="bg-BG"/>
        </w:rPr>
      </w:pPr>
    </w:p>
    <w:p w14:paraId="3E550658"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Фармакокинетика при пациенти с ГИСТ</w:t>
      </w:r>
    </w:p>
    <w:p w14:paraId="3E550659" w14:textId="77777777" w:rsidR="00A44656" w:rsidRPr="00FE6AC6" w:rsidRDefault="00A44656" w:rsidP="0063575E">
      <w:pPr>
        <w:widowControl w:val="0"/>
        <w:spacing w:line="240" w:lineRule="auto"/>
        <w:rPr>
          <w:color w:val="000000"/>
          <w:lang w:val="bg-BG"/>
        </w:rPr>
      </w:pPr>
      <w:r w:rsidRPr="00FE6AC6">
        <w:rPr>
          <w:color w:val="000000"/>
          <w:lang w:val="bg-BG"/>
        </w:rPr>
        <w:t>При пациенти с ГИСТ стационарната плазмена концентрация е 1,5 пъти по висока в сравнение с наблюдаваната при пациенти с ХМЛ със същата дозировка (400 mg дневно). Данните от предварителния популационен фармакокинетичен анализ при пациенти с ГИСТ показват, че три променливи (албумин, ЛБ и билирубин) имат статистически значима връзка с фармакокинетиката на иматиниб. Намалените стойности на албумина предизвикват понижение на клирънса (CL/f), а по-високите нива на ЛБ водят до понижение на CL/f. Въпреки това тези данни не са достатъчно изявени, за да доведат до промяна на дозата. В тази група от пациенти наличието на чернодробни метастази е възможно да доведе до чернодробна недостатъчност и понижаване на метаболизма.</w:t>
      </w:r>
    </w:p>
    <w:p w14:paraId="3E55065A" w14:textId="77777777" w:rsidR="00A44656" w:rsidRPr="00FE6AC6" w:rsidRDefault="00A44656" w:rsidP="0063575E">
      <w:pPr>
        <w:widowControl w:val="0"/>
        <w:spacing w:line="240" w:lineRule="auto"/>
        <w:rPr>
          <w:color w:val="000000"/>
          <w:lang w:val="bg-BG"/>
        </w:rPr>
      </w:pPr>
    </w:p>
    <w:p w14:paraId="3E55065B"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Популационна фармакокинетика</w:t>
      </w:r>
    </w:p>
    <w:p w14:paraId="3E55065C" w14:textId="77777777" w:rsidR="00A44656" w:rsidRPr="00FE6AC6" w:rsidRDefault="00A44656" w:rsidP="0063575E">
      <w:pPr>
        <w:widowControl w:val="0"/>
        <w:spacing w:line="240" w:lineRule="auto"/>
        <w:rPr>
          <w:color w:val="000000"/>
          <w:lang w:val="bg-BG"/>
        </w:rPr>
      </w:pPr>
      <w:r w:rsidRPr="00FE6AC6">
        <w:rPr>
          <w:color w:val="000000"/>
          <w:lang w:val="bg-BG"/>
        </w:rPr>
        <w:t>Данните от популациония фармакокинетичен анализ при пациенти с ХМЛ показват, че възрастта оказва малък ефект върху обема на разпределение (12% повишение при пациенти &gt;65 години). Тази промяна не се приема за статистически значима. Ефектът на телесното тегло върху клирънса на иматиниб е такъв, че за пациенти с тегло 50 kg средния клирънс се очаква да бъде 8,5 l/час, докато при пациенти, тежащи 100 kg се очаква да се повиши до 11,8 l/час. Тези промени не се смятат за достатъчно основание, за да доведе до коригиране на дозата в зависимост от телесното тегло.</w:t>
      </w:r>
      <w:r w:rsidR="008450A5" w:rsidRPr="00FE6AC6">
        <w:rPr>
          <w:color w:val="000000"/>
          <w:lang w:val="bg-BG"/>
        </w:rPr>
        <w:t xml:space="preserve"> Полът няма ефект върху кинетиката на иматиниб.</w:t>
      </w:r>
    </w:p>
    <w:p w14:paraId="3E55065D" w14:textId="77777777" w:rsidR="00A44656" w:rsidRPr="00FE6AC6" w:rsidRDefault="00A44656" w:rsidP="0063575E">
      <w:pPr>
        <w:widowControl w:val="0"/>
        <w:spacing w:line="240" w:lineRule="auto"/>
        <w:rPr>
          <w:color w:val="000000"/>
          <w:lang w:val="bg-BG"/>
        </w:rPr>
      </w:pPr>
    </w:p>
    <w:p w14:paraId="3E55065E"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Фармакокинетика при деца</w:t>
      </w:r>
    </w:p>
    <w:p w14:paraId="3E55065F" w14:textId="2766BBC9" w:rsidR="008450A5" w:rsidRPr="00FE6AC6" w:rsidRDefault="008450A5" w:rsidP="0063575E">
      <w:pPr>
        <w:widowControl w:val="0"/>
        <w:spacing w:line="240" w:lineRule="auto"/>
        <w:rPr>
          <w:color w:val="000000"/>
          <w:lang w:val="bg-BG"/>
        </w:rPr>
      </w:pPr>
      <w:r w:rsidRPr="00FE6AC6">
        <w:rPr>
          <w:color w:val="000000"/>
          <w:lang w:val="bg-BG"/>
        </w:rPr>
        <w:t xml:space="preserve">Както и при възрастни пациенти, така и при деца иматиниб се абсорбира бързо след перорален прием при проучвания от фаза I и фаза </w:t>
      </w:r>
      <w:r w:rsidRPr="00FE6AC6">
        <w:rPr>
          <w:color w:val="000000"/>
          <w:lang w:val="en-US"/>
        </w:rPr>
        <w:t>II</w:t>
      </w:r>
      <w:r w:rsidRPr="00FE6AC6">
        <w:rPr>
          <w:color w:val="000000"/>
          <w:lang w:val="bg-BG"/>
        </w:rPr>
        <w:t>. Дозите при деца от 260 и 340 mg/m²/ден водят до същата експозиция като съответно дозите от 400 mg и 600 mg при възрастни пациенти. Сравняването на AUC</w:t>
      </w:r>
      <w:r w:rsidRPr="00FE6AC6">
        <w:rPr>
          <w:color w:val="000000"/>
          <w:vertAlign w:val="subscript"/>
          <w:lang w:val="bg-BG"/>
        </w:rPr>
        <w:t>(0-24)</w:t>
      </w:r>
      <w:r w:rsidRPr="00FE6AC6">
        <w:rPr>
          <w:color w:val="000000"/>
          <w:lang w:val="bg-BG"/>
        </w:rPr>
        <w:t xml:space="preserve"> на 8-ия и 1-ия ден при дози от 340 mg/m²/ден показва 1,7 пъти по-високо натрупване на лекарството след неколкократно ежедневно приложение.</w:t>
      </w:r>
    </w:p>
    <w:p w14:paraId="3E550660" w14:textId="77777777" w:rsidR="00206A07" w:rsidRPr="00FE6AC6" w:rsidRDefault="00206A07" w:rsidP="0063575E">
      <w:pPr>
        <w:pStyle w:val="EndnoteText"/>
        <w:widowControl w:val="0"/>
        <w:rPr>
          <w:color w:val="000000"/>
          <w:szCs w:val="22"/>
          <w:lang w:val="bg-BG"/>
        </w:rPr>
      </w:pPr>
    </w:p>
    <w:p w14:paraId="3E550661" w14:textId="77777777" w:rsidR="00206A07" w:rsidRPr="00FE6AC6" w:rsidRDefault="00206A07" w:rsidP="0063575E">
      <w:pPr>
        <w:pStyle w:val="EndnoteText"/>
        <w:widowControl w:val="0"/>
        <w:rPr>
          <w:color w:val="000000"/>
          <w:szCs w:val="22"/>
          <w:lang w:val="bg-BG"/>
        </w:rPr>
      </w:pPr>
      <w:r w:rsidRPr="00FE6AC6">
        <w:rPr>
          <w:color w:val="000000"/>
          <w:szCs w:val="22"/>
          <w:lang w:val="bg-BG"/>
        </w:rPr>
        <w:t xml:space="preserve">Въз основа на сборен популационен фармакокинетичен анализ при педиатрични пациенти с хематологични заболявания (ХМЛ, </w:t>
      </w:r>
      <w:r w:rsidRPr="00FE6AC6">
        <w:rPr>
          <w:color w:val="000000"/>
          <w:szCs w:val="22"/>
        </w:rPr>
        <w:t>Ph</w:t>
      </w:r>
      <w:r w:rsidRPr="00FE6AC6">
        <w:rPr>
          <w:color w:val="000000"/>
          <w:szCs w:val="22"/>
          <w:lang w:val="bg-BG"/>
        </w:rPr>
        <w:t>+ОЛЛ или други хематологични заболявания лекувани с иматиниб), клирънсът на иматиниб се увеличава с увеличаване на телесната повърхност. След коригиране за ефекта на телесната повърхност останалите демографски показатели като възраст, телесно тегло и индекс на телесна маса нямат клинично значим ефект върху експозицията на иматиниб. Анализът потвърждава, че експозицията на иматиниб при педиатрични пациенти, получаващи 260</w:t>
      </w:r>
      <w:r w:rsidRPr="00FE6AC6">
        <w:rPr>
          <w:color w:val="000000"/>
          <w:szCs w:val="22"/>
        </w:rPr>
        <w:t> mg</w:t>
      </w:r>
      <w:r w:rsidRPr="00FE6AC6">
        <w:rPr>
          <w:color w:val="000000"/>
          <w:szCs w:val="22"/>
          <w:lang w:val="bg-BG"/>
        </w:rPr>
        <w:t>/</w:t>
      </w:r>
      <w:r w:rsidRPr="00FE6AC6">
        <w:rPr>
          <w:color w:val="000000"/>
          <w:szCs w:val="22"/>
        </w:rPr>
        <w:t>m</w:t>
      </w:r>
      <w:r w:rsidRPr="00FE6AC6">
        <w:rPr>
          <w:color w:val="000000"/>
          <w:szCs w:val="22"/>
          <w:vertAlign w:val="superscript"/>
          <w:lang w:val="bg-BG"/>
        </w:rPr>
        <w:t>2</w:t>
      </w:r>
      <w:r w:rsidRPr="00FE6AC6">
        <w:rPr>
          <w:color w:val="000000"/>
          <w:szCs w:val="22"/>
          <w:lang w:val="bg-BG"/>
        </w:rPr>
        <w:t xml:space="preserve"> веднъж дневно (без да се превишават 400</w:t>
      </w:r>
      <w:r w:rsidRPr="00FE6AC6">
        <w:rPr>
          <w:color w:val="000000"/>
          <w:szCs w:val="22"/>
        </w:rPr>
        <w:t> mg</w:t>
      </w:r>
      <w:r w:rsidRPr="00FE6AC6">
        <w:rPr>
          <w:color w:val="000000"/>
          <w:szCs w:val="22"/>
          <w:lang w:val="bg-BG"/>
        </w:rPr>
        <w:t xml:space="preserve"> веднъж дневно) или 340</w:t>
      </w:r>
      <w:r w:rsidRPr="00FE6AC6">
        <w:rPr>
          <w:color w:val="000000"/>
          <w:szCs w:val="22"/>
        </w:rPr>
        <w:t> mg</w:t>
      </w:r>
      <w:r w:rsidRPr="00FE6AC6">
        <w:rPr>
          <w:color w:val="000000"/>
          <w:szCs w:val="22"/>
          <w:lang w:val="bg-BG"/>
        </w:rPr>
        <w:t>/</w:t>
      </w:r>
      <w:r w:rsidRPr="00FE6AC6">
        <w:rPr>
          <w:color w:val="000000"/>
          <w:szCs w:val="22"/>
        </w:rPr>
        <w:t>m</w:t>
      </w:r>
      <w:r w:rsidRPr="00FE6AC6">
        <w:rPr>
          <w:color w:val="000000"/>
          <w:szCs w:val="22"/>
          <w:vertAlign w:val="superscript"/>
          <w:lang w:val="bg-BG"/>
        </w:rPr>
        <w:t>2</w:t>
      </w:r>
      <w:r w:rsidRPr="00FE6AC6">
        <w:rPr>
          <w:color w:val="000000"/>
          <w:szCs w:val="22"/>
          <w:lang w:val="bg-BG"/>
        </w:rPr>
        <w:t xml:space="preserve"> веднъж днево (без да се превишават 600</w:t>
      </w:r>
      <w:r w:rsidRPr="00FE6AC6">
        <w:rPr>
          <w:color w:val="000000"/>
          <w:szCs w:val="22"/>
        </w:rPr>
        <w:t> mg</w:t>
      </w:r>
      <w:r w:rsidRPr="00FE6AC6">
        <w:rPr>
          <w:color w:val="000000"/>
          <w:szCs w:val="22"/>
          <w:lang w:val="bg-BG"/>
        </w:rPr>
        <w:t xml:space="preserve"> веднъж дневно) е подобна на тази при възрастни пациенти, които получават иматиниб 400</w:t>
      </w:r>
      <w:r w:rsidRPr="00FE6AC6">
        <w:rPr>
          <w:color w:val="000000"/>
          <w:szCs w:val="22"/>
        </w:rPr>
        <w:t> mg</w:t>
      </w:r>
      <w:r w:rsidRPr="00FE6AC6">
        <w:rPr>
          <w:color w:val="000000"/>
          <w:szCs w:val="22"/>
          <w:lang w:val="bg-BG"/>
        </w:rPr>
        <w:t xml:space="preserve"> или 600</w:t>
      </w:r>
      <w:r w:rsidRPr="00FE6AC6">
        <w:rPr>
          <w:color w:val="000000"/>
          <w:szCs w:val="22"/>
        </w:rPr>
        <w:t> mg</w:t>
      </w:r>
      <w:r w:rsidRPr="00FE6AC6">
        <w:rPr>
          <w:color w:val="000000"/>
          <w:szCs w:val="22"/>
          <w:lang w:val="bg-BG"/>
        </w:rPr>
        <w:t xml:space="preserve"> веднъж дневно.</w:t>
      </w:r>
    </w:p>
    <w:p w14:paraId="3E550662" w14:textId="77777777" w:rsidR="00A44656" w:rsidRPr="00FE6AC6" w:rsidRDefault="00A44656" w:rsidP="0063575E">
      <w:pPr>
        <w:widowControl w:val="0"/>
        <w:spacing w:line="240" w:lineRule="auto"/>
        <w:rPr>
          <w:color w:val="000000"/>
          <w:lang w:val="bg-BG"/>
        </w:rPr>
      </w:pPr>
    </w:p>
    <w:p w14:paraId="3E550663" w14:textId="77777777" w:rsidR="00A44656" w:rsidRPr="00FE6AC6" w:rsidRDefault="00A44656" w:rsidP="0063575E">
      <w:pPr>
        <w:keepNext/>
        <w:widowControl w:val="0"/>
        <w:spacing w:line="240" w:lineRule="auto"/>
        <w:rPr>
          <w:color w:val="000000"/>
          <w:u w:val="single"/>
          <w:lang w:val="bg-BG"/>
        </w:rPr>
      </w:pPr>
      <w:r w:rsidRPr="00FE6AC6">
        <w:rPr>
          <w:color w:val="000000"/>
          <w:u w:val="single"/>
          <w:lang w:val="bg-BG"/>
        </w:rPr>
        <w:t>Нарушена органна функция</w:t>
      </w:r>
    </w:p>
    <w:p w14:paraId="3E550664" w14:textId="77777777" w:rsidR="008450A5" w:rsidRPr="00FE6AC6" w:rsidRDefault="008450A5" w:rsidP="0063575E">
      <w:pPr>
        <w:pStyle w:val="EndnoteText"/>
        <w:widowControl w:val="0"/>
        <w:tabs>
          <w:tab w:val="clear" w:pos="567"/>
        </w:tabs>
        <w:rPr>
          <w:color w:val="000000"/>
          <w:lang w:val="bg-BG"/>
        </w:rPr>
      </w:pPr>
      <w:r w:rsidRPr="00FE6AC6">
        <w:rPr>
          <w:color w:val="000000"/>
          <w:lang w:val="bg-BG"/>
        </w:rPr>
        <w:t>Иматиниб и неговите метаболити</w:t>
      </w:r>
      <w:r w:rsidRPr="00FE6AC6">
        <w:rPr>
          <w:b/>
          <w:color w:val="000000"/>
          <w:lang w:val="bg-BG"/>
        </w:rPr>
        <w:t xml:space="preserve"> </w:t>
      </w:r>
      <w:r w:rsidRPr="00FE6AC6">
        <w:rPr>
          <w:color w:val="000000"/>
          <w:lang w:val="bg-BG"/>
        </w:rPr>
        <w:t xml:space="preserve">не се отделят в значителна степен през бъбреците. Пациентите с леко до умерено нарушение на бъбречната функция показват по-висока плазмена експозиция на иматиниб, отколкото пациентите с нормална бъбречна функция. Повишението е приблизително 1,5- до 2-пъти, съответстващо на 1,5-кратно увеличение на плазмения </w:t>
      </w:r>
      <w:r w:rsidRPr="00FE6AC6">
        <w:rPr>
          <w:color w:val="000000"/>
        </w:rPr>
        <w:t>AGP</w:t>
      </w:r>
      <w:r w:rsidRPr="00FE6AC6">
        <w:rPr>
          <w:color w:val="000000"/>
          <w:lang w:val="bg-BG"/>
        </w:rPr>
        <w:t>, към който иматиниб се свързва в голяма степен. Клирънсът на свободния иматиниб е вероятно подобен при пациентите с бъбречно нарушение и тези с нормална бъбречна функция, тъй като бъбречната екскреция представлява само малък част от пътя на елиминиране на иматиниб (вж. точка 4.2 и 4.4).</w:t>
      </w:r>
    </w:p>
    <w:p w14:paraId="3E550665" w14:textId="77777777" w:rsidR="00A44656" w:rsidRPr="00FE6AC6" w:rsidRDefault="00A44656" w:rsidP="0063575E">
      <w:pPr>
        <w:widowControl w:val="0"/>
        <w:spacing w:line="240" w:lineRule="auto"/>
        <w:rPr>
          <w:color w:val="000000"/>
          <w:lang w:val="bg-BG"/>
        </w:rPr>
      </w:pPr>
    </w:p>
    <w:p w14:paraId="3E550666" w14:textId="77777777" w:rsidR="008450A5" w:rsidRPr="00FE6AC6" w:rsidRDefault="008450A5" w:rsidP="0063575E">
      <w:pPr>
        <w:widowControl w:val="0"/>
        <w:spacing w:line="240" w:lineRule="auto"/>
        <w:rPr>
          <w:color w:val="000000"/>
          <w:lang w:val="bg-BG"/>
        </w:rPr>
      </w:pPr>
      <w:r w:rsidRPr="00FE6AC6">
        <w:rPr>
          <w:color w:val="000000"/>
          <w:lang w:val="bg-BG"/>
        </w:rPr>
        <w:t>Въпреки че резултатите от фармакокинетичния анализ показват съществуването на значимо индивидуално вариране, средната експозиция на иматиниб не се повишава при пациенти с различни по степен нарушения на чернодробната функция, в сравнение с тези с нормална чернодробна функция (вж. точки</w:t>
      </w:r>
      <w:r w:rsidRPr="00FE6AC6">
        <w:rPr>
          <w:color w:val="000000"/>
          <w:lang w:val="en-US"/>
        </w:rPr>
        <w:t> </w:t>
      </w:r>
      <w:r w:rsidRPr="00FE6AC6">
        <w:rPr>
          <w:color w:val="000000"/>
          <w:lang w:val="bg-BG"/>
        </w:rPr>
        <w:t>4.2, 4.4 и 4.8).</w:t>
      </w:r>
    </w:p>
    <w:p w14:paraId="3E550667" w14:textId="77777777" w:rsidR="00A44656" w:rsidRPr="00FE6AC6" w:rsidRDefault="00A44656" w:rsidP="0063575E">
      <w:pPr>
        <w:widowControl w:val="0"/>
        <w:spacing w:line="240" w:lineRule="auto"/>
        <w:rPr>
          <w:color w:val="000000"/>
          <w:lang w:val="bg-BG"/>
        </w:rPr>
      </w:pPr>
    </w:p>
    <w:p w14:paraId="3E550668" w14:textId="77777777" w:rsidR="00A44656" w:rsidRPr="00FE6AC6" w:rsidRDefault="00A44656" w:rsidP="0063575E">
      <w:pPr>
        <w:keepNext/>
        <w:widowControl w:val="0"/>
        <w:spacing w:line="240" w:lineRule="auto"/>
        <w:rPr>
          <w:color w:val="000000"/>
          <w:lang w:val="bg-BG"/>
        </w:rPr>
      </w:pPr>
      <w:r w:rsidRPr="00FE6AC6">
        <w:rPr>
          <w:b/>
          <w:color w:val="000000"/>
          <w:lang w:val="bg-BG"/>
        </w:rPr>
        <w:t>5.3</w:t>
      </w:r>
      <w:r w:rsidRPr="00FE6AC6">
        <w:rPr>
          <w:b/>
          <w:color w:val="000000"/>
          <w:lang w:val="bg-BG"/>
        </w:rPr>
        <w:tab/>
        <w:t>Предклинични данни за безопасност</w:t>
      </w:r>
    </w:p>
    <w:p w14:paraId="3E550669" w14:textId="77777777" w:rsidR="00A44656" w:rsidRPr="00FE6AC6" w:rsidRDefault="00A44656" w:rsidP="0063575E">
      <w:pPr>
        <w:keepNext/>
        <w:widowControl w:val="0"/>
        <w:spacing w:line="240" w:lineRule="auto"/>
        <w:rPr>
          <w:color w:val="000000"/>
          <w:lang w:val="bg-BG"/>
        </w:rPr>
      </w:pPr>
    </w:p>
    <w:p w14:paraId="3E55066A" w14:textId="77777777" w:rsidR="00A44656" w:rsidRPr="00FE6AC6" w:rsidRDefault="00A44656" w:rsidP="0063575E">
      <w:pPr>
        <w:widowControl w:val="0"/>
        <w:spacing w:line="240" w:lineRule="auto"/>
        <w:rPr>
          <w:color w:val="000000"/>
          <w:lang w:val="bg-BG"/>
        </w:rPr>
      </w:pPr>
      <w:r w:rsidRPr="00FE6AC6">
        <w:rPr>
          <w:color w:val="000000"/>
          <w:lang w:val="bg-BG"/>
        </w:rPr>
        <w:t>Предклиничният профил на безопасност на иматиниб е оценен при кучетата, плъхове, маймуни и зайци.</w:t>
      </w:r>
    </w:p>
    <w:p w14:paraId="3E55066B" w14:textId="77777777" w:rsidR="00A44656" w:rsidRPr="00FE6AC6" w:rsidRDefault="00A44656" w:rsidP="0063575E">
      <w:pPr>
        <w:widowControl w:val="0"/>
        <w:spacing w:line="240" w:lineRule="auto"/>
        <w:rPr>
          <w:color w:val="000000"/>
          <w:lang w:val="bg-BG"/>
        </w:rPr>
      </w:pPr>
    </w:p>
    <w:p w14:paraId="3E55066C" w14:textId="77777777" w:rsidR="00A44656" w:rsidRPr="00FE6AC6" w:rsidRDefault="00A44656" w:rsidP="0063575E">
      <w:pPr>
        <w:widowControl w:val="0"/>
        <w:spacing w:line="240" w:lineRule="auto"/>
        <w:rPr>
          <w:color w:val="000000"/>
          <w:lang w:val="bg-BG"/>
        </w:rPr>
      </w:pPr>
      <w:r w:rsidRPr="00FE6AC6">
        <w:rPr>
          <w:color w:val="000000"/>
          <w:lang w:val="bg-BG"/>
        </w:rPr>
        <w:t>Проучванията за токсичност при многократно приложение показват леки до умерени хематологични промени при плъхове, кучета и маймуни, съпроводени с промени в костния мозък при кучета и плъхове.</w:t>
      </w:r>
    </w:p>
    <w:p w14:paraId="3E55066D" w14:textId="77777777" w:rsidR="00A44656" w:rsidRPr="00FE6AC6" w:rsidRDefault="00A44656" w:rsidP="0063575E">
      <w:pPr>
        <w:widowControl w:val="0"/>
        <w:spacing w:line="240" w:lineRule="auto"/>
        <w:rPr>
          <w:color w:val="000000"/>
          <w:lang w:val="bg-BG"/>
        </w:rPr>
      </w:pPr>
    </w:p>
    <w:p w14:paraId="3E55066E" w14:textId="77777777" w:rsidR="00A44656" w:rsidRPr="00FE6AC6" w:rsidRDefault="00A44656" w:rsidP="0063575E">
      <w:pPr>
        <w:widowControl w:val="0"/>
        <w:spacing w:line="240" w:lineRule="auto"/>
        <w:rPr>
          <w:color w:val="000000"/>
          <w:lang w:val="bg-BG"/>
        </w:rPr>
      </w:pPr>
      <w:r w:rsidRPr="00FE6AC6">
        <w:rPr>
          <w:color w:val="000000"/>
          <w:lang w:val="bg-BG"/>
        </w:rPr>
        <w:t>Черният дроб е прицелния орган при плъхове и кучета. При двата вида се наблюдават леки до умерени повишения на нивата на трансаминазите и леко понижение на холестерола, триглицеридите, общия белтък и албумина. В черен дроб на плъхове не се откриват никакви хистопатологични промени. Тежка чернодробна токсичност се наблюдава след двуседмично третиране на кучета, с повишаване на чернодробните ензими, некроза на хепатоцитите, некроза и хиперплазия на жлъчните пътища.</w:t>
      </w:r>
    </w:p>
    <w:p w14:paraId="3E55066F" w14:textId="77777777" w:rsidR="00A44656" w:rsidRPr="00FE6AC6" w:rsidRDefault="00A44656" w:rsidP="0063575E">
      <w:pPr>
        <w:widowControl w:val="0"/>
        <w:spacing w:line="240" w:lineRule="auto"/>
        <w:rPr>
          <w:color w:val="000000"/>
          <w:lang w:val="bg-BG"/>
        </w:rPr>
      </w:pPr>
    </w:p>
    <w:p w14:paraId="3E550670" w14:textId="77777777" w:rsidR="00A44656" w:rsidRPr="00FE6AC6" w:rsidRDefault="00A44656" w:rsidP="0063575E">
      <w:pPr>
        <w:widowControl w:val="0"/>
        <w:spacing w:line="240" w:lineRule="auto"/>
        <w:rPr>
          <w:color w:val="000000"/>
          <w:lang w:val="bg-BG"/>
        </w:rPr>
      </w:pPr>
      <w:r w:rsidRPr="00FE6AC6">
        <w:rPr>
          <w:color w:val="000000"/>
          <w:lang w:val="bg-BG"/>
        </w:rPr>
        <w:t>При маймуни, третирани в продължение на 2 седмици, се наблюдава бъбречна токсичност, изразяваща се с фокална минерализация и дилатация на бъбречните каналчета и тубулна нефроза. При някои от тези животни се наблюдава повишаване на серумните урея и креатинин. При 13 седмично проучване на плъхове се наблюдава хиперплазия на преходния епител в бъбречната папила и на пикочния мехур при доза от 6 mg/kg без промени в серумните и уринните параметри. При хронично прилагане на иматиниб се наблюдава повишена честота на опортюнистичните инфекции.</w:t>
      </w:r>
    </w:p>
    <w:p w14:paraId="3E550671" w14:textId="77777777" w:rsidR="00A44656" w:rsidRPr="00FE6AC6" w:rsidRDefault="00A44656" w:rsidP="0063575E">
      <w:pPr>
        <w:widowControl w:val="0"/>
        <w:spacing w:line="240" w:lineRule="auto"/>
        <w:rPr>
          <w:color w:val="000000"/>
          <w:lang w:val="bg-BG"/>
        </w:rPr>
      </w:pPr>
    </w:p>
    <w:p w14:paraId="3E550672" w14:textId="77777777" w:rsidR="00A44656" w:rsidRPr="00FE6AC6" w:rsidRDefault="00A44656" w:rsidP="0063575E">
      <w:pPr>
        <w:widowControl w:val="0"/>
        <w:spacing w:line="240" w:lineRule="auto"/>
        <w:rPr>
          <w:color w:val="000000"/>
          <w:lang w:val="bg-BG"/>
        </w:rPr>
      </w:pPr>
      <w:r w:rsidRPr="00FE6AC6">
        <w:rPr>
          <w:color w:val="000000"/>
          <w:lang w:val="bg-BG"/>
        </w:rPr>
        <w:t>При 39 седмично проучване при маймуни, e установено ниво на липса на нежелани реакции при най-ниската доза от 15 mg/kg, което е приблизително една трета от максималната доза при хора от 800 mg</w:t>
      </w:r>
      <w:r w:rsidR="008450A5" w:rsidRPr="00FE6AC6">
        <w:rPr>
          <w:color w:val="000000"/>
          <w:lang w:val="bg-BG"/>
        </w:rPr>
        <w:t>,</w:t>
      </w:r>
      <w:r w:rsidRPr="00FE6AC6">
        <w:rPr>
          <w:color w:val="000000"/>
          <w:lang w:val="bg-BG"/>
        </w:rPr>
        <w:t xml:space="preserve"> според повърхността на тялото. Лечението води до влошаване на нормално потиснатите маларийни инфекции при тези животни.</w:t>
      </w:r>
    </w:p>
    <w:p w14:paraId="3E550673" w14:textId="77777777" w:rsidR="00A44656" w:rsidRPr="00FE6AC6" w:rsidRDefault="00A44656" w:rsidP="0063575E">
      <w:pPr>
        <w:widowControl w:val="0"/>
        <w:spacing w:line="240" w:lineRule="auto"/>
        <w:rPr>
          <w:color w:val="000000"/>
          <w:lang w:val="bg-BG"/>
        </w:rPr>
      </w:pPr>
    </w:p>
    <w:p w14:paraId="3E550674" w14:textId="77777777" w:rsidR="00A44656" w:rsidRPr="00FE6AC6" w:rsidRDefault="00A44656" w:rsidP="0063575E">
      <w:pPr>
        <w:widowControl w:val="0"/>
        <w:spacing w:line="240" w:lineRule="auto"/>
        <w:rPr>
          <w:color w:val="000000"/>
          <w:lang w:val="bg-BG"/>
        </w:rPr>
      </w:pPr>
      <w:r w:rsidRPr="00FE6AC6">
        <w:rPr>
          <w:color w:val="000000"/>
          <w:lang w:val="bg-BG"/>
        </w:rPr>
        <w:t xml:space="preserve">Иматиниб не показва генотоксичност при изследването му </w:t>
      </w:r>
      <w:r w:rsidRPr="00FE6AC6">
        <w:rPr>
          <w:i/>
          <w:color w:val="000000"/>
          <w:lang w:val="bg-BG"/>
        </w:rPr>
        <w:t>in vitro</w:t>
      </w:r>
      <w:r w:rsidRPr="00FE6AC6">
        <w:rPr>
          <w:color w:val="000000"/>
          <w:lang w:val="bg-BG"/>
        </w:rPr>
        <w:t xml:space="preserve"> върху бактериална клетъчна култура (тест на Ames), </w:t>
      </w:r>
      <w:r w:rsidRPr="00FE6AC6">
        <w:rPr>
          <w:i/>
          <w:color w:val="000000"/>
          <w:lang w:val="bg-BG"/>
        </w:rPr>
        <w:t xml:space="preserve">in vitro </w:t>
      </w:r>
      <w:r w:rsidRPr="00FE6AC6">
        <w:rPr>
          <w:color w:val="000000"/>
          <w:lang w:val="bg-BG"/>
        </w:rPr>
        <w:t xml:space="preserve">върху клетъчна култура от бозайници (лимфом при мишки), </w:t>
      </w:r>
      <w:r w:rsidR="008450A5" w:rsidRPr="00FE6AC6">
        <w:rPr>
          <w:color w:val="000000"/>
          <w:lang w:val="bg-BG"/>
        </w:rPr>
        <w:t xml:space="preserve">както </w:t>
      </w:r>
      <w:r w:rsidRPr="00FE6AC6">
        <w:rPr>
          <w:color w:val="000000"/>
          <w:lang w:val="bg-BG"/>
        </w:rPr>
        <w:t>и</w:t>
      </w:r>
      <w:r w:rsidRPr="00FE6AC6">
        <w:rPr>
          <w:i/>
          <w:color w:val="000000"/>
          <w:lang w:val="bg-BG"/>
        </w:rPr>
        <w:t xml:space="preserve"> in vivo </w:t>
      </w:r>
      <w:r w:rsidRPr="00FE6AC6">
        <w:rPr>
          <w:color w:val="000000"/>
          <w:lang w:val="bg-BG"/>
        </w:rPr>
        <w:t xml:space="preserve">при микронуклеарен тест при плъхове. Положителни генотоксични ефекти за кластотоксичност (хромозомни аберации) при иматиниб се наблюдават </w:t>
      </w:r>
      <w:r w:rsidRPr="00FE6AC6">
        <w:rPr>
          <w:i/>
          <w:color w:val="000000"/>
          <w:lang w:val="bg-BG"/>
        </w:rPr>
        <w:t xml:space="preserve">in vitro </w:t>
      </w:r>
      <w:r w:rsidRPr="00FE6AC6">
        <w:rPr>
          <w:color w:val="000000"/>
          <w:lang w:val="bg-BG"/>
        </w:rPr>
        <w:t>върху клетъчна култура от бозайници (яйчник от Китайски хамстер)</w:t>
      </w:r>
      <w:r w:rsidR="008450A5" w:rsidRPr="00FE6AC6">
        <w:rPr>
          <w:color w:val="000000"/>
          <w:lang w:val="bg-BG"/>
        </w:rPr>
        <w:t>,</w:t>
      </w:r>
      <w:r w:rsidRPr="00FE6AC6">
        <w:rPr>
          <w:color w:val="000000"/>
          <w:lang w:val="bg-BG"/>
        </w:rPr>
        <w:t xml:space="preserve"> в присъствието на метаболитна активация. Още два междинни продукта от производствения процес, които се намират и в крайния лекарствен продукт, дават положителен тест на Ames за мутации. Единият от тези междинни продукти се позитивира също при пробата от миши лимфом.</w:t>
      </w:r>
    </w:p>
    <w:p w14:paraId="3E550675" w14:textId="77777777" w:rsidR="00A44656" w:rsidRPr="00FE6AC6" w:rsidRDefault="00A44656" w:rsidP="0063575E">
      <w:pPr>
        <w:widowControl w:val="0"/>
        <w:spacing w:line="240" w:lineRule="auto"/>
        <w:rPr>
          <w:color w:val="000000"/>
          <w:lang w:val="bg-BG"/>
        </w:rPr>
      </w:pPr>
    </w:p>
    <w:p w14:paraId="3E550676" w14:textId="77777777" w:rsidR="00A44656" w:rsidRPr="00FE6AC6" w:rsidRDefault="00A44656" w:rsidP="0063575E">
      <w:pPr>
        <w:widowControl w:val="0"/>
        <w:spacing w:line="240" w:lineRule="auto"/>
        <w:rPr>
          <w:color w:val="000000"/>
          <w:lang w:val="bg-BG"/>
        </w:rPr>
      </w:pPr>
      <w:r w:rsidRPr="00FE6AC6">
        <w:rPr>
          <w:color w:val="000000"/>
          <w:lang w:val="bg-BG"/>
        </w:rPr>
        <w:t>При проучване за изследване на плодовитостта при мъжки плъхове, третирани с иматиниб в продължение на 70 дни преди чифтосването се наблюдава намаляване на теглото на тестисите и епидидимите и процента на подвижните сперматозоидите при доза от 60 mg/kg, която е приблизително равна на максималната клинична доза от 800 mg/kg, отнесена към повърхността на тялото.Това не се наблюдава при доза ≤20 mg/kg. Редукция на сперматогенезата в лека до умерена степен се наблюдава и при кучета при перорална доза от ≥30 </w:t>
      </w:r>
      <w:r w:rsidRPr="00FE6AC6">
        <w:rPr>
          <w:color w:val="000000"/>
          <w:lang w:val="en-US"/>
        </w:rPr>
        <w:t>mg</w:t>
      </w:r>
      <w:r w:rsidRPr="00FE6AC6">
        <w:rPr>
          <w:color w:val="000000"/>
          <w:lang w:val="bg-BG"/>
        </w:rPr>
        <w:t>/</w:t>
      </w:r>
      <w:r w:rsidRPr="00FE6AC6">
        <w:rPr>
          <w:color w:val="000000"/>
          <w:lang w:val="en-US"/>
        </w:rPr>
        <w:t>kg</w:t>
      </w:r>
      <w:r w:rsidRPr="00FE6AC6">
        <w:rPr>
          <w:color w:val="000000"/>
          <w:lang w:val="bg-BG"/>
        </w:rPr>
        <w:t>. При женски плъхове, които са третирани с лекарството 14 дни преди чифтосването до 6</w:t>
      </w:r>
      <w:r w:rsidRPr="00FE6AC6">
        <w:rPr>
          <w:color w:val="000000"/>
          <w:lang w:val="en-US"/>
        </w:rPr>
        <w:t> </w:t>
      </w:r>
      <w:r w:rsidRPr="00FE6AC6">
        <w:rPr>
          <w:color w:val="000000"/>
          <w:lang w:val="bg-BG"/>
        </w:rPr>
        <w:t>гестационен ден, не се наблюдава ефект върху куполативната способност или върху броя на бременните женски. При доза от 60 mg/kg женските плъхове имат значителна постимплатационна фетална загуба и намаление на броя на живите плодове. Това не се наблюдава при дози ≤20 mg/kg.</w:t>
      </w:r>
    </w:p>
    <w:p w14:paraId="3E550677" w14:textId="77777777" w:rsidR="00A44656" w:rsidRPr="00FE6AC6" w:rsidRDefault="00A44656" w:rsidP="0063575E">
      <w:pPr>
        <w:widowControl w:val="0"/>
        <w:spacing w:line="240" w:lineRule="auto"/>
        <w:rPr>
          <w:color w:val="000000"/>
          <w:lang w:val="bg-BG"/>
        </w:rPr>
      </w:pPr>
    </w:p>
    <w:p w14:paraId="3E550678" w14:textId="2B3EC3BF" w:rsidR="008450A5" w:rsidRPr="00FE6AC6" w:rsidRDefault="008450A5" w:rsidP="0063575E">
      <w:pPr>
        <w:widowControl w:val="0"/>
        <w:spacing w:line="240" w:lineRule="auto"/>
        <w:rPr>
          <w:color w:val="000000"/>
          <w:lang w:val="bg-BG"/>
        </w:rPr>
      </w:pPr>
      <w:r w:rsidRPr="00FE6AC6">
        <w:rPr>
          <w:color w:val="000000"/>
          <w:lang w:val="bg-BG"/>
        </w:rPr>
        <w:t>В проучване влиянието на пероралния прием върху пре- и постнаталното развитие при плъхове се описват вагинални кръвотечения в групата с доза от 45 mg/kg/ден на 14</w:t>
      </w:r>
      <w:r w:rsidRPr="00FE6AC6">
        <w:rPr>
          <w:color w:val="000000"/>
          <w:lang w:val="en-US"/>
        </w:rPr>
        <w:t> </w:t>
      </w:r>
      <w:r w:rsidRPr="00FE6AC6">
        <w:rPr>
          <w:color w:val="000000"/>
          <w:lang w:val="bg-BG"/>
        </w:rPr>
        <w:t>или на 15</w:t>
      </w:r>
      <w:r w:rsidRPr="00FE6AC6">
        <w:rPr>
          <w:color w:val="000000"/>
          <w:lang w:val="en-US"/>
        </w:rPr>
        <w:t> </w:t>
      </w:r>
      <w:r w:rsidRPr="00FE6AC6">
        <w:rPr>
          <w:color w:val="000000"/>
          <w:lang w:val="bg-BG"/>
        </w:rPr>
        <w:t>гестационен ден. При същата доза, броят на мъртвородените плъхчета, както и на починалите между 0 и 4 ден след раждането е повишен. При поколение F</w:t>
      </w:r>
      <w:r w:rsidRPr="00FE6AC6">
        <w:rPr>
          <w:color w:val="000000"/>
          <w:vertAlign w:val="subscript"/>
          <w:lang w:val="bg-BG"/>
        </w:rPr>
        <w:t>1</w:t>
      </w:r>
      <w:r w:rsidRPr="00FE6AC6">
        <w:rPr>
          <w:color w:val="000000"/>
          <w:lang w:val="bg-BG"/>
        </w:rPr>
        <w:t>, при същото дозово ниво, средното телесно тегло е понижено от раждането до смъртта на животните и броят на новородените, достигащи критерий за отделяне е леко понижен. Фертилната способност на поколение F</w:t>
      </w:r>
      <w:r w:rsidRPr="00FE6AC6">
        <w:rPr>
          <w:color w:val="000000"/>
          <w:vertAlign w:val="subscript"/>
          <w:lang w:val="bg-BG"/>
        </w:rPr>
        <w:t>1 </w:t>
      </w:r>
      <w:r w:rsidRPr="00FE6AC6">
        <w:rPr>
          <w:color w:val="000000"/>
          <w:lang w:val="bg-BG"/>
        </w:rPr>
        <w:t>не е засегната, но се забелязва, че е повишен броят на резорбции и е намален броят на жизнеспособните плодове при 45 mg/kg/ден. Нивото на липса на нежелани реакции за майките и за поколение F</w:t>
      </w:r>
      <w:r w:rsidRPr="00FE6AC6">
        <w:rPr>
          <w:color w:val="000000"/>
          <w:vertAlign w:val="subscript"/>
          <w:lang w:val="bg-BG"/>
        </w:rPr>
        <w:t>1 </w:t>
      </w:r>
      <w:r w:rsidRPr="00FE6AC6">
        <w:rPr>
          <w:color w:val="000000"/>
          <w:lang w:val="bg-BG"/>
        </w:rPr>
        <w:t>е 15 mg/kg/ден (</w:t>
      </w:r>
      <w:r w:rsidRPr="00FE6AC6">
        <w:rPr>
          <w:color w:val="000000"/>
          <w:lang w:val="en-US"/>
        </w:rPr>
        <w:t>e</w:t>
      </w:r>
      <w:r w:rsidRPr="00FE6AC6">
        <w:rPr>
          <w:color w:val="000000"/>
          <w:lang w:val="bg-BG"/>
        </w:rPr>
        <w:t>дна четвърт от максималната доза за хора от 800 mg).</w:t>
      </w:r>
    </w:p>
    <w:p w14:paraId="3E550679" w14:textId="77777777" w:rsidR="00A44656" w:rsidRPr="00FE6AC6" w:rsidRDefault="00A44656" w:rsidP="0063575E">
      <w:pPr>
        <w:widowControl w:val="0"/>
        <w:spacing w:line="240" w:lineRule="auto"/>
        <w:rPr>
          <w:color w:val="000000"/>
          <w:lang w:val="bg-BG"/>
        </w:rPr>
      </w:pPr>
    </w:p>
    <w:p w14:paraId="3E55067A" w14:textId="77777777" w:rsidR="00A44656" w:rsidRPr="00FE6AC6" w:rsidRDefault="00A44656" w:rsidP="0063575E">
      <w:pPr>
        <w:widowControl w:val="0"/>
        <w:spacing w:line="240" w:lineRule="auto"/>
        <w:rPr>
          <w:color w:val="000000"/>
          <w:lang w:val="bg-BG"/>
        </w:rPr>
      </w:pPr>
      <w:r w:rsidRPr="00FE6AC6">
        <w:rPr>
          <w:color w:val="000000"/>
          <w:lang w:val="bg-BG"/>
        </w:rPr>
        <w:t>Иматиниб е тератогенен за плъхове, когато се прилага по време на органогенезата в дози ≥100 mg/kg, които са приблизително равни на максималната клинична доза от 800 mg/ден, отнесена към повърхността на тялото. Тератогенните ефекти се изразяват в екзенцефалия или енцефалоцеле, липсващи/редуцирани фронтални и липсващи париетални кости. Тези ефекти не се наблюдават при дози ≤30 mg/kg.</w:t>
      </w:r>
    </w:p>
    <w:p w14:paraId="3E55067B" w14:textId="77777777" w:rsidR="00A44656" w:rsidRPr="00FE6AC6" w:rsidRDefault="00A44656" w:rsidP="0063575E">
      <w:pPr>
        <w:widowControl w:val="0"/>
        <w:spacing w:line="240" w:lineRule="auto"/>
        <w:rPr>
          <w:color w:val="000000"/>
          <w:lang w:val="bg-BG"/>
        </w:rPr>
      </w:pPr>
    </w:p>
    <w:p w14:paraId="3E55067C" w14:textId="77777777" w:rsidR="00015D8A" w:rsidRPr="00FE6AC6" w:rsidRDefault="00015D8A" w:rsidP="0063575E">
      <w:pPr>
        <w:widowControl w:val="0"/>
        <w:tabs>
          <w:tab w:val="clear" w:pos="567"/>
        </w:tabs>
        <w:spacing w:line="240" w:lineRule="auto"/>
        <w:rPr>
          <w:color w:val="000000"/>
          <w:szCs w:val="22"/>
          <w:lang w:val="bg-BG"/>
        </w:rPr>
      </w:pPr>
      <w:r w:rsidRPr="00FE6AC6">
        <w:rPr>
          <w:color w:val="000000"/>
          <w:szCs w:val="22"/>
          <w:lang w:val="bg-BG"/>
        </w:rPr>
        <w:t>В проучване за токсичност за развитието</w:t>
      </w:r>
      <w:r w:rsidRPr="00FE6AC6" w:rsidDel="00AD5F7E">
        <w:rPr>
          <w:color w:val="000000"/>
          <w:szCs w:val="22"/>
          <w:lang w:val="bg-BG"/>
        </w:rPr>
        <w:t xml:space="preserve"> </w:t>
      </w:r>
      <w:r w:rsidRPr="00FE6AC6">
        <w:rPr>
          <w:color w:val="000000"/>
          <w:szCs w:val="22"/>
          <w:lang w:val="bg-BG"/>
        </w:rPr>
        <w:t>при млади плъхове (ден</w:t>
      </w:r>
      <w:r w:rsidRPr="00FE6AC6">
        <w:rPr>
          <w:color w:val="000000"/>
          <w:szCs w:val="22"/>
        </w:rPr>
        <w:t> </w:t>
      </w:r>
      <w:r w:rsidRPr="00FE6AC6">
        <w:rPr>
          <w:color w:val="000000"/>
          <w:szCs w:val="22"/>
          <w:lang w:val="bg-BG"/>
        </w:rPr>
        <w:t>10 до 70 след раждането) не са установени нови прицелни органи, като се имат предвид познатите прицелни органи при възрастни плъхове. В токсикологично проучване при млади плъхове, ефекти по отношение на растежа, забавено вагинално отваряне и разделяне на препуциума са наблюдавани при приблизително 0,3 до 2</w:t>
      </w:r>
      <w:r w:rsidRPr="00FE6AC6">
        <w:rPr>
          <w:color w:val="000000"/>
          <w:szCs w:val="22"/>
        </w:rPr>
        <w:t> </w:t>
      </w:r>
      <w:r w:rsidRPr="00FE6AC6">
        <w:rPr>
          <w:color w:val="000000"/>
          <w:szCs w:val="22"/>
          <w:lang w:val="bg-BG"/>
        </w:rPr>
        <w:t>пъти над средната педиатрична експозиция при най-високата препоръчителна доза от 340</w:t>
      </w:r>
      <w:r w:rsidRPr="00FE6AC6">
        <w:rPr>
          <w:color w:val="000000"/>
          <w:szCs w:val="22"/>
        </w:rPr>
        <w:t> mg</w:t>
      </w:r>
      <w:r w:rsidRPr="00FE6AC6">
        <w:rPr>
          <w:color w:val="000000"/>
          <w:szCs w:val="22"/>
          <w:lang w:val="bg-BG"/>
        </w:rPr>
        <w:t>/</w:t>
      </w:r>
      <w:r w:rsidRPr="00FE6AC6">
        <w:rPr>
          <w:color w:val="000000"/>
          <w:szCs w:val="22"/>
        </w:rPr>
        <w:t>m</w:t>
      </w:r>
      <w:r w:rsidRPr="00FE6AC6">
        <w:rPr>
          <w:color w:val="000000"/>
          <w:szCs w:val="22"/>
          <w:vertAlign w:val="superscript"/>
          <w:lang w:val="bg-BG"/>
        </w:rPr>
        <w:t>2</w:t>
      </w:r>
      <w:r w:rsidRPr="00FE6AC6">
        <w:rPr>
          <w:color w:val="000000"/>
          <w:szCs w:val="22"/>
          <w:lang w:val="bg-BG"/>
        </w:rPr>
        <w:t>. Освен това е наблюдавана смъртност при млади животни (в периода на отбиване) при приблизително 2</w:t>
      </w:r>
      <w:r w:rsidRPr="00FE6AC6">
        <w:rPr>
          <w:color w:val="000000"/>
          <w:szCs w:val="22"/>
        </w:rPr>
        <w:t> </w:t>
      </w:r>
      <w:r w:rsidRPr="00FE6AC6">
        <w:rPr>
          <w:color w:val="000000"/>
          <w:szCs w:val="22"/>
          <w:lang w:val="bg-BG"/>
        </w:rPr>
        <w:t>пъти над средната педиатрична експозиция при най-високата препоръчителна доза от 340</w:t>
      </w:r>
      <w:r w:rsidRPr="00FE6AC6">
        <w:rPr>
          <w:color w:val="000000"/>
          <w:szCs w:val="22"/>
        </w:rPr>
        <w:t> mg</w:t>
      </w:r>
      <w:r w:rsidRPr="00FE6AC6">
        <w:rPr>
          <w:color w:val="000000"/>
          <w:szCs w:val="22"/>
          <w:lang w:val="bg-BG"/>
        </w:rPr>
        <w:t>/</w:t>
      </w:r>
      <w:r w:rsidRPr="00FE6AC6">
        <w:rPr>
          <w:color w:val="000000"/>
          <w:szCs w:val="22"/>
        </w:rPr>
        <w:t>m</w:t>
      </w:r>
      <w:r w:rsidRPr="00FE6AC6">
        <w:rPr>
          <w:color w:val="000000"/>
          <w:szCs w:val="22"/>
          <w:vertAlign w:val="superscript"/>
          <w:lang w:val="bg-BG"/>
        </w:rPr>
        <w:t>2</w:t>
      </w:r>
      <w:r w:rsidRPr="00FE6AC6">
        <w:rPr>
          <w:color w:val="000000"/>
          <w:szCs w:val="22"/>
          <w:lang w:val="bg-BG"/>
        </w:rPr>
        <w:t>.</w:t>
      </w:r>
    </w:p>
    <w:p w14:paraId="3E55067D" w14:textId="77777777" w:rsidR="00015D8A" w:rsidRPr="00FE6AC6" w:rsidRDefault="00015D8A" w:rsidP="0063575E">
      <w:pPr>
        <w:widowControl w:val="0"/>
        <w:spacing w:line="240" w:lineRule="auto"/>
        <w:rPr>
          <w:color w:val="000000"/>
          <w:lang w:val="bg-BG"/>
        </w:rPr>
      </w:pPr>
    </w:p>
    <w:p w14:paraId="3E55067E" w14:textId="77777777" w:rsidR="00A44656" w:rsidRPr="00FE6AC6" w:rsidRDefault="00A44656" w:rsidP="0063575E">
      <w:pPr>
        <w:widowControl w:val="0"/>
        <w:spacing w:line="240" w:lineRule="auto"/>
        <w:rPr>
          <w:color w:val="000000"/>
          <w:lang w:val="bg-BG"/>
        </w:rPr>
      </w:pPr>
      <w:r w:rsidRPr="00FE6AC6">
        <w:rPr>
          <w:color w:val="000000"/>
          <w:lang w:val="bg-BG"/>
        </w:rPr>
        <w:t>При 2-годишното проучване за карцерогеност при плъхове, приложението на иматиниб в дози от 15, 30 и 60 mg/kg/ден, води до статистически значимо понижение на продължителността на живота на мъжките животни при дози от 60 mg/kg/ден и на женските при дози ≥30 mg/kg/ден. Хистопатологичната оценка на екзитиралите животни показва кардиомиопатия (двата пола), хронична прогресивна нефропатия (женски индивиди) и папиломи на препуциумната жлеза като главни причини за смърт или основания за летален изход на животните. Таргетни органи за неопластични промени са бъбреците, пикочния мехур, уретрата, препуциумната и клиторната жлеза, тънкото черво, паращитовидните жлези, надбъбречните жлези и нежлезистата част на стомаха.</w:t>
      </w:r>
    </w:p>
    <w:p w14:paraId="3E55067F" w14:textId="77777777" w:rsidR="00A44656" w:rsidRPr="00FE6AC6" w:rsidRDefault="00A44656" w:rsidP="0063575E">
      <w:pPr>
        <w:widowControl w:val="0"/>
        <w:spacing w:line="240" w:lineRule="auto"/>
        <w:rPr>
          <w:color w:val="000000"/>
          <w:lang w:val="bg-BG"/>
        </w:rPr>
      </w:pPr>
    </w:p>
    <w:p w14:paraId="3E550680" w14:textId="77777777" w:rsidR="008450A5" w:rsidRPr="00FE6AC6" w:rsidRDefault="008450A5" w:rsidP="0063575E">
      <w:pPr>
        <w:widowControl w:val="0"/>
        <w:spacing w:line="240" w:lineRule="auto"/>
        <w:rPr>
          <w:color w:val="000000"/>
          <w:lang w:val="bg-BG"/>
        </w:rPr>
      </w:pPr>
      <w:r w:rsidRPr="00FE6AC6">
        <w:rPr>
          <w:color w:val="000000"/>
          <w:lang w:val="bg-BG"/>
        </w:rPr>
        <w:t>Папилом/карцином на препуциумната/клиторната жлеза се наблюдава при дози над 30 и 60 mg/kg/ден, което представлява приблизително 0,5 или 0,3 пъти дневната експозиция при хора (въз основа на AUC) при съответно 400 mg/ден или 800 </w:t>
      </w:r>
      <w:r w:rsidRPr="00FE6AC6">
        <w:rPr>
          <w:color w:val="000000"/>
          <w:lang w:val="en-US"/>
        </w:rPr>
        <w:t>mg</w:t>
      </w:r>
      <w:r w:rsidRPr="00FE6AC6">
        <w:rPr>
          <w:color w:val="000000"/>
          <w:lang w:val="bg-BG"/>
        </w:rPr>
        <w:t>/ден и 0,4 пъти дневната експозиция при деца (въз основа на AUC) при 340 mg/m</w:t>
      </w:r>
      <w:r w:rsidRPr="00FE6AC6">
        <w:rPr>
          <w:color w:val="000000"/>
          <w:vertAlign w:val="superscript"/>
          <w:lang w:val="bg-BG"/>
        </w:rPr>
        <w:t>2</w:t>
      </w:r>
      <w:r w:rsidRPr="00FE6AC6">
        <w:rPr>
          <w:color w:val="000000"/>
          <w:lang w:val="bg-BG"/>
        </w:rPr>
        <w:t xml:space="preserve">. Нивото без наблюдаван ефект (НБНЕ) е 15 mg/kg/ден. Бъбречен аденом/карцином, папилом на пикочния мехур и уретрата, аденокарциноми на тънкото черво, аденоми на паращитовидните жлези, доброкачествени и злокачествени медуларни тумори на надбъбречните жлези и папиломи/карциноми на нежлезистата част на стомаха са установени при доза от 60 mg/kg/ден, което представлява приблизително 1,7 или 1 път дневната експозиция при хора (въз основа на </w:t>
      </w:r>
      <w:r w:rsidRPr="00FE6AC6">
        <w:rPr>
          <w:color w:val="000000"/>
          <w:lang w:val="en-US"/>
        </w:rPr>
        <w:t>AUC</w:t>
      </w:r>
      <w:r w:rsidRPr="00FE6AC6">
        <w:rPr>
          <w:color w:val="000000"/>
          <w:lang w:val="bg-BG"/>
        </w:rPr>
        <w:t xml:space="preserve">) при съответно 400 mg/ден или 800 mg/ден и 1,2 пъти дневната експозиция при деца (въз основа на </w:t>
      </w:r>
      <w:r w:rsidRPr="00FE6AC6">
        <w:rPr>
          <w:color w:val="000000"/>
          <w:lang w:val="en-US"/>
        </w:rPr>
        <w:t>AUC</w:t>
      </w:r>
      <w:r w:rsidRPr="00FE6AC6">
        <w:rPr>
          <w:color w:val="000000"/>
          <w:lang w:val="bg-BG"/>
        </w:rPr>
        <w:t>) при 340 mg/</w:t>
      </w:r>
      <w:r w:rsidRPr="00FE6AC6">
        <w:rPr>
          <w:color w:val="000000"/>
          <w:lang w:val="en-US"/>
        </w:rPr>
        <w:t>m</w:t>
      </w:r>
      <w:r w:rsidRPr="00FE6AC6">
        <w:rPr>
          <w:color w:val="000000"/>
          <w:vertAlign w:val="superscript"/>
          <w:lang w:val="bg-BG"/>
        </w:rPr>
        <w:t>2</w:t>
      </w:r>
      <w:r w:rsidRPr="00FE6AC6">
        <w:rPr>
          <w:color w:val="000000"/>
          <w:lang w:val="bg-BG"/>
        </w:rPr>
        <w:t>/ден. Нивото без наблюдаван ефект (НБНЕ) е 30 mg/kg/ден.</w:t>
      </w:r>
    </w:p>
    <w:p w14:paraId="3E550681" w14:textId="77777777" w:rsidR="00A44656" w:rsidRPr="00FE6AC6" w:rsidRDefault="00A44656" w:rsidP="0063575E">
      <w:pPr>
        <w:widowControl w:val="0"/>
        <w:spacing w:line="240" w:lineRule="auto"/>
        <w:rPr>
          <w:color w:val="000000"/>
          <w:lang w:val="bg-BG"/>
        </w:rPr>
      </w:pPr>
    </w:p>
    <w:p w14:paraId="3E550682" w14:textId="77777777" w:rsidR="00A44656" w:rsidRPr="00FE6AC6" w:rsidRDefault="00A44656" w:rsidP="0063575E">
      <w:pPr>
        <w:widowControl w:val="0"/>
        <w:spacing w:line="240" w:lineRule="auto"/>
        <w:rPr>
          <w:color w:val="000000"/>
          <w:lang w:val="bg-BG"/>
        </w:rPr>
      </w:pPr>
      <w:r w:rsidRPr="00FE6AC6">
        <w:rPr>
          <w:color w:val="000000"/>
          <w:lang w:val="bg-BG"/>
        </w:rPr>
        <w:t>Все още не са изяснени механизмът и значението при хора на тези находки при проучвания на карцерогеността при плъхове.</w:t>
      </w:r>
    </w:p>
    <w:p w14:paraId="3E550683" w14:textId="77777777" w:rsidR="00A44656" w:rsidRPr="00FE6AC6" w:rsidRDefault="00A44656" w:rsidP="0063575E">
      <w:pPr>
        <w:widowControl w:val="0"/>
        <w:spacing w:line="240" w:lineRule="auto"/>
        <w:rPr>
          <w:color w:val="000000"/>
          <w:lang w:val="bg-BG"/>
        </w:rPr>
      </w:pPr>
    </w:p>
    <w:p w14:paraId="3E550684" w14:textId="77777777" w:rsidR="008450A5" w:rsidRPr="00FE6AC6" w:rsidRDefault="008450A5" w:rsidP="0063575E">
      <w:pPr>
        <w:widowControl w:val="0"/>
        <w:spacing w:line="240" w:lineRule="auto"/>
        <w:rPr>
          <w:color w:val="000000"/>
          <w:lang w:val="bg-BG"/>
        </w:rPr>
      </w:pPr>
      <w:r w:rsidRPr="00FE6AC6">
        <w:rPr>
          <w:color w:val="000000"/>
          <w:lang w:val="bg-BG"/>
        </w:rPr>
        <w:t>Ненеопластични лезии, неустановени при по-ранните предклинични проучвания са били свързани със сърдечносъдовата система, панкреаса, ендокрините органи и зъбите. Най-важните промени включват сърдечна хипертрофия и дилатация, водещи до признаци на сърдечна недостатъчност при някои животни.</w:t>
      </w:r>
    </w:p>
    <w:p w14:paraId="3E550685" w14:textId="77777777" w:rsidR="000516E5" w:rsidRPr="00FE6AC6" w:rsidRDefault="000516E5" w:rsidP="0063575E">
      <w:pPr>
        <w:widowControl w:val="0"/>
        <w:spacing w:line="240" w:lineRule="auto"/>
        <w:rPr>
          <w:color w:val="000000"/>
          <w:lang w:val="bg-BG"/>
        </w:rPr>
      </w:pPr>
    </w:p>
    <w:p w14:paraId="3E550686" w14:textId="77777777" w:rsidR="000516E5" w:rsidRPr="00FE6AC6" w:rsidRDefault="000516E5" w:rsidP="0063575E">
      <w:pPr>
        <w:widowControl w:val="0"/>
        <w:spacing w:line="240" w:lineRule="auto"/>
        <w:rPr>
          <w:color w:val="000000"/>
          <w:lang w:val="bg-BG"/>
        </w:rPr>
      </w:pPr>
      <w:r w:rsidRPr="00FE6AC6">
        <w:rPr>
          <w:color w:val="000000"/>
          <w:lang w:val="bg-BG"/>
        </w:rPr>
        <w:t>Активното вещество иматиниб показва екологичен риск за седиментни организми.</w:t>
      </w:r>
    </w:p>
    <w:p w14:paraId="3E550687" w14:textId="77777777" w:rsidR="00A44656" w:rsidRPr="00FE6AC6" w:rsidRDefault="00A44656" w:rsidP="0063575E">
      <w:pPr>
        <w:widowControl w:val="0"/>
        <w:spacing w:line="240" w:lineRule="auto"/>
        <w:rPr>
          <w:color w:val="000000"/>
          <w:lang w:val="bg-BG"/>
        </w:rPr>
      </w:pPr>
    </w:p>
    <w:p w14:paraId="3E550688" w14:textId="77777777" w:rsidR="00A44656" w:rsidRPr="00FE6AC6" w:rsidRDefault="00A44656" w:rsidP="0063575E">
      <w:pPr>
        <w:widowControl w:val="0"/>
        <w:tabs>
          <w:tab w:val="clear" w:pos="567"/>
        </w:tabs>
        <w:spacing w:line="240" w:lineRule="auto"/>
        <w:rPr>
          <w:color w:val="000000"/>
          <w:lang w:val="bg-BG"/>
        </w:rPr>
      </w:pPr>
    </w:p>
    <w:p w14:paraId="3E550689" w14:textId="77777777" w:rsidR="00D73861" w:rsidRPr="00FE6AC6" w:rsidRDefault="00D73861" w:rsidP="0063575E">
      <w:pPr>
        <w:keepNext/>
        <w:widowControl w:val="0"/>
        <w:tabs>
          <w:tab w:val="clear" w:pos="567"/>
        </w:tabs>
        <w:spacing w:line="240" w:lineRule="auto"/>
        <w:ind w:left="567" w:hanging="567"/>
        <w:rPr>
          <w:b/>
          <w:color w:val="000000"/>
          <w:lang w:val="bg-BG"/>
        </w:rPr>
      </w:pPr>
      <w:r w:rsidRPr="00FE6AC6">
        <w:rPr>
          <w:b/>
          <w:color w:val="000000"/>
          <w:lang w:val="bg-BG"/>
        </w:rPr>
        <w:t>6.</w:t>
      </w:r>
      <w:r w:rsidRPr="00FE6AC6">
        <w:rPr>
          <w:b/>
          <w:color w:val="000000"/>
          <w:lang w:val="bg-BG"/>
        </w:rPr>
        <w:tab/>
        <w:t>ФАРМАЦЕВТИЧНИ ДАННИ</w:t>
      </w:r>
    </w:p>
    <w:p w14:paraId="3E55068A" w14:textId="77777777" w:rsidR="00D73861" w:rsidRPr="00FE6AC6" w:rsidRDefault="00D73861" w:rsidP="0063575E">
      <w:pPr>
        <w:keepNext/>
        <w:widowControl w:val="0"/>
        <w:tabs>
          <w:tab w:val="clear" w:pos="567"/>
        </w:tabs>
        <w:spacing w:line="240" w:lineRule="auto"/>
        <w:rPr>
          <w:color w:val="000000"/>
          <w:lang w:val="bg-BG"/>
        </w:rPr>
      </w:pPr>
    </w:p>
    <w:p w14:paraId="3E55068B" w14:textId="77777777" w:rsidR="00D73861" w:rsidRPr="00FE6AC6" w:rsidRDefault="00D73861" w:rsidP="0063575E">
      <w:pPr>
        <w:keepNext/>
        <w:widowControl w:val="0"/>
        <w:tabs>
          <w:tab w:val="clear" w:pos="567"/>
        </w:tabs>
        <w:spacing w:line="240" w:lineRule="auto"/>
        <w:ind w:left="567" w:hanging="567"/>
        <w:outlineLvl w:val="0"/>
        <w:rPr>
          <w:color w:val="000000"/>
          <w:lang w:val="bg-BG"/>
        </w:rPr>
      </w:pPr>
      <w:r w:rsidRPr="00FE6AC6">
        <w:rPr>
          <w:b/>
          <w:color w:val="000000"/>
          <w:lang w:val="bg-BG"/>
        </w:rPr>
        <w:t>6.1</w:t>
      </w:r>
      <w:r w:rsidRPr="00FE6AC6">
        <w:rPr>
          <w:b/>
          <w:color w:val="000000"/>
          <w:lang w:val="bg-BG"/>
        </w:rPr>
        <w:tab/>
        <w:t>Списък на помощните вещества</w:t>
      </w:r>
    </w:p>
    <w:p w14:paraId="3E55068C" w14:textId="77777777" w:rsidR="00D73861" w:rsidRPr="00FE6AC6" w:rsidRDefault="00D73861" w:rsidP="0063575E">
      <w:pPr>
        <w:keepNext/>
        <w:widowControl w:val="0"/>
        <w:tabs>
          <w:tab w:val="clear" w:pos="567"/>
        </w:tabs>
        <w:spacing w:line="240" w:lineRule="auto"/>
        <w:rPr>
          <w:color w:val="000000"/>
          <w:lang w:val="bg-BG"/>
        </w:rPr>
      </w:pPr>
    </w:p>
    <w:p w14:paraId="3E55068D" w14:textId="77777777" w:rsidR="00D73861" w:rsidRPr="00FE6AC6" w:rsidRDefault="009D210F" w:rsidP="0063575E">
      <w:pPr>
        <w:pStyle w:val="EndnoteText"/>
        <w:keepNext/>
        <w:widowControl w:val="0"/>
        <w:tabs>
          <w:tab w:val="clear" w:pos="567"/>
        </w:tabs>
        <w:rPr>
          <w:color w:val="000000"/>
          <w:lang w:val="ru-RU"/>
        </w:rPr>
      </w:pPr>
      <w:r w:rsidRPr="00FE6AC6">
        <w:rPr>
          <w:color w:val="000000"/>
          <w:lang w:val="bg-BG"/>
        </w:rPr>
        <w:t>Ядро на таблетката</w:t>
      </w:r>
      <w:r w:rsidR="00D73861" w:rsidRPr="00FE6AC6">
        <w:rPr>
          <w:color w:val="000000"/>
          <w:lang w:val="ru-RU"/>
        </w:rPr>
        <w:t>:</w:t>
      </w:r>
    </w:p>
    <w:p w14:paraId="3E55068E"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Микрокристална целулоза</w:t>
      </w:r>
    </w:p>
    <w:p w14:paraId="3E55068F"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Кросповидон</w:t>
      </w:r>
    </w:p>
    <w:p w14:paraId="3E550690"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Хипромелоза</w:t>
      </w:r>
    </w:p>
    <w:p w14:paraId="3E550691"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Магнезиев стеарат</w:t>
      </w:r>
    </w:p>
    <w:p w14:paraId="3E550692" w14:textId="77777777" w:rsidR="00D73861" w:rsidRPr="00FE6AC6" w:rsidRDefault="00D73861" w:rsidP="0063575E">
      <w:pPr>
        <w:widowControl w:val="0"/>
        <w:tabs>
          <w:tab w:val="clear" w:pos="567"/>
          <w:tab w:val="left" w:pos="3261"/>
        </w:tabs>
        <w:spacing w:line="240" w:lineRule="auto"/>
        <w:ind w:left="3261" w:hanging="3261"/>
        <w:rPr>
          <w:color w:val="000000"/>
          <w:lang w:val="bg-BG"/>
        </w:rPr>
      </w:pPr>
      <w:r w:rsidRPr="00FE6AC6">
        <w:rPr>
          <w:color w:val="000000"/>
          <w:lang w:val="bg-BG"/>
        </w:rPr>
        <w:t>Силициев диоксид, колоиден безводен</w:t>
      </w:r>
    </w:p>
    <w:p w14:paraId="3E550693" w14:textId="77777777" w:rsidR="00D73861" w:rsidRPr="00FE6AC6" w:rsidRDefault="00D73861" w:rsidP="0063575E">
      <w:pPr>
        <w:pStyle w:val="EndnoteText"/>
        <w:widowControl w:val="0"/>
        <w:tabs>
          <w:tab w:val="clear" w:pos="567"/>
        </w:tabs>
        <w:rPr>
          <w:color w:val="000000"/>
          <w:lang w:val="bg-BG"/>
        </w:rPr>
      </w:pPr>
    </w:p>
    <w:p w14:paraId="3E550694"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Обвивка на таблетката:</w:t>
      </w:r>
    </w:p>
    <w:p w14:paraId="3E550695"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Железен оксид, червен (</w:t>
      </w:r>
      <w:r w:rsidRPr="00FE6AC6">
        <w:rPr>
          <w:color w:val="000000"/>
        </w:rPr>
        <w:t>E</w:t>
      </w:r>
      <w:r w:rsidRPr="00FE6AC6">
        <w:rPr>
          <w:color w:val="000000"/>
          <w:lang w:val="bg-BG"/>
        </w:rPr>
        <w:t>172)</w:t>
      </w:r>
    </w:p>
    <w:p w14:paraId="3E550696"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Железен оксид, жълт (</w:t>
      </w:r>
      <w:r w:rsidRPr="00FE6AC6">
        <w:rPr>
          <w:color w:val="000000"/>
        </w:rPr>
        <w:t>E</w:t>
      </w:r>
      <w:r w:rsidRPr="00FE6AC6">
        <w:rPr>
          <w:color w:val="000000"/>
          <w:lang w:val="bg-BG"/>
        </w:rPr>
        <w:t>172)</w:t>
      </w:r>
    </w:p>
    <w:p w14:paraId="3E550697"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Макрогол</w:t>
      </w:r>
    </w:p>
    <w:p w14:paraId="3E550698" w14:textId="77777777" w:rsidR="00D73861" w:rsidRPr="00FE6AC6" w:rsidRDefault="00D73861" w:rsidP="0063575E">
      <w:pPr>
        <w:pStyle w:val="EndnoteText"/>
        <w:keepNext/>
        <w:widowControl w:val="0"/>
        <w:tabs>
          <w:tab w:val="clear" w:pos="567"/>
        </w:tabs>
        <w:rPr>
          <w:color w:val="000000"/>
          <w:lang w:val="bg-BG"/>
        </w:rPr>
      </w:pPr>
      <w:r w:rsidRPr="00FE6AC6">
        <w:rPr>
          <w:color w:val="000000"/>
          <w:lang w:val="bg-BG"/>
        </w:rPr>
        <w:t>Талк</w:t>
      </w:r>
    </w:p>
    <w:p w14:paraId="3E550699" w14:textId="77777777" w:rsidR="00D73861" w:rsidRPr="00FE6AC6" w:rsidRDefault="00D73861" w:rsidP="0063575E">
      <w:pPr>
        <w:pStyle w:val="EndnoteText"/>
        <w:widowControl w:val="0"/>
        <w:tabs>
          <w:tab w:val="clear" w:pos="567"/>
        </w:tabs>
        <w:rPr>
          <w:color w:val="000000"/>
          <w:lang w:val="bg-BG"/>
        </w:rPr>
      </w:pPr>
      <w:r w:rsidRPr="00FE6AC6">
        <w:rPr>
          <w:color w:val="000000"/>
          <w:lang w:val="bg-BG"/>
        </w:rPr>
        <w:t>Хипромелоза</w:t>
      </w:r>
    </w:p>
    <w:p w14:paraId="3E55069A" w14:textId="77777777" w:rsidR="00D73861" w:rsidRPr="00FE6AC6" w:rsidRDefault="00D73861" w:rsidP="0063575E">
      <w:pPr>
        <w:widowControl w:val="0"/>
        <w:tabs>
          <w:tab w:val="clear" w:pos="567"/>
        </w:tabs>
        <w:spacing w:line="240" w:lineRule="auto"/>
        <w:rPr>
          <w:color w:val="000000"/>
          <w:lang w:val="bg-BG"/>
        </w:rPr>
      </w:pPr>
    </w:p>
    <w:p w14:paraId="3E55069B" w14:textId="77777777" w:rsidR="00D73861" w:rsidRPr="00FE6AC6" w:rsidRDefault="00D73861" w:rsidP="0063575E">
      <w:pPr>
        <w:keepNext/>
        <w:widowControl w:val="0"/>
        <w:tabs>
          <w:tab w:val="clear" w:pos="567"/>
        </w:tabs>
        <w:spacing w:line="240" w:lineRule="auto"/>
        <w:ind w:left="567" w:hanging="567"/>
        <w:outlineLvl w:val="0"/>
        <w:rPr>
          <w:b/>
          <w:color w:val="000000"/>
          <w:lang w:val="bg-BG"/>
        </w:rPr>
      </w:pPr>
      <w:r w:rsidRPr="00FE6AC6">
        <w:rPr>
          <w:b/>
          <w:color w:val="000000"/>
          <w:lang w:val="bg-BG"/>
        </w:rPr>
        <w:t>6.2</w:t>
      </w:r>
      <w:r w:rsidRPr="00FE6AC6">
        <w:rPr>
          <w:b/>
          <w:color w:val="000000"/>
          <w:lang w:val="bg-BG"/>
        </w:rPr>
        <w:tab/>
        <w:t>Несъвместимости</w:t>
      </w:r>
    </w:p>
    <w:p w14:paraId="3E55069C" w14:textId="77777777" w:rsidR="00D73861" w:rsidRPr="00FE6AC6" w:rsidRDefault="00D73861" w:rsidP="0063575E">
      <w:pPr>
        <w:keepNext/>
        <w:widowControl w:val="0"/>
        <w:tabs>
          <w:tab w:val="clear" w:pos="567"/>
        </w:tabs>
        <w:spacing w:line="240" w:lineRule="auto"/>
        <w:rPr>
          <w:color w:val="000000"/>
          <w:lang w:val="bg-BG"/>
        </w:rPr>
      </w:pPr>
    </w:p>
    <w:p w14:paraId="3E55069D" w14:textId="77777777" w:rsidR="00D73861" w:rsidRPr="00FE6AC6" w:rsidRDefault="00D73861" w:rsidP="0063575E">
      <w:pPr>
        <w:widowControl w:val="0"/>
        <w:spacing w:line="240" w:lineRule="auto"/>
        <w:rPr>
          <w:color w:val="000000"/>
          <w:lang w:val="bg-BG"/>
        </w:rPr>
      </w:pPr>
      <w:r w:rsidRPr="00FE6AC6">
        <w:rPr>
          <w:color w:val="000000"/>
          <w:lang w:val="bg-BG"/>
        </w:rPr>
        <w:t>Неприложимо</w:t>
      </w:r>
    </w:p>
    <w:p w14:paraId="3E55069E" w14:textId="77777777" w:rsidR="00D73861" w:rsidRPr="00FE6AC6" w:rsidRDefault="00D73861" w:rsidP="0063575E">
      <w:pPr>
        <w:widowControl w:val="0"/>
        <w:tabs>
          <w:tab w:val="clear" w:pos="567"/>
        </w:tabs>
        <w:spacing w:line="240" w:lineRule="auto"/>
        <w:rPr>
          <w:color w:val="000000"/>
          <w:lang w:val="bg-BG"/>
        </w:rPr>
      </w:pPr>
    </w:p>
    <w:p w14:paraId="3E55069F" w14:textId="77777777" w:rsidR="00D73861" w:rsidRPr="00FE6AC6" w:rsidRDefault="00B5235D" w:rsidP="0063575E">
      <w:pPr>
        <w:keepNext/>
        <w:widowControl w:val="0"/>
        <w:tabs>
          <w:tab w:val="clear" w:pos="567"/>
        </w:tabs>
        <w:spacing w:line="240" w:lineRule="auto"/>
        <w:outlineLvl w:val="0"/>
        <w:rPr>
          <w:b/>
          <w:color w:val="000000"/>
          <w:lang w:val="bg-BG"/>
        </w:rPr>
      </w:pPr>
      <w:r w:rsidRPr="00FE6AC6">
        <w:rPr>
          <w:b/>
          <w:color w:val="000000"/>
          <w:lang w:val="bg-BG"/>
        </w:rPr>
        <w:t>6.3</w:t>
      </w:r>
      <w:r w:rsidRPr="00FE6AC6">
        <w:rPr>
          <w:b/>
          <w:color w:val="000000"/>
          <w:lang w:val="bg-BG"/>
        </w:rPr>
        <w:tab/>
      </w:r>
      <w:r w:rsidR="00D73861" w:rsidRPr="00FE6AC6">
        <w:rPr>
          <w:b/>
          <w:color w:val="000000"/>
          <w:lang w:val="bg-BG"/>
        </w:rPr>
        <w:t>Срок на годност</w:t>
      </w:r>
    </w:p>
    <w:p w14:paraId="3E5506A0" w14:textId="77777777" w:rsidR="00D73861" w:rsidRPr="00FE6AC6" w:rsidRDefault="00D73861" w:rsidP="0063575E">
      <w:pPr>
        <w:keepNext/>
        <w:widowControl w:val="0"/>
        <w:tabs>
          <w:tab w:val="clear" w:pos="567"/>
        </w:tabs>
        <w:spacing w:line="240" w:lineRule="auto"/>
        <w:ind w:left="567" w:hanging="567"/>
        <w:outlineLvl w:val="0"/>
        <w:rPr>
          <w:color w:val="000000"/>
          <w:lang w:val="bg-BG"/>
        </w:rPr>
      </w:pPr>
    </w:p>
    <w:p w14:paraId="3E5506A1" w14:textId="77777777" w:rsidR="00D73861" w:rsidRPr="00FE6AC6" w:rsidRDefault="00D73861" w:rsidP="0063575E">
      <w:pPr>
        <w:pStyle w:val="EndnoteText"/>
        <w:widowControl w:val="0"/>
        <w:tabs>
          <w:tab w:val="clear" w:pos="567"/>
        </w:tabs>
        <w:rPr>
          <w:color w:val="000000"/>
          <w:lang w:val="bg-BG"/>
        </w:rPr>
      </w:pPr>
      <w:r w:rsidRPr="00FE6AC6">
        <w:rPr>
          <w:color w:val="000000"/>
          <w:lang w:val="bg-BG"/>
        </w:rPr>
        <w:t>3</w:t>
      </w:r>
      <w:r w:rsidRPr="00FE6AC6">
        <w:rPr>
          <w:color w:val="000000"/>
        </w:rPr>
        <w:t> </w:t>
      </w:r>
      <w:r w:rsidRPr="00FE6AC6">
        <w:rPr>
          <w:color w:val="000000"/>
          <w:lang w:val="bg-BG"/>
        </w:rPr>
        <w:t>години</w:t>
      </w:r>
    </w:p>
    <w:p w14:paraId="3E5506A2" w14:textId="77777777" w:rsidR="00D73861" w:rsidRPr="00FE6AC6" w:rsidRDefault="00D73861" w:rsidP="0063575E">
      <w:pPr>
        <w:widowControl w:val="0"/>
        <w:tabs>
          <w:tab w:val="clear" w:pos="567"/>
        </w:tabs>
        <w:spacing w:line="240" w:lineRule="auto"/>
        <w:ind w:left="567" w:hanging="567"/>
        <w:outlineLvl w:val="0"/>
        <w:rPr>
          <w:color w:val="000000"/>
          <w:lang w:val="bg-BG"/>
        </w:rPr>
      </w:pPr>
    </w:p>
    <w:p w14:paraId="3E5506A3" w14:textId="77777777" w:rsidR="00D73861" w:rsidRPr="00FE6AC6" w:rsidRDefault="00D73861" w:rsidP="0063575E">
      <w:pPr>
        <w:keepNext/>
        <w:widowControl w:val="0"/>
        <w:tabs>
          <w:tab w:val="clear" w:pos="567"/>
        </w:tabs>
        <w:spacing w:line="240" w:lineRule="auto"/>
        <w:ind w:left="567" w:hanging="567"/>
        <w:outlineLvl w:val="0"/>
        <w:rPr>
          <w:color w:val="000000"/>
          <w:lang w:val="bg-BG"/>
        </w:rPr>
      </w:pPr>
      <w:r w:rsidRPr="00FE6AC6">
        <w:rPr>
          <w:b/>
          <w:color w:val="000000"/>
          <w:lang w:val="bg-BG"/>
        </w:rPr>
        <w:t>6.4</w:t>
      </w:r>
      <w:r w:rsidRPr="00FE6AC6">
        <w:rPr>
          <w:b/>
          <w:color w:val="000000"/>
          <w:lang w:val="bg-BG"/>
        </w:rPr>
        <w:tab/>
        <w:t>Специални условия на съхранение</w:t>
      </w:r>
    </w:p>
    <w:p w14:paraId="3E5506A4" w14:textId="77777777" w:rsidR="00D73861" w:rsidRPr="00FE6AC6" w:rsidRDefault="00D73861" w:rsidP="0063575E">
      <w:pPr>
        <w:keepNext/>
        <w:widowControl w:val="0"/>
        <w:tabs>
          <w:tab w:val="clear" w:pos="567"/>
        </w:tabs>
        <w:spacing w:line="240" w:lineRule="auto"/>
        <w:rPr>
          <w:color w:val="000000"/>
          <w:lang w:val="bg-BG"/>
        </w:rPr>
      </w:pPr>
    </w:p>
    <w:p w14:paraId="3E5506A5" w14:textId="77777777" w:rsidR="00D73861" w:rsidRPr="00FE6AC6" w:rsidRDefault="00D73861" w:rsidP="0063575E">
      <w:pPr>
        <w:widowControl w:val="0"/>
        <w:tabs>
          <w:tab w:val="clear" w:pos="567"/>
        </w:tabs>
        <w:spacing w:line="240" w:lineRule="auto"/>
        <w:rPr>
          <w:color w:val="000000"/>
          <w:lang w:val="bg-BG"/>
        </w:rPr>
      </w:pPr>
      <w:r w:rsidRPr="00FE6AC6">
        <w:rPr>
          <w:color w:val="000000"/>
          <w:lang w:val="bg-BG"/>
        </w:rPr>
        <w:t xml:space="preserve">Да </w:t>
      </w:r>
      <w:r w:rsidR="00F369DB" w:rsidRPr="00FE6AC6">
        <w:rPr>
          <w:color w:val="000000"/>
          <w:lang w:val="bg-BG"/>
        </w:rPr>
        <w:t xml:space="preserve">не </w:t>
      </w:r>
      <w:r w:rsidRPr="00FE6AC6">
        <w:rPr>
          <w:color w:val="000000"/>
          <w:lang w:val="bg-BG"/>
        </w:rPr>
        <w:t xml:space="preserve">се съхранява </w:t>
      </w:r>
      <w:r w:rsidR="00F369DB" w:rsidRPr="00FE6AC6">
        <w:rPr>
          <w:color w:val="000000"/>
          <w:lang w:val="bg-BG"/>
        </w:rPr>
        <w:t xml:space="preserve">над </w:t>
      </w:r>
      <w:smartTag w:uri="urn:schemas-microsoft-com:office:smarttags" w:element="metricconverter">
        <w:smartTagPr>
          <w:attr w:name="ProductID" w:val="30ﾰC"/>
        </w:smartTagPr>
        <w:r w:rsidRPr="00FE6AC6">
          <w:rPr>
            <w:color w:val="000000"/>
            <w:lang w:val="bg-BG"/>
          </w:rPr>
          <w:t>30°</w:t>
        </w:r>
        <w:r w:rsidRPr="00FE6AC6">
          <w:rPr>
            <w:color w:val="000000"/>
            <w:lang w:val="en-US"/>
          </w:rPr>
          <w:t>C</w:t>
        </w:r>
      </w:smartTag>
      <w:r w:rsidRPr="00FE6AC6">
        <w:rPr>
          <w:color w:val="000000"/>
          <w:lang w:val="bg-BG"/>
        </w:rPr>
        <w:t>.</w:t>
      </w:r>
    </w:p>
    <w:p w14:paraId="3E5506A6" w14:textId="77777777" w:rsidR="00D73861" w:rsidRPr="00FE6AC6" w:rsidRDefault="00D73861" w:rsidP="0063575E">
      <w:pPr>
        <w:widowControl w:val="0"/>
        <w:tabs>
          <w:tab w:val="clear" w:pos="567"/>
        </w:tabs>
        <w:spacing w:line="240" w:lineRule="auto"/>
        <w:rPr>
          <w:color w:val="000000"/>
          <w:lang w:val="bg-BG"/>
        </w:rPr>
      </w:pPr>
    </w:p>
    <w:p w14:paraId="3E5506A7" w14:textId="77777777" w:rsidR="00D73861" w:rsidRPr="00FE6AC6" w:rsidRDefault="00D73861" w:rsidP="0063575E">
      <w:pPr>
        <w:widowControl w:val="0"/>
        <w:tabs>
          <w:tab w:val="clear" w:pos="567"/>
        </w:tabs>
        <w:spacing w:line="240" w:lineRule="auto"/>
        <w:rPr>
          <w:color w:val="000000"/>
          <w:lang w:val="bg-BG"/>
        </w:rPr>
      </w:pPr>
      <w:r w:rsidRPr="00FE6AC6">
        <w:rPr>
          <w:color w:val="000000"/>
          <w:lang w:val="bg-BG"/>
        </w:rPr>
        <w:t>Да се съхранява в оригиналната опаковка, за да се предпази от влага.</w:t>
      </w:r>
    </w:p>
    <w:p w14:paraId="3E5506A8" w14:textId="77777777" w:rsidR="00D73861" w:rsidRPr="00FE6AC6" w:rsidRDefault="00D73861" w:rsidP="0063575E">
      <w:pPr>
        <w:widowControl w:val="0"/>
        <w:tabs>
          <w:tab w:val="clear" w:pos="567"/>
        </w:tabs>
        <w:spacing w:line="240" w:lineRule="auto"/>
        <w:rPr>
          <w:color w:val="000000"/>
          <w:lang w:val="bg-BG"/>
        </w:rPr>
      </w:pPr>
    </w:p>
    <w:p w14:paraId="3E5506A9" w14:textId="77777777" w:rsidR="00D73861" w:rsidRPr="00FE6AC6" w:rsidRDefault="00B5235D" w:rsidP="0063575E">
      <w:pPr>
        <w:keepNext/>
        <w:widowControl w:val="0"/>
        <w:tabs>
          <w:tab w:val="clear" w:pos="567"/>
        </w:tabs>
        <w:spacing w:line="240" w:lineRule="auto"/>
        <w:rPr>
          <w:b/>
          <w:color w:val="000000"/>
          <w:lang w:val="bg-BG"/>
        </w:rPr>
      </w:pPr>
      <w:r w:rsidRPr="00FE6AC6">
        <w:rPr>
          <w:b/>
          <w:lang w:val="bg-BG"/>
        </w:rPr>
        <w:t>6.5</w:t>
      </w:r>
      <w:r w:rsidRPr="00FE6AC6">
        <w:rPr>
          <w:b/>
          <w:lang w:val="bg-BG"/>
        </w:rPr>
        <w:tab/>
      </w:r>
      <w:r w:rsidR="0030318F" w:rsidRPr="00FE6AC6">
        <w:rPr>
          <w:b/>
          <w:lang w:val="bg-BG"/>
        </w:rPr>
        <w:t>Вид и съдържание</w:t>
      </w:r>
      <w:r w:rsidR="0030318F" w:rsidRPr="00FE6AC6">
        <w:rPr>
          <w:b/>
          <w:szCs w:val="24"/>
          <w:lang w:val="bg-BG"/>
        </w:rPr>
        <w:t xml:space="preserve"> на опаковката</w:t>
      </w:r>
    </w:p>
    <w:p w14:paraId="3E5506AA" w14:textId="77777777" w:rsidR="00D73861" w:rsidRPr="00FE6AC6" w:rsidRDefault="00D73861" w:rsidP="0063575E">
      <w:pPr>
        <w:keepNext/>
        <w:widowControl w:val="0"/>
        <w:tabs>
          <w:tab w:val="clear" w:pos="567"/>
        </w:tabs>
        <w:spacing w:line="240" w:lineRule="auto"/>
        <w:rPr>
          <w:color w:val="000000"/>
          <w:lang w:val="bg-BG"/>
        </w:rPr>
      </w:pPr>
    </w:p>
    <w:p w14:paraId="3E5506AB" w14:textId="77777777" w:rsidR="00DA1414" w:rsidRPr="00ED510E" w:rsidRDefault="00DA1414" w:rsidP="0063575E">
      <w:pPr>
        <w:keepNext/>
        <w:widowControl w:val="0"/>
        <w:tabs>
          <w:tab w:val="clear" w:pos="567"/>
        </w:tabs>
        <w:spacing w:line="240" w:lineRule="auto"/>
        <w:rPr>
          <w:color w:val="000000"/>
          <w:u w:val="single"/>
          <w:lang w:val="bg-BG"/>
        </w:rPr>
      </w:pPr>
      <w:r w:rsidRPr="00ED510E">
        <w:rPr>
          <w:color w:val="000000"/>
          <w:u w:val="single"/>
          <w:lang w:val="da-DK"/>
        </w:rPr>
        <w:t>Glivec</w:t>
      </w:r>
      <w:r w:rsidRPr="00ED510E">
        <w:rPr>
          <w:color w:val="000000"/>
          <w:u w:val="single"/>
          <w:lang w:val="bg-BG"/>
        </w:rPr>
        <w:t xml:space="preserve"> 100</w:t>
      </w:r>
      <w:r w:rsidRPr="00ED510E">
        <w:rPr>
          <w:color w:val="000000"/>
          <w:u w:val="single"/>
          <w:lang w:val="da-DK"/>
        </w:rPr>
        <w:t> mg</w:t>
      </w:r>
      <w:r w:rsidRPr="00ED510E">
        <w:rPr>
          <w:color w:val="000000"/>
          <w:u w:val="single"/>
          <w:lang w:val="bg-BG"/>
        </w:rPr>
        <w:t xml:space="preserve"> филмирани таблетки</w:t>
      </w:r>
    </w:p>
    <w:p w14:paraId="3E5506AC" w14:textId="77777777" w:rsidR="00D73861" w:rsidRPr="00FE6AC6" w:rsidRDefault="00D73861" w:rsidP="0063575E">
      <w:pPr>
        <w:pStyle w:val="EndnoteText"/>
        <w:widowControl w:val="0"/>
        <w:tabs>
          <w:tab w:val="clear" w:pos="567"/>
        </w:tabs>
        <w:rPr>
          <w:color w:val="000000"/>
          <w:lang w:val="bg-BG"/>
        </w:rPr>
      </w:pPr>
      <w:r w:rsidRPr="00FE6AC6">
        <w:rPr>
          <w:color w:val="000000"/>
        </w:rPr>
        <w:t>PVC</w:t>
      </w:r>
      <w:r w:rsidRPr="00FE6AC6">
        <w:rPr>
          <w:color w:val="000000"/>
          <w:lang w:val="bg-BG"/>
        </w:rPr>
        <w:t>/алуминий блистери</w:t>
      </w:r>
    </w:p>
    <w:p w14:paraId="3E5506AD" w14:textId="77777777" w:rsidR="00D73861" w:rsidRPr="00FE6AC6" w:rsidRDefault="00D73861" w:rsidP="0063575E">
      <w:pPr>
        <w:pStyle w:val="EndnoteText"/>
        <w:widowControl w:val="0"/>
        <w:tabs>
          <w:tab w:val="clear" w:pos="567"/>
        </w:tabs>
        <w:rPr>
          <w:color w:val="000000"/>
          <w:lang w:val="ru-RU"/>
        </w:rPr>
      </w:pPr>
      <w:r w:rsidRPr="00FE6AC6">
        <w:rPr>
          <w:color w:val="000000"/>
          <w:lang w:val="bg-BG"/>
        </w:rPr>
        <w:t>Опаковки съдържащи</w:t>
      </w:r>
      <w:r w:rsidRPr="00FE6AC6">
        <w:rPr>
          <w:color w:val="000000"/>
          <w:lang w:val="ru-RU"/>
        </w:rPr>
        <w:t xml:space="preserve"> 20, 60, 120 </w:t>
      </w:r>
      <w:r w:rsidRPr="00FE6AC6">
        <w:rPr>
          <w:color w:val="000000"/>
          <w:lang w:val="bg-BG"/>
        </w:rPr>
        <w:t>или</w:t>
      </w:r>
      <w:r w:rsidRPr="00FE6AC6">
        <w:rPr>
          <w:color w:val="000000"/>
          <w:lang w:val="ru-RU"/>
        </w:rPr>
        <w:t xml:space="preserve"> 180</w:t>
      </w:r>
      <w:r w:rsidRPr="00FE6AC6">
        <w:rPr>
          <w:color w:val="000000"/>
        </w:rPr>
        <w:t> </w:t>
      </w:r>
      <w:r w:rsidRPr="00FE6AC6">
        <w:rPr>
          <w:color w:val="000000"/>
          <w:lang w:val="bg-BG"/>
        </w:rPr>
        <w:t>филмирани таблетки</w:t>
      </w:r>
      <w:r w:rsidRPr="00FE6AC6">
        <w:rPr>
          <w:color w:val="000000"/>
          <w:lang w:val="ru-RU"/>
        </w:rPr>
        <w:t>.</w:t>
      </w:r>
    </w:p>
    <w:p w14:paraId="3E5506AE" w14:textId="77777777" w:rsidR="0028343C" w:rsidRDefault="0028343C" w:rsidP="0063575E">
      <w:pPr>
        <w:pStyle w:val="EndnoteText"/>
        <w:widowControl w:val="0"/>
        <w:tabs>
          <w:tab w:val="clear" w:pos="567"/>
        </w:tabs>
        <w:rPr>
          <w:color w:val="000000"/>
          <w:lang w:val="ru-RU"/>
        </w:rPr>
      </w:pPr>
    </w:p>
    <w:p w14:paraId="3E5506AF" w14:textId="77777777" w:rsidR="0028343C" w:rsidRPr="00DA1414" w:rsidRDefault="0028343C" w:rsidP="0063575E">
      <w:pPr>
        <w:widowControl w:val="0"/>
        <w:tabs>
          <w:tab w:val="clear" w:pos="567"/>
        </w:tabs>
        <w:spacing w:line="240" w:lineRule="auto"/>
        <w:rPr>
          <w:color w:val="000000"/>
          <w:lang w:val="ru-RU"/>
        </w:rPr>
      </w:pPr>
      <w:r w:rsidRPr="00E90613">
        <w:rPr>
          <w:color w:val="000000"/>
        </w:rPr>
        <w:t>PVDC</w:t>
      </w:r>
      <w:r w:rsidRPr="00DA1414">
        <w:rPr>
          <w:color w:val="000000"/>
          <w:lang w:val="ru-RU"/>
        </w:rPr>
        <w:t>/</w:t>
      </w:r>
      <w:r w:rsidRPr="00E90613">
        <w:rPr>
          <w:color w:val="000000"/>
          <w:lang w:val="bg-BG"/>
        </w:rPr>
        <w:t>алуминий</w:t>
      </w:r>
      <w:r w:rsidRPr="00DA1414">
        <w:rPr>
          <w:color w:val="000000"/>
          <w:lang w:val="ru-RU"/>
        </w:rPr>
        <w:t xml:space="preserve"> </w:t>
      </w:r>
      <w:r w:rsidRPr="00E90613">
        <w:rPr>
          <w:color w:val="000000"/>
          <w:lang w:val="bg-BG"/>
        </w:rPr>
        <w:t>блистери</w:t>
      </w:r>
    </w:p>
    <w:p w14:paraId="3E5506B0" w14:textId="77777777" w:rsidR="0028343C" w:rsidRPr="00E90613" w:rsidRDefault="0028343C" w:rsidP="0063575E">
      <w:pPr>
        <w:widowControl w:val="0"/>
        <w:tabs>
          <w:tab w:val="clear" w:pos="567"/>
        </w:tabs>
        <w:spacing w:line="240" w:lineRule="auto"/>
        <w:rPr>
          <w:color w:val="000000"/>
          <w:lang w:val="ru-RU"/>
        </w:rPr>
      </w:pPr>
      <w:r w:rsidRPr="00E90613">
        <w:rPr>
          <w:color w:val="000000"/>
          <w:lang w:val="bg-BG"/>
        </w:rPr>
        <w:t>Опаковки съдържащи</w:t>
      </w:r>
      <w:r w:rsidRPr="00E90613">
        <w:rPr>
          <w:color w:val="000000"/>
          <w:lang w:val="ru-RU"/>
        </w:rPr>
        <w:t xml:space="preserve"> </w:t>
      </w:r>
      <w:r w:rsidR="00D75C11" w:rsidRPr="00ED510E">
        <w:rPr>
          <w:color w:val="000000"/>
          <w:lang w:val="ru-RU"/>
        </w:rPr>
        <w:t>6</w:t>
      </w:r>
      <w:r w:rsidRPr="00E90613">
        <w:rPr>
          <w:color w:val="000000"/>
          <w:lang w:val="ru-RU"/>
        </w:rPr>
        <w:t xml:space="preserve">0, </w:t>
      </w:r>
      <w:r w:rsidRPr="00ED510E">
        <w:rPr>
          <w:color w:val="000000"/>
          <w:lang w:val="ru-RU"/>
        </w:rPr>
        <w:t>120</w:t>
      </w:r>
      <w:r w:rsidRPr="00E90613">
        <w:rPr>
          <w:color w:val="000000"/>
          <w:lang w:val="ru-RU"/>
        </w:rPr>
        <w:t xml:space="preserve"> </w:t>
      </w:r>
      <w:r w:rsidRPr="00E90613">
        <w:rPr>
          <w:color w:val="000000"/>
          <w:lang w:val="bg-BG"/>
        </w:rPr>
        <w:t>или</w:t>
      </w:r>
      <w:r w:rsidRPr="00E90613">
        <w:rPr>
          <w:color w:val="000000"/>
          <w:lang w:val="ru-RU"/>
        </w:rPr>
        <w:t xml:space="preserve"> </w:t>
      </w:r>
      <w:r w:rsidRPr="00ED510E">
        <w:rPr>
          <w:color w:val="000000"/>
          <w:lang w:val="ru-RU"/>
        </w:rPr>
        <w:t>180</w:t>
      </w:r>
      <w:r w:rsidRPr="00E90613">
        <w:rPr>
          <w:color w:val="000000"/>
        </w:rPr>
        <w:t> </w:t>
      </w:r>
      <w:r w:rsidRPr="00E90613">
        <w:rPr>
          <w:color w:val="000000"/>
          <w:lang w:val="bg-BG"/>
        </w:rPr>
        <w:t>филмирани таблетки</w:t>
      </w:r>
      <w:r w:rsidRPr="00E90613">
        <w:rPr>
          <w:color w:val="000000"/>
          <w:lang w:val="ru-RU"/>
        </w:rPr>
        <w:t>.</w:t>
      </w:r>
    </w:p>
    <w:p w14:paraId="3E5506B1" w14:textId="77777777" w:rsidR="00D73861" w:rsidRPr="00FE6AC6" w:rsidRDefault="00D73861" w:rsidP="0063575E">
      <w:pPr>
        <w:pStyle w:val="EndnoteText"/>
        <w:widowControl w:val="0"/>
        <w:tabs>
          <w:tab w:val="clear" w:pos="567"/>
        </w:tabs>
        <w:rPr>
          <w:color w:val="000000"/>
          <w:lang w:val="ru-RU"/>
        </w:rPr>
      </w:pPr>
    </w:p>
    <w:p w14:paraId="3E5506B2" w14:textId="77777777" w:rsidR="00DA1414" w:rsidRPr="00ED510E" w:rsidRDefault="00DA1414" w:rsidP="0063575E">
      <w:pPr>
        <w:keepNext/>
        <w:widowControl w:val="0"/>
        <w:tabs>
          <w:tab w:val="clear" w:pos="567"/>
        </w:tabs>
        <w:spacing w:line="240" w:lineRule="auto"/>
        <w:rPr>
          <w:color w:val="000000"/>
          <w:u w:val="single"/>
          <w:lang w:val="bg-BG"/>
        </w:rPr>
      </w:pPr>
      <w:r w:rsidRPr="00ED510E">
        <w:rPr>
          <w:color w:val="000000"/>
          <w:u w:val="single"/>
          <w:lang w:val="da-DK"/>
        </w:rPr>
        <w:t>Glivec</w:t>
      </w:r>
      <w:r w:rsidRPr="00ED510E">
        <w:rPr>
          <w:color w:val="000000"/>
          <w:u w:val="single"/>
          <w:lang w:val="bg-BG"/>
        </w:rPr>
        <w:t xml:space="preserve"> 400</w:t>
      </w:r>
      <w:r w:rsidRPr="00ED510E">
        <w:rPr>
          <w:color w:val="000000"/>
          <w:u w:val="single"/>
          <w:lang w:val="da-DK"/>
        </w:rPr>
        <w:t> mg</w:t>
      </w:r>
      <w:r w:rsidRPr="00ED510E">
        <w:rPr>
          <w:color w:val="000000"/>
          <w:u w:val="single"/>
          <w:lang w:val="bg-BG"/>
        </w:rPr>
        <w:t xml:space="preserve"> филмирани таблетки</w:t>
      </w:r>
    </w:p>
    <w:p w14:paraId="3E5506B3" w14:textId="77777777" w:rsidR="00DA1414" w:rsidRPr="00FE6AC6" w:rsidRDefault="00DA1414" w:rsidP="0063575E">
      <w:pPr>
        <w:widowControl w:val="0"/>
        <w:tabs>
          <w:tab w:val="clear" w:pos="567"/>
        </w:tabs>
        <w:spacing w:line="240" w:lineRule="auto"/>
        <w:rPr>
          <w:color w:val="000000"/>
          <w:lang w:val="ru-RU"/>
        </w:rPr>
      </w:pPr>
      <w:r w:rsidRPr="00FE6AC6">
        <w:rPr>
          <w:color w:val="000000"/>
        </w:rPr>
        <w:t>PVDC</w:t>
      </w:r>
      <w:r w:rsidRPr="00FE6AC6">
        <w:rPr>
          <w:color w:val="000000"/>
          <w:lang w:val="ru-RU"/>
        </w:rPr>
        <w:t>/</w:t>
      </w:r>
      <w:r w:rsidRPr="00FE6AC6">
        <w:rPr>
          <w:color w:val="000000"/>
          <w:lang w:val="bg-BG"/>
        </w:rPr>
        <w:t>алуминий</w:t>
      </w:r>
      <w:r w:rsidRPr="00FE6AC6">
        <w:rPr>
          <w:color w:val="000000"/>
          <w:lang w:val="ru-RU"/>
        </w:rPr>
        <w:t xml:space="preserve"> </w:t>
      </w:r>
      <w:r w:rsidRPr="00FE6AC6">
        <w:rPr>
          <w:color w:val="000000"/>
          <w:lang w:val="bg-BG"/>
        </w:rPr>
        <w:t>блистери</w:t>
      </w:r>
    </w:p>
    <w:p w14:paraId="3E5506B4" w14:textId="77777777" w:rsidR="00DA1414" w:rsidRPr="00FE6AC6" w:rsidRDefault="00DA1414" w:rsidP="0063575E">
      <w:pPr>
        <w:widowControl w:val="0"/>
        <w:tabs>
          <w:tab w:val="clear" w:pos="567"/>
        </w:tabs>
        <w:spacing w:line="240" w:lineRule="auto"/>
        <w:rPr>
          <w:color w:val="000000"/>
          <w:lang w:val="ru-RU"/>
        </w:rPr>
      </w:pPr>
      <w:r w:rsidRPr="00FE6AC6">
        <w:rPr>
          <w:color w:val="000000"/>
          <w:lang w:val="bg-BG"/>
        </w:rPr>
        <w:t>Опаковки съдържащи</w:t>
      </w:r>
      <w:r w:rsidRPr="00FE6AC6">
        <w:rPr>
          <w:color w:val="000000"/>
          <w:lang w:val="ru-RU"/>
        </w:rPr>
        <w:t xml:space="preserve"> 10, 30 </w:t>
      </w:r>
      <w:r w:rsidRPr="00FE6AC6">
        <w:rPr>
          <w:color w:val="000000"/>
          <w:lang w:val="bg-BG"/>
        </w:rPr>
        <w:t>или</w:t>
      </w:r>
      <w:r w:rsidRPr="00FE6AC6">
        <w:rPr>
          <w:color w:val="000000"/>
          <w:lang w:val="ru-RU"/>
        </w:rPr>
        <w:t xml:space="preserve"> 90</w:t>
      </w:r>
      <w:r w:rsidRPr="00FE6AC6">
        <w:rPr>
          <w:color w:val="000000"/>
        </w:rPr>
        <w:t> </w:t>
      </w:r>
      <w:r w:rsidRPr="00FE6AC6">
        <w:rPr>
          <w:color w:val="000000"/>
          <w:lang w:val="bg-BG"/>
        </w:rPr>
        <w:t>филмирани таблетки</w:t>
      </w:r>
      <w:r w:rsidRPr="00FE6AC6">
        <w:rPr>
          <w:color w:val="000000"/>
          <w:lang w:val="ru-RU"/>
        </w:rPr>
        <w:t>.</w:t>
      </w:r>
    </w:p>
    <w:p w14:paraId="3E5506B5" w14:textId="77777777" w:rsidR="00DA1414" w:rsidRPr="00FE6AC6" w:rsidRDefault="00DA1414" w:rsidP="0063575E">
      <w:pPr>
        <w:pStyle w:val="EndnoteText"/>
        <w:widowControl w:val="0"/>
        <w:tabs>
          <w:tab w:val="clear" w:pos="567"/>
        </w:tabs>
        <w:rPr>
          <w:color w:val="000000"/>
          <w:lang w:val="ru-RU"/>
        </w:rPr>
      </w:pPr>
    </w:p>
    <w:p w14:paraId="3E5506B6" w14:textId="77777777" w:rsidR="00D73861" w:rsidRPr="00FE6AC6" w:rsidRDefault="00D73861" w:rsidP="0063575E">
      <w:pPr>
        <w:pStyle w:val="EndnoteText"/>
        <w:widowControl w:val="0"/>
        <w:tabs>
          <w:tab w:val="clear" w:pos="567"/>
        </w:tabs>
        <w:rPr>
          <w:color w:val="000000"/>
          <w:lang w:val="ru-RU"/>
        </w:rPr>
      </w:pPr>
      <w:r w:rsidRPr="00FE6AC6">
        <w:rPr>
          <w:color w:val="000000"/>
          <w:lang w:val="bg-BG"/>
        </w:rPr>
        <w:t>Не всички видове опаковки могат да бъдат пуснати в продажба</w:t>
      </w:r>
      <w:r w:rsidRPr="00FE6AC6">
        <w:rPr>
          <w:color w:val="000000"/>
          <w:lang w:val="ru-RU"/>
        </w:rPr>
        <w:t>.</w:t>
      </w:r>
    </w:p>
    <w:p w14:paraId="3E5506B7" w14:textId="77777777" w:rsidR="00D73861" w:rsidRPr="00FE6AC6" w:rsidRDefault="00D73861" w:rsidP="0063575E">
      <w:pPr>
        <w:widowControl w:val="0"/>
        <w:tabs>
          <w:tab w:val="clear" w:pos="567"/>
        </w:tabs>
        <w:spacing w:line="240" w:lineRule="auto"/>
        <w:rPr>
          <w:color w:val="000000"/>
          <w:lang w:val="ru-RU"/>
        </w:rPr>
      </w:pPr>
    </w:p>
    <w:p w14:paraId="3E5506B8" w14:textId="77777777" w:rsidR="00D73861" w:rsidRPr="00FE6AC6" w:rsidRDefault="00D73861" w:rsidP="0063575E">
      <w:pPr>
        <w:keepNext/>
        <w:widowControl w:val="0"/>
        <w:tabs>
          <w:tab w:val="clear" w:pos="567"/>
        </w:tabs>
        <w:spacing w:line="240" w:lineRule="auto"/>
        <w:ind w:left="567" w:hanging="567"/>
        <w:outlineLvl w:val="0"/>
        <w:rPr>
          <w:color w:val="000000"/>
          <w:lang w:val="bg-BG"/>
        </w:rPr>
      </w:pPr>
      <w:r w:rsidRPr="00FE6AC6">
        <w:rPr>
          <w:b/>
          <w:color w:val="000000"/>
          <w:lang w:val="bg-BG"/>
        </w:rPr>
        <w:t>6.6</w:t>
      </w:r>
      <w:r w:rsidRPr="00FE6AC6">
        <w:rPr>
          <w:b/>
          <w:color w:val="000000"/>
          <w:lang w:val="bg-BG"/>
        </w:rPr>
        <w:tab/>
        <w:t>Специални предпазни мерки при изхвърляне</w:t>
      </w:r>
    </w:p>
    <w:p w14:paraId="3E5506B9" w14:textId="77777777" w:rsidR="00D73861" w:rsidRPr="00FE6AC6" w:rsidRDefault="00D73861" w:rsidP="0063575E">
      <w:pPr>
        <w:keepNext/>
        <w:widowControl w:val="0"/>
        <w:tabs>
          <w:tab w:val="clear" w:pos="567"/>
        </w:tabs>
        <w:spacing w:line="240" w:lineRule="auto"/>
        <w:rPr>
          <w:color w:val="000000"/>
          <w:lang w:val="bg-BG"/>
        </w:rPr>
      </w:pPr>
    </w:p>
    <w:p w14:paraId="3E5506BA" w14:textId="77777777" w:rsidR="005D78A8" w:rsidRPr="00FE6AC6" w:rsidRDefault="005D78A8" w:rsidP="0063575E">
      <w:pPr>
        <w:widowControl w:val="0"/>
        <w:tabs>
          <w:tab w:val="clear" w:pos="567"/>
        </w:tabs>
        <w:spacing w:line="240" w:lineRule="auto"/>
        <w:rPr>
          <w:noProof/>
          <w:szCs w:val="24"/>
          <w:lang w:val="bg-BG"/>
        </w:rPr>
      </w:pPr>
      <w:r w:rsidRPr="00FE6AC6">
        <w:rPr>
          <w:noProof/>
          <w:szCs w:val="24"/>
          <w:lang w:val="bg-BG"/>
        </w:rPr>
        <w:t>Неизползваният лекарствен продукт или отпадъчните материали от него трябва да се изхвърлят в съответствие с местните изисквания.</w:t>
      </w:r>
    </w:p>
    <w:p w14:paraId="3E5506BB" w14:textId="77777777" w:rsidR="00D73861" w:rsidRPr="00FE6AC6" w:rsidRDefault="00D73861" w:rsidP="0063575E">
      <w:pPr>
        <w:widowControl w:val="0"/>
        <w:tabs>
          <w:tab w:val="clear" w:pos="567"/>
        </w:tabs>
        <w:spacing w:line="240" w:lineRule="auto"/>
        <w:rPr>
          <w:color w:val="000000"/>
          <w:lang w:val="bg-BG"/>
        </w:rPr>
      </w:pPr>
    </w:p>
    <w:p w14:paraId="3E5506BC" w14:textId="77777777" w:rsidR="00D73861" w:rsidRPr="00FE6AC6" w:rsidRDefault="00D73861" w:rsidP="0063575E">
      <w:pPr>
        <w:widowControl w:val="0"/>
        <w:tabs>
          <w:tab w:val="clear" w:pos="567"/>
        </w:tabs>
        <w:spacing w:line="240" w:lineRule="auto"/>
        <w:rPr>
          <w:color w:val="000000"/>
          <w:lang w:val="bg-BG"/>
        </w:rPr>
      </w:pPr>
    </w:p>
    <w:p w14:paraId="3E5506BD" w14:textId="77777777" w:rsidR="00D73861" w:rsidRPr="00FE6AC6" w:rsidRDefault="00D73861" w:rsidP="0063575E">
      <w:pPr>
        <w:keepNext/>
        <w:widowControl w:val="0"/>
        <w:spacing w:line="240" w:lineRule="auto"/>
        <w:ind w:left="567" w:hanging="567"/>
        <w:rPr>
          <w:color w:val="000000"/>
          <w:lang w:val="bg-BG"/>
        </w:rPr>
      </w:pPr>
      <w:r w:rsidRPr="00FE6AC6">
        <w:rPr>
          <w:b/>
          <w:color w:val="000000"/>
          <w:lang w:val="bg-BG"/>
        </w:rPr>
        <w:t>7.</w:t>
      </w:r>
      <w:r w:rsidRPr="00FE6AC6">
        <w:rPr>
          <w:b/>
          <w:color w:val="000000"/>
          <w:lang w:val="bg-BG"/>
        </w:rPr>
        <w:tab/>
        <w:t>ПРИТЕЖАТЕЛ НА РАЗРЕШЕНИЕТО ЗА УПОТРЕБА</w:t>
      </w:r>
    </w:p>
    <w:p w14:paraId="3E5506BE" w14:textId="77777777" w:rsidR="00D73861" w:rsidRPr="00FE6AC6" w:rsidRDefault="00D73861" w:rsidP="0063575E">
      <w:pPr>
        <w:keepNext/>
        <w:widowControl w:val="0"/>
        <w:spacing w:line="240" w:lineRule="auto"/>
        <w:rPr>
          <w:color w:val="000000"/>
          <w:lang w:val="bg-BG"/>
        </w:rPr>
      </w:pPr>
    </w:p>
    <w:p w14:paraId="3E5506BF" w14:textId="77777777" w:rsidR="00D73861" w:rsidRPr="00FE6AC6" w:rsidRDefault="00D73861" w:rsidP="0063575E">
      <w:pPr>
        <w:keepNext/>
        <w:widowControl w:val="0"/>
        <w:tabs>
          <w:tab w:val="clear" w:pos="567"/>
        </w:tabs>
        <w:spacing w:line="240" w:lineRule="auto"/>
        <w:rPr>
          <w:color w:val="000000"/>
          <w:lang w:val="bg-BG"/>
        </w:rPr>
      </w:pPr>
      <w:r w:rsidRPr="00FE6AC6">
        <w:rPr>
          <w:color w:val="000000"/>
        </w:rPr>
        <w:t>Novartis</w:t>
      </w:r>
      <w:r w:rsidRPr="00FE6AC6">
        <w:rPr>
          <w:color w:val="000000"/>
          <w:lang w:val="bg-BG"/>
        </w:rPr>
        <w:t xml:space="preserve"> </w:t>
      </w:r>
      <w:r w:rsidRPr="00FE6AC6">
        <w:rPr>
          <w:color w:val="000000"/>
        </w:rPr>
        <w:t>Europharm</w:t>
      </w:r>
      <w:r w:rsidRPr="00FE6AC6">
        <w:rPr>
          <w:color w:val="000000"/>
          <w:lang w:val="bg-BG"/>
        </w:rPr>
        <w:t xml:space="preserve"> </w:t>
      </w:r>
      <w:r w:rsidRPr="00FE6AC6">
        <w:rPr>
          <w:color w:val="000000"/>
        </w:rPr>
        <w:t>Limited</w:t>
      </w:r>
    </w:p>
    <w:p w14:paraId="3E5506C0" w14:textId="77777777" w:rsidR="000B10A3" w:rsidRPr="00FE6AC6" w:rsidRDefault="000B10A3" w:rsidP="0063575E">
      <w:pPr>
        <w:keepNext/>
        <w:widowControl w:val="0"/>
        <w:spacing w:line="240" w:lineRule="auto"/>
        <w:rPr>
          <w:color w:val="000000"/>
        </w:rPr>
      </w:pPr>
      <w:r w:rsidRPr="00FE6AC6">
        <w:rPr>
          <w:color w:val="000000"/>
        </w:rPr>
        <w:t>Vista Building</w:t>
      </w:r>
    </w:p>
    <w:p w14:paraId="3E5506C1" w14:textId="77777777" w:rsidR="000B10A3" w:rsidRPr="00FE6AC6" w:rsidRDefault="000B10A3" w:rsidP="0063575E">
      <w:pPr>
        <w:keepNext/>
        <w:widowControl w:val="0"/>
        <w:spacing w:line="240" w:lineRule="auto"/>
        <w:rPr>
          <w:color w:val="000000"/>
        </w:rPr>
      </w:pPr>
      <w:r w:rsidRPr="00FE6AC6">
        <w:rPr>
          <w:color w:val="000000"/>
        </w:rPr>
        <w:t>Elm Park, Merrion Road</w:t>
      </w:r>
    </w:p>
    <w:p w14:paraId="3E5506C2" w14:textId="77777777" w:rsidR="000B10A3" w:rsidRPr="00FE6AC6" w:rsidRDefault="000B10A3" w:rsidP="0063575E">
      <w:pPr>
        <w:keepNext/>
        <w:widowControl w:val="0"/>
        <w:spacing w:line="240" w:lineRule="auto"/>
        <w:rPr>
          <w:color w:val="000000"/>
        </w:rPr>
      </w:pPr>
      <w:r w:rsidRPr="00FE6AC6">
        <w:rPr>
          <w:color w:val="000000"/>
        </w:rPr>
        <w:t>Dublin 4</w:t>
      </w:r>
    </w:p>
    <w:p w14:paraId="3E5506C3" w14:textId="77777777" w:rsidR="000B10A3" w:rsidRPr="00FE6AC6" w:rsidRDefault="000B10A3" w:rsidP="0063575E">
      <w:pPr>
        <w:spacing w:line="240" w:lineRule="auto"/>
        <w:rPr>
          <w:color w:val="000000"/>
        </w:rPr>
      </w:pPr>
      <w:r w:rsidRPr="00FE6AC6">
        <w:rPr>
          <w:color w:val="000000"/>
        </w:rPr>
        <w:t>Ирландия</w:t>
      </w:r>
    </w:p>
    <w:p w14:paraId="3E5506C4" w14:textId="77777777" w:rsidR="00D73861" w:rsidRPr="00FE6AC6" w:rsidRDefault="00D73861" w:rsidP="0063575E">
      <w:pPr>
        <w:widowControl w:val="0"/>
        <w:spacing w:line="240" w:lineRule="auto"/>
        <w:rPr>
          <w:color w:val="000000"/>
          <w:lang w:val="ru-RU"/>
        </w:rPr>
      </w:pPr>
    </w:p>
    <w:p w14:paraId="3E5506C5" w14:textId="77777777" w:rsidR="00D73861" w:rsidRPr="00FE6AC6" w:rsidRDefault="00D73861" w:rsidP="0063575E">
      <w:pPr>
        <w:widowControl w:val="0"/>
        <w:spacing w:line="240" w:lineRule="auto"/>
        <w:rPr>
          <w:color w:val="000000"/>
          <w:lang w:val="bg-BG"/>
        </w:rPr>
      </w:pPr>
    </w:p>
    <w:p w14:paraId="3E5506C6" w14:textId="77777777" w:rsidR="00D73861" w:rsidRPr="00FE6AC6" w:rsidRDefault="00D73861" w:rsidP="0063575E">
      <w:pPr>
        <w:keepNext/>
        <w:widowControl w:val="0"/>
        <w:spacing w:line="240" w:lineRule="auto"/>
        <w:ind w:left="567" w:hanging="567"/>
        <w:rPr>
          <w:b/>
          <w:color w:val="000000"/>
          <w:lang w:val="bg-BG"/>
        </w:rPr>
      </w:pPr>
      <w:r w:rsidRPr="00FE6AC6">
        <w:rPr>
          <w:b/>
          <w:color w:val="000000"/>
          <w:lang w:val="bg-BG"/>
        </w:rPr>
        <w:t>8.</w:t>
      </w:r>
      <w:r w:rsidRPr="00FE6AC6">
        <w:rPr>
          <w:b/>
          <w:color w:val="000000"/>
          <w:lang w:val="bg-BG"/>
        </w:rPr>
        <w:tab/>
        <w:t>НОМЕР(А) НА РАЗРЕШЕНИЕТО ЗА УПОТРЕБА</w:t>
      </w:r>
    </w:p>
    <w:p w14:paraId="3E5506C7" w14:textId="77777777" w:rsidR="00D73861" w:rsidRPr="00FE6AC6" w:rsidRDefault="00D73861" w:rsidP="0063575E">
      <w:pPr>
        <w:keepNext/>
        <w:widowControl w:val="0"/>
        <w:spacing w:line="240" w:lineRule="auto"/>
        <w:rPr>
          <w:color w:val="000000"/>
          <w:lang w:val="bg-BG"/>
        </w:rPr>
      </w:pPr>
    </w:p>
    <w:p w14:paraId="3E5506C8" w14:textId="77777777" w:rsidR="00D532E8" w:rsidRPr="00572F70" w:rsidRDefault="00D532E8" w:rsidP="0063575E">
      <w:pPr>
        <w:keepNext/>
        <w:widowControl w:val="0"/>
        <w:tabs>
          <w:tab w:val="clear" w:pos="567"/>
        </w:tabs>
        <w:spacing w:line="240" w:lineRule="auto"/>
        <w:rPr>
          <w:color w:val="000000"/>
          <w:u w:val="single"/>
          <w:lang w:val="bg-BG"/>
        </w:rPr>
      </w:pPr>
      <w:r w:rsidRPr="00572F70">
        <w:rPr>
          <w:color w:val="000000"/>
          <w:u w:val="single"/>
          <w:lang w:val="da-DK"/>
        </w:rPr>
        <w:t>Glivec</w:t>
      </w:r>
      <w:r w:rsidRPr="00572F70">
        <w:rPr>
          <w:color w:val="000000"/>
          <w:u w:val="single"/>
          <w:lang w:val="bg-BG"/>
        </w:rPr>
        <w:t xml:space="preserve"> 100</w:t>
      </w:r>
      <w:r w:rsidRPr="00572F70">
        <w:rPr>
          <w:color w:val="000000"/>
          <w:u w:val="single"/>
          <w:lang w:val="da-DK"/>
        </w:rPr>
        <w:t> mg</w:t>
      </w:r>
      <w:r w:rsidRPr="00572F70">
        <w:rPr>
          <w:color w:val="000000"/>
          <w:u w:val="single"/>
          <w:lang w:val="bg-BG"/>
        </w:rPr>
        <w:t xml:space="preserve"> филмирани таблетки</w:t>
      </w:r>
    </w:p>
    <w:p w14:paraId="3E5506C9" w14:textId="77777777" w:rsidR="00D73861" w:rsidRPr="00FE6AC6" w:rsidRDefault="00D73861" w:rsidP="0063575E">
      <w:pPr>
        <w:pStyle w:val="EndnoteText"/>
        <w:keepNext/>
        <w:widowControl w:val="0"/>
        <w:tabs>
          <w:tab w:val="clear" w:pos="567"/>
        </w:tabs>
        <w:rPr>
          <w:color w:val="000000"/>
          <w:szCs w:val="22"/>
          <w:lang w:val="bg-BG"/>
        </w:rPr>
      </w:pPr>
      <w:r w:rsidRPr="00FE6AC6">
        <w:rPr>
          <w:color w:val="000000"/>
          <w:szCs w:val="22"/>
          <w:lang w:val="de-CH"/>
        </w:rPr>
        <w:t>EU</w:t>
      </w:r>
      <w:r w:rsidRPr="00FE6AC6">
        <w:rPr>
          <w:color w:val="000000"/>
          <w:szCs w:val="22"/>
          <w:lang w:val="bg-BG"/>
        </w:rPr>
        <w:t>/1/01/198/007</w:t>
      </w:r>
    </w:p>
    <w:p w14:paraId="3E5506CA" w14:textId="77777777" w:rsidR="00D73861" w:rsidRPr="00FE6AC6" w:rsidRDefault="00D73861" w:rsidP="0063575E">
      <w:pPr>
        <w:pStyle w:val="EndnoteText"/>
        <w:keepNext/>
        <w:widowControl w:val="0"/>
        <w:tabs>
          <w:tab w:val="clear" w:pos="567"/>
        </w:tabs>
        <w:rPr>
          <w:color w:val="000000"/>
          <w:szCs w:val="22"/>
          <w:lang w:val="bg-BG"/>
        </w:rPr>
      </w:pPr>
      <w:r w:rsidRPr="00ED510E">
        <w:rPr>
          <w:color w:val="000000"/>
          <w:szCs w:val="22"/>
          <w:lang w:val="fr-CH"/>
        </w:rPr>
        <w:t>EU</w:t>
      </w:r>
      <w:r w:rsidRPr="00FE6AC6">
        <w:rPr>
          <w:color w:val="000000"/>
          <w:szCs w:val="22"/>
          <w:lang w:val="bg-BG"/>
        </w:rPr>
        <w:t>/1/01/198/008</w:t>
      </w:r>
    </w:p>
    <w:p w14:paraId="3E5506CB" w14:textId="77777777" w:rsidR="00D73861" w:rsidRPr="00FE6AC6" w:rsidRDefault="00D73861" w:rsidP="0063575E">
      <w:pPr>
        <w:pStyle w:val="EndnoteText"/>
        <w:keepNext/>
        <w:widowControl w:val="0"/>
        <w:tabs>
          <w:tab w:val="clear" w:pos="567"/>
        </w:tabs>
        <w:rPr>
          <w:color w:val="000000"/>
          <w:szCs w:val="22"/>
          <w:lang w:val="bg-BG"/>
        </w:rPr>
      </w:pPr>
      <w:r w:rsidRPr="00ED510E">
        <w:rPr>
          <w:color w:val="000000"/>
          <w:szCs w:val="22"/>
          <w:lang w:val="fr-CH"/>
        </w:rPr>
        <w:t>EU</w:t>
      </w:r>
      <w:r w:rsidRPr="00FE6AC6">
        <w:rPr>
          <w:color w:val="000000"/>
          <w:szCs w:val="22"/>
          <w:lang w:val="bg-BG"/>
        </w:rPr>
        <w:t>/1/01/198/011</w:t>
      </w:r>
    </w:p>
    <w:p w14:paraId="3E5506CC" w14:textId="77777777" w:rsidR="00D73861" w:rsidRPr="00FE6AC6" w:rsidRDefault="00D73861" w:rsidP="0063575E">
      <w:pPr>
        <w:pStyle w:val="EndnoteText"/>
        <w:keepNext/>
        <w:widowControl w:val="0"/>
        <w:tabs>
          <w:tab w:val="clear" w:pos="567"/>
        </w:tabs>
        <w:rPr>
          <w:color w:val="000000"/>
          <w:szCs w:val="22"/>
          <w:lang w:val="bg-BG"/>
        </w:rPr>
      </w:pPr>
      <w:r w:rsidRPr="00ED510E">
        <w:rPr>
          <w:color w:val="000000"/>
          <w:szCs w:val="22"/>
          <w:lang w:val="fr-CH"/>
        </w:rPr>
        <w:t>EU</w:t>
      </w:r>
      <w:r w:rsidRPr="00FE6AC6">
        <w:rPr>
          <w:color w:val="000000"/>
          <w:szCs w:val="22"/>
          <w:lang w:val="bg-BG"/>
        </w:rPr>
        <w:t>/1/01/198/012</w:t>
      </w:r>
    </w:p>
    <w:p w14:paraId="3E5506CD" w14:textId="77777777" w:rsidR="0028343C" w:rsidRPr="00ED510E" w:rsidRDefault="0028343C" w:rsidP="0063575E">
      <w:pPr>
        <w:pStyle w:val="EndnoteText"/>
        <w:keepNext/>
        <w:widowControl w:val="0"/>
        <w:tabs>
          <w:tab w:val="clear" w:pos="567"/>
        </w:tabs>
        <w:rPr>
          <w:color w:val="000000"/>
          <w:szCs w:val="22"/>
          <w:lang w:val="fr-CH"/>
        </w:rPr>
      </w:pPr>
      <w:r w:rsidRPr="00ED510E">
        <w:rPr>
          <w:color w:val="000000"/>
          <w:szCs w:val="22"/>
          <w:lang w:val="fr-CH"/>
        </w:rPr>
        <w:t>EU/1/01/198/01</w:t>
      </w:r>
      <w:r w:rsidR="003B2B39">
        <w:rPr>
          <w:color w:val="000000"/>
          <w:szCs w:val="22"/>
          <w:lang w:val="fr-CH"/>
        </w:rPr>
        <w:t>4</w:t>
      </w:r>
    </w:p>
    <w:p w14:paraId="3E5506CE" w14:textId="77777777" w:rsidR="0028343C" w:rsidRPr="00ED510E" w:rsidRDefault="0028343C" w:rsidP="0063575E">
      <w:pPr>
        <w:pStyle w:val="EndnoteText"/>
        <w:keepNext/>
        <w:widowControl w:val="0"/>
        <w:tabs>
          <w:tab w:val="clear" w:pos="567"/>
        </w:tabs>
        <w:rPr>
          <w:color w:val="000000"/>
          <w:szCs w:val="22"/>
          <w:lang w:val="fr-CH"/>
        </w:rPr>
      </w:pPr>
      <w:r w:rsidRPr="00ED510E">
        <w:rPr>
          <w:color w:val="000000"/>
          <w:szCs w:val="22"/>
          <w:lang w:val="fr-CH"/>
        </w:rPr>
        <w:t>EU/1/01/198/01</w:t>
      </w:r>
      <w:r w:rsidR="003B2B39">
        <w:rPr>
          <w:color w:val="000000"/>
          <w:szCs w:val="22"/>
          <w:lang w:val="fr-CH"/>
        </w:rPr>
        <w:t>5</w:t>
      </w:r>
    </w:p>
    <w:p w14:paraId="3E5506CF" w14:textId="77777777" w:rsidR="00D75C11" w:rsidRPr="00ED510E" w:rsidRDefault="00D75C11" w:rsidP="0063575E">
      <w:pPr>
        <w:pStyle w:val="EndnoteText"/>
        <w:widowControl w:val="0"/>
        <w:tabs>
          <w:tab w:val="clear" w:pos="567"/>
        </w:tabs>
        <w:rPr>
          <w:color w:val="000000"/>
          <w:szCs w:val="22"/>
          <w:lang w:val="fr-CH"/>
        </w:rPr>
      </w:pPr>
      <w:r w:rsidRPr="00ED510E">
        <w:rPr>
          <w:color w:val="000000"/>
          <w:szCs w:val="22"/>
          <w:lang w:val="fr-CH"/>
        </w:rPr>
        <w:t>EU/1/01/198/01</w:t>
      </w:r>
      <w:r w:rsidR="003B2B39">
        <w:rPr>
          <w:color w:val="000000"/>
          <w:szCs w:val="22"/>
          <w:lang w:val="fr-CH"/>
        </w:rPr>
        <w:t>6</w:t>
      </w:r>
    </w:p>
    <w:p w14:paraId="3E5506D0" w14:textId="77777777" w:rsidR="00D73861" w:rsidRPr="00FE6AC6" w:rsidRDefault="00D73861" w:rsidP="0063575E">
      <w:pPr>
        <w:widowControl w:val="0"/>
        <w:spacing w:line="240" w:lineRule="auto"/>
        <w:rPr>
          <w:color w:val="000000"/>
          <w:lang w:val="bg-BG"/>
        </w:rPr>
      </w:pPr>
    </w:p>
    <w:p w14:paraId="3E5506D1" w14:textId="77777777" w:rsidR="00D532E8" w:rsidRPr="00572F70" w:rsidRDefault="00D532E8" w:rsidP="0063575E">
      <w:pPr>
        <w:keepNext/>
        <w:widowControl w:val="0"/>
        <w:tabs>
          <w:tab w:val="clear" w:pos="567"/>
        </w:tabs>
        <w:spacing w:line="240" w:lineRule="auto"/>
        <w:rPr>
          <w:color w:val="000000"/>
          <w:u w:val="single"/>
          <w:lang w:val="bg-BG"/>
        </w:rPr>
      </w:pPr>
      <w:r w:rsidRPr="00572F70">
        <w:rPr>
          <w:color w:val="000000"/>
          <w:u w:val="single"/>
          <w:lang w:val="da-DK"/>
        </w:rPr>
        <w:t>Glivec</w:t>
      </w:r>
      <w:r w:rsidRPr="00572F70">
        <w:rPr>
          <w:color w:val="000000"/>
          <w:u w:val="single"/>
          <w:lang w:val="bg-BG"/>
        </w:rPr>
        <w:t xml:space="preserve"> 400</w:t>
      </w:r>
      <w:r w:rsidRPr="00572F70">
        <w:rPr>
          <w:color w:val="000000"/>
          <w:u w:val="single"/>
          <w:lang w:val="da-DK"/>
        </w:rPr>
        <w:t> mg</w:t>
      </w:r>
      <w:r w:rsidRPr="00572F70">
        <w:rPr>
          <w:color w:val="000000"/>
          <w:u w:val="single"/>
          <w:lang w:val="bg-BG"/>
        </w:rPr>
        <w:t xml:space="preserve"> филмирани таблетки</w:t>
      </w:r>
    </w:p>
    <w:p w14:paraId="3E5506D2" w14:textId="77777777" w:rsidR="00D532E8" w:rsidRPr="00FE6AC6" w:rsidRDefault="00D532E8" w:rsidP="0063575E">
      <w:pPr>
        <w:pStyle w:val="EndnoteText"/>
        <w:keepNext/>
        <w:widowControl w:val="0"/>
        <w:tabs>
          <w:tab w:val="clear" w:pos="567"/>
        </w:tabs>
        <w:rPr>
          <w:color w:val="000000"/>
          <w:szCs w:val="22"/>
          <w:lang w:val="bg-BG"/>
        </w:rPr>
      </w:pPr>
      <w:r w:rsidRPr="00ED510E">
        <w:rPr>
          <w:color w:val="000000"/>
          <w:szCs w:val="22"/>
          <w:lang w:val="fr-CH"/>
        </w:rPr>
        <w:t>EU</w:t>
      </w:r>
      <w:r w:rsidRPr="00FE6AC6">
        <w:rPr>
          <w:color w:val="000000"/>
          <w:szCs w:val="22"/>
          <w:lang w:val="bg-BG"/>
        </w:rPr>
        <w:t>/1/01/198/009</w:t>
      </w:r>
    </w:p>
    <w:p w14:paraId="3E5506D3" w14:textId="77777777" w:rsidR="00D532E8" w:rsidRPr="00FE6AC6" w:rsidRDefault="00D532E8" w:rsidP="0063575E">
      <w:pPr>
        <w:pStyle w:val="EndnoteText"/>
        <w:keepNext/>
        <w:widowControl w:val="0"/>
        <w:tabs>
          <w:tab w:val="clear" w:pos="567"/>
        </w:tabs>
        <w:rPr>
          <w:color w:val="000000"/>
          <w:szCs w:val="22"/>
          <w:lang w:val="bg-BG"/>
        </w:rPr>
      </w:pPr>
      <w:r w:rsidRPr="00FE6AC6">
        <w:rPr>
          <w:color w:val="000000"/>
          <w:szCs w:val="22"/>
        </w:rPr>
        <w:t>EU</w:t>
      </w:r>
      <w:r w:rsidRPr="00FE6AC6">
        <w:rPr>
          <w:color w:val="000000"/>
          <w:szCs w:val="22"/>
          <w:lang w:val="bg-BG"/>
        </w:rPr>
        <w:t>/1/01/198/010</w:t>
      </w:r>
    </w:p>
    <w:p w14:paraId="3E5506D4" w14:textId="77777777" w:rsidR="00D532E8" w:rsidRPr="00FE6AC6" w:rsidRDefault="00D532E8" w:rsidP="0063575E">
      <w:pPr>
        <w:pStyle w:val="EndnoteText"/>
        <w:widowControl w:val="0"/>
        <w:tabs>
          <w:tab w:val="clear" w:pos="567"/>
        </w:tabs>
        <w:rPr>
          <w:color w:val="000000"/>
          <w:szCs w:val="22"/>
          <w:lang w:val="bg-BG"/>
        </w:rPr>
      </w:pPr>
      <w:r w:rsidRPr="00FE6AC6">
        <w:rPr>
          <w:color w:val="000000"/>
          <w:szCs w:val="22"/>
        </w:rPr>
        <w:t>EU</w:t>
      </w:r>
      <w:r w:rsidRPr="00FE6AC6">
        <w:rPr>
          <w:color w:val="000000"/>
          <w:szCs w:val="22"/>
          <w:lang w:val="bg-BG"/>
        </w:rPr>
        <w:t>/1/01/198/013</w:t>
      </w:r>
    </w:p>
    <w:p w14:paraId="3E5506D5" w14:textId="77777777" w:rsidR="00D532E8" w:rsidRPr="00FE6AC6" w:rsidRDefault="00D532E8" w:rsidP="0063575E">
      <w:pPr>
        <w:widowControl w:val="0"/>
        <w:spacing w:line="240" w:lineRule="auto"/>
        <w:rPr>
          <w:color w:val="000000"/>
          <w:lang w:val="bg-BG"/>
        </w:rPr>
      </w:pPr>
    </w:p>
    <w:p w14:paraId="3E5506D6" w14:textId="77777777" w:rsidR="00D73861" w:rsidRPr="00FE6AC6" w:rsidRDefault="00D73861" w:rsidP="0063575E">
      <w:pPr>
        <w:widowControl w:val="0"/>
        <w:spacing w:line="240" w:lineRule="auto"/>
        <w:rPr>
          <w:color w:val="000000"/>
          <w:lang w:val="bg-BG"/>
        </w:rPr>
      </w:pPr>
    </w:p>
    <w:p w14:paraId="3E5506D7" w14:textId="77777777" w:rsidR="00D73861" w:rsidRPr="00FE6AC6" w:rsidRDefault="00D73861" w:rsidP="0063575E">
      <w:pPr>
        <w:keepNext/>
        <w:widowControl w:val="0"/>
        <w:spacing w:line="240" w:lineRule="auto"/>
        <w:ind w:left="567" w:hanging="567"/>
        <w:rPr>
          <w:color w:val="000000"/>
          <w:lang w:val="bg-BG"/>
        </w:rPr>
      </w:pPr>
      <w:r w:rsidRPr="00FE6AC6">
        <w:rPr>
          <w:b/>
          <w:color w:val="000000"/>
          <w:lang w:val="bg-BG"/>
        </w:rPr>
        <w:t>9.</w:t>
      </w:r>
      <w:r w:rsidRPr="00FE6AC6">
        <w:rPr>
          <w:b/>
          <w:color w:val="000000"/>
          <w:lang w:val="bg-BG"/>
        </w:rPr>
        <w:tab/>
        <w:t>ДАТА НА ПЪРВО РАЗРЕШАВАНЕ/ПОДНОВЯВАНЕ НА РАЗРЕШЕНИЕТО ЗА УПОТРЕБА</w:t>
      </w:r>
    </w:p>
    <w:p w14:paraId="3E5506D8" w14:textId="77777777" w:rsidR="00D73861" w:rsidRPr="00FE6AC6" w:rsidRDefault="00D73861" w:rsidP="0063575E">
      <w:pPr>
        <w:keepNext/>
        <w:widowControl w:val="0"/>
        <w:spacing w:line="240" w:lineRule="auto"/>
        <w:rPr>
          <w:i/>
          <w:color w:val="000000"/>
          <w:lang w:val="bg-BG"/>
        </w:rPr>
      </w:pPr>
    </w:p>
    <w:p w14:paraId="3E5506D9" w14:textId="77777777" w:rsidR="00D73861" w:rsidRPr="00FE6AC6" w:rsidRDefault="00D73861" w:rsidP="0063575E">
      <w:pPr>
        <w:keepNext/>
        <w:widowControl w:val="0"/>
        <w:spacing w:line="240" w:lineRule="auto"/>
        <w:rPr>
          <w:color w:val="000000"/>
          <w:lang w:val="bg-BG"/>
        </w:rPr>
      </w:pPr>
      <w:r w:rsidRPr="00FE6AC6">
        <w:rPr>
          <w:color w:val="000000"/>
          <w:lang w:val="bg-BG"/>
        </w:rPr>
        <w:t xml:space="preserve">Дата на първо разрешаване: </w:t>
      </w:r>
      <w:r w:rsidR="00A873F9" w:rsidRPr="00FE6AC6">
        <w:rPr>
          <w:color w:val="000000"/>
          <w:lang w:val="bg-BG"/>
        </w:rPr>
        <w:t>07</w:t>
      </w:r>
      <w:r w:rsidR="0008127C" w:rsidRPr="00FE6AC6">
        <w:rPr>
          <w:color w:val="000000"/>
          <w:lang w:val="ru-RU"/>
        </w:rPr>
        <w:t xml:space="preserve"> </w:t>
      </w:r>
      <w:r w:rsidR="009863C3" w:rsidRPr="00FE6AC6">
        <w:rPr>
          <w:color w:val="000000"/>
          <w:lang w:val="ru-RU"/>
        </w:rPr>
        <w:t>н</w:t>
      </w:r>
      <w:r w:rsidR="0008127C" w:rsidRPr="00FE6AC6">
        <w:rPr>
          <w:color w:val="000000"/>
          <w:lang w:val="ru-RU"/>
        </w:rPr>
        <w:t>оември</w:t>
      </w:r>
      <w:r w:rsidR="0008127C" w:rsidRPr="00FE6AC6">
        <w:rPr>
          <w:color w:val="000000"/>
          <w:lang w:val="bg-BG"/>
        </w:rPr>
        <w:t xml:space="preserve"> </w:t>
      </w:r>
      <w:r w:rsidR="00A873F9" w:rsidRPr="00FE6AC6">
        <w:rPr>
          <w:color w:val="000000"/>
          <w:lang w:val="bg-BG"/>
        </w:rPr>
        <w:t>2001</w:t>
      </w:r>
      <w:r w:rsidR="009863C3" w:rsidRPr="00FE6AC6">
        <w:rPr>
          <w:color w:val="000000"/>
          <w:lang w:val="bg-BG"/>
        </w:rPr>
        <w:t xml:space="preserve"> г.</w:t>
      </w:r>
    </w:p>
    <w:p w14:paraId="3E5506DA" w14:textId="77777777" w:rsidR="00D73861" w:rsidRPr="00FE6AC6" w:rsidRDefault="00D73861" w:rsidP="0063575E">
      <w:pPr>
        <w:widowControl w:val="0"/>
        <w:tabs>
          <w:tab w:val="clear" w:pos="567"/>
        </w:tabs>
        <w:spacing w:line="240" w:lineRule="auto"/>
        <w:rPr>
          <w:color w:val="000000"/>
          <w:lang w:val="ru-RU"/>
        </w:rPr>
      </w:pPr>
      <w:r w:rsidRPr="00FE6AC6">
        <w:rPr>
          <w:color w:val="000000"/>
          <w:lang w:val="bg-BG"/>
        </w:rPr>
        <w:t xml:space="preserve">Дата на </w:t>
      </w:r>
      <w:r w:rsidR="0008127C" w:rsidRPr="00FE6AC6">
        <w:rPr>
          <w:color w:val="000000"/>
          <w:lang w:val="bg-BG"/>
        </w:rPr>
        <w:t>последно</w:t>
      </w:r>
      <w:r w:rsidRPr="00FE6AC6">
        <w:rPr>
          <w:color w:val="000000"/>
          <w:lang w:val="bg-BG"/>
        </w:rPr>
        <w:t xml:space="preserve"> подновяване</w:t>
      </w:r>
      <w:r w:rsidRPr="00FE6AC6">
        <w:rPr>
          <w:color w:val="000000"/>
          <w:lang w:val="ru-RU"/>
        </w:rPr>
        <w:t>: 07</w:t>
      </w:r>
      <w:r w:rsidR="0008127C" w:rsidRPr="00FE6AC6">
        <w:rPr>
          <w:color w:val="000000"/>
          <w:lang w:val="ru-RU"/>
        </w:rPr>
        <w:t xml:space="preserve"> </w:t>
      </w:r>
      <w:r w:rsidR="009863C3" w:rsidRPr="00FE6AC6">
        <w:rPr>
          <w:color w:val="000000"/>
          <w:lang w:val="ru-RU"/>
        </w:rPr>
        <w:t>н</w:t>
      </w:r>
      <w:r w:rsidR="0008127C" w:rsidRPr="00FE6AC6">
        <w:rPr>
          <w:color w:val="000000"/>
          <w:lang w:val="ru-RU"/>
        </w:rPr>
        <w:t xml:space="preserve">оември </w:t>
      </w:r>
      <w:r w:rsidRPr="00FE6AC6">
        <w:rPr>
          <w:color w:val="000000"/>
          <w:lang w:val="ru-RU"/>
        </w:rPr>
        <w:t>2006</w:t>
      </w:r>
      <w:r w:rsidR="009863C3" w:rsidRPr="00FE6AC6">
        <w:rPr>
          <w:color w:val="000000"/>
          <w:lang w:val="ru-RU"/>
        </w:rPr>
        <w:t xml:space="preserve"> г.</w:t>
      </w:r>
    </w:p>
    <w:p w14:paraId="3E5506DB" w14:textId="77777777" w:rsidR="00D73861" w:rsidRPr="00FE6AC6" w:rsidRDefault="00D73861" w:rsidP="0063575E">
      <w:pPr>
        <w:widowControl w:val="0"/>
        <w:spacing w:line="240" w:lineRule="auto"/>
        <w:rPr>
          <w:color w:val="000000"/>
          <w:lang w:val="ru-RU"/>
        </w:rPr>
      </w:pPr>
    </w:p>
    <w:p w14:paraId="3E5506DC" w14:textId="77777777" w:rsidR="00D73861" w:rsidRPr="00FE6AC6" w:rsidRDefault="00D73861" w:rsidP="0063575E">
      <w:pPr>
        <w:widowControl w:val="0"/>
        <w:spacing w:line="240" w:lineRule="auto"/>
        <w:rPr>
          <w:color w:val="000000"/>
          <w:lang w:val="ru-RU"/>
        </w:rPr>
      </w:pPr>
    </w:p>
    <w:p w14:paraId="3E5506DD" w14:textId="77777777" w:rsidR="00D73861" w:rsidRPr="00FE6AC6" w:rsidRDefault="00D73861" w:rsidP="0063575E">
      <w:pPr>
        <w:widowControl w:val="0"/>
        <w:spacing w:line="240" w:lineRule="auto"/>
        <w:outlineLvl w:val="0"/>
        <w:rPr>
          <w:b/>
          <w:color w:val="000000"/>
          <w:lang w:val="bg-BG"/>
        </w:rPr>
      </w:pPr>
      <w:r w:rsidRPr="00FE6AC6">
        <w:rPr>
          <w:b/>
          <w:color w:val="000000"/>
          <w:lang w:val="ru-RU"/>
        </w:rPr>
        <w:t>10.</w:t>
      </w:r>
      <w:r w:rsidRPr="00FE6AC6">
        <w:rPr>
          <w:b/>
          <w:color w:val="000000"/>
          <w:lang w:val="ru-RU"/>
        </w:rPr>
        <w:tab/>
      </w:r>
      <w:r w:rsidRPr="00FE6AC6">
        <w:rPr>
          <w:b/>
          <w:color w:val="000000"/>
          <w:lang w:val="bg-BG"/>
        </w:rPr>
        <w:t>ДАТА НА АКТУАЛИЗИРАНЕ НА ТЕКСТА</w:t>
      </w:r>
    </w:p>
    <w:p w14:paraId="3E5506DE" w14:textId="77777777" w:rsidR="009922F2" w:rsidRPr="00FE6AC6" w:rsidRDefault="009922F2" w:rsidP="0063575E">
      <w:pPr>
        <w:widowControl w:val="0"/>
        <w:numPr>
          <w:ilvl w:val="12"/>
          <w:numId w:val="0"/>
        </w:numPr>
        <w:tabs>
          <w:tab w:val="clear" w:pos="567"/>
        </w:tabs>
        <w:spacing w:line="240" w:lineRule="auto"/>
        <w:ind w:right="-2"/>
        <w:rPr>
          <w:noProof/>
          <w:lang w:val="ru-RU"/>
        </w:rPr>
      </w:pPr>
    </w:p>
    <w:p w14:paraId="3E5506DF" w14:textId="77777777" w:rsidR="009922F2" w:rsidRPr="00FE6AC6" w:rsidRDefault="009922F2" w:rsidP="0063575E">
      <w:pPr>
        <w:widowControl w:val="0"/>
        <w:numPr>
          <w:ilvl w:val="12"/>
          <w:numId w:val="0"/>
        </w:numPr>
        <w:tabs>
          <w:tab w:val="clear" w:pos="567"/>
        </w:tabs>
        <w:spacing w:line="240" w:lineRule="auto"/>
        <w:ind w:right="-2"/>
        <w:rPr>
          <w:noProof/>
          <w:lang w:val="ru-RU"/>
        </w:rPr>
      </w:pPr>
    </w:p>
    <w:p w14:paraId="3E5506E0" w14:textId="77777777" w:rsidR="009922F2" w:rsidRPr="00FE6AC6" w:rsidRDefault="009922F2" w:rsidP="0063575E">
      <w:pPr>
        <w:widowControl w:val="0"/>
        <w:spacing w:line="240" w:lineRule="auto"/>
        <w:outlineLvl w:val="0"/>
        <w:rPr>
          <w:noProof/>
          <w:color w:val="000000"/>
          <w:lang w:val="bg-BG"/>
        </w:rPr>
      </w:pPr>
      <w:r w:rsidRPr="00FE6AC6">
        <w:rPr>
          <w:noProof/>
          <w:lang w:val="bg-BG"/>
        </w:rPr>
        <w:t xml:space="preserve">Подробна информация за този лекарствен продукт е предоставена на уебсайта на Европейската агенция по лекарствата </w:t>
      </w:r>
      <w:hyperlink r:id="rId16" w:history="1">
        <w:r w:rsidR="00D467D8" w:rsidRPr="00FE6AC6">
          <w:rPr>
            <w:rStyle w:val="Hyperlink"/>
            <w:noProof/>
          </w:rPr>
          <w:t>http</w:t>
        </w:r>
        <w:r w:rsidR="00D467D8" w:rsidRPr="00FE6AC6">
          <w:rPr>
            <w:rStyle w:val="Hyperlink"/>
            <w:noProof/>
            <w:lang w:val="ru-RU"/>
          </w:rPr>
          <w:t>://</w:t>
        </w:r>
        <w:r w:rsidR="00D467D8" w:rsidRPr="00FE6AC6">
          <w:rPr>
            <w:rStyle w:val="Hyperlink"/>
            <w:noProof/>
          </w:rPr>
          <w:t>www</w:t>
        </w:r>
        <w:r w:rsidR="00D467D8" w:rsidRPr="00FE6AC6">
          <w:rPr>
            <w:rStyle w:val="Hyperlink"/>
            <w:noProof/>
            <w:lang w:val="ru-RU"/>
          </w:rPr>
          <w:t>.</w:t>
        </w:r>
        <w:r w:rsidR="00D467D8" w:rsidRPr="00FE6AC6">
          <w:rPr>
            <w:rStyle w:val="Hyperlink"/>
            <w:noProof/>
          </w:rPr>
          <w:t>ema</w:t>
        </w:r>
        <w:r w:rsidR="00D467D8" w:rsidRPr="00FE6AC6">
          <w:rPr>
            <w:rStyle w:val="Hyperlink"/>
            <w:noProof/>
            <w:lang w:val="ru-RU"/>
          </w:rPr>
          <w:t>.</w:t>
        </w:r>
        <w:r w:rsidR="00D467D8" w:rsidRPr="00FE6AC6">
          <w:rPr>
            <w:rStyle w:val="Hyperlink"/>
            <w:noProof/>
          </w:rPr>
          <w:t>europa</w:t>
        </w:r>
        <w:r w:rsidR="00D467D8" w:rsidRPr="00FE6AC6">
          <w:rPr>
            <w:rStyle w:val="Hyperlink"/>
            <w:noProof/>
            <w:lang w:val="ru-RU"/>
          </w:rPr>
          <w:t>.</w:t>
        </w:r>
        <w:r w:rsidR="00D467D8" w:rsidRPr="00FE6AC6">
          <w:rPr>
            <w:rStyle w:val="Hyperlink"/>
            <w:noProof/>
          </w:rPr>
          <w:t>eu</w:t>
        </w:r>
      </w:hyperlink>
    </w:p>
    <w:p w14:paraId="3E5506E1" w14:textId="77777777" w:rsidR="00A53452" w:rsidRPr="00FE6AC6" w:rsidRDefault="00A53452" w:rsidP="0063575E">
      <w:pPr>
        <w:widowControl w:val="0"/>
        <w:spacing w:line="240" w:lineRule="auto"/>
        <w:rPr>
          <w:b/>
          <w:color w:val="000000"/>
          <w:lang w:val="bg-BG"/>
        </w:rPr>
      </w:pPr>
    </w:p>
    <w:p w14:paraId="3E5506E2" w14:textId="77777777" w:rsidR="00D73861" w:rsidRPr="00FE6AC6" w:rsidRDefault="00D73861" w:rsidP="0063575E">
      <w:pPr>
        <w:widowControl w:val="0"/>
        <w:spacing w:line="240" w:lineRule="auto"/>
        <w:rPr>
          <w:noProof/>
          <w:color w:val="000000"/>
          <w:lang w:val="ru-RU"/>
        </w:rPr>
      </w:pPr>
      <w:r w:rsidRPr="00FE6AC6">
        <w:rPr>
          <w:b/>
          <w:color w:val="000000"/>
          <w:lang w:val="bg-BG"/>
        </w:rPr>
        <w:br w:type="page"/>
      </w:r>
    </w:p>
    <w:p w14:paraId="3E5506E3" w14:textId="77777777" w:rsidR="00D73861" w:rsidRPr="00FE6AC6" w:rsidRDefault="00D73861" w:rsidP="0063575E">
      <w:pPr>
        <w:widowControl w:val="0"/>
        <w:spacing w:line="240" w:lineRule="auto"/>
        <w:rPr>
          <w:noProof/>
          <w:color w:val="000000"/>
          <w:lang w:val="ru-RU"/>
        </w:rPr>
      </w:pPr>
    </w:p>
    <w:p w14:paraId="3E5506E4" w14:textId="77777777" w:rsidR="00D73861" w:rsidRPr="00FE6AC6" w:rsidRDefault="00D73861" w:rsidP="0063575E">
      <w:pPr>
        <w:widowControl w:val="0"/>
        <w:spacing w:line="240" w:lineRule="auto"/>
        <w:rPr>
          <w:noProof/>
          <w:color w:val="000000"/>
          <w:lang w:val="ru-RU"/>
        </w:rPr>
      </w:pPr>
    </w:p>
    <w:p w14:paraId="3E5506E5" w14:textId="77777777" w:rsidR="001636FA" w:rsidRPr="00FE6AC6" w:rsidRDefault="001636FA" w:rsidP="0063575E">
      <w:pPr>
        <w:widowControl w:val="0"/>
        <w:spacing w:line="240" w:lineRule="auto"/>
        <w:rPr>
          <w:noProof/>
          <w:color w:val="000000"/>
          <w:lang w:val="ru-RU"/>
        </w:rPr>
      </w:pPr>
    </w:p>
    <w:p w14:paraId="3E5506E6" w14:textId="77777777" w:rsidR="001636FA" w:rsidRPr="00FE6AC6" w:rsidRDefault="001636FA" w:rsidP="0063575E">
      <w:pPr>
        <w:widowControl w:val="0"/>
        <w:spacing w:line="240" w:lineRule="auto"/>
        <w:rPr>
          <w:noProof/>
          <w:color w:val="000000"/>
          <w:lang w:val="ru-RU"/>
        </w:rPr>
      </w:pPr>
    </w:p>
    <w:p w14:paraId="3E5506E7" w14:textId="77777777" w:rsidR="001636FA" w:rsidRPr="00FE6AC6" w:rsidRDefault="001636FA" w:rsidP="0063575E">
      <w:pPr>
        <w:widowControl w:val="0"/>
        <w:spacing w:line="240" w:lineRule="auto"/>
        <w:rPr>
          <w:noProof/>
          <w:color w:val="000000"/>
          <w:lang w:val="ru-RU"/>
        </w:rPr>
      </w:pPr>
    </w:p>
    <w:p w14:paraId="3E5506E8" w14:textId="77777777" w:rsidR="001636FA" w:rsidRPr="00FE6AC6" w:rsidRDefault="001636FA" w:rsidP="0063575E">
      <w:pPr>
        <w:widowControl w:val="0"/>
        <w:spacing w:line="240" w:lineRule="auto"/>
        <w:rPr>
          <w:noProof/>
          <w:color w:val="000000"/>
          <w:lang w:val="ru-RU"/>
        </w:rPr>
      </w:pPr>
    </w:p>
    <w:p w14:paraId="3E5506E9" w14:textId="77777777" w:rsidR="001636FA" w:rsidRPr="00FE6AC6" w:rsidRDefault="001636FA" w:rsidP="0063575E">
      <w:pPr>
        <w:widowControl w:val="0"/>
        <w:spacing w:line="240" w:lineRule="auto"/>
        <w:rPr>
          <w:noProof/>
          <w:color w:val="000000"/>
          <w:lang w:val="ru-RU"/>
        </w:rPr>
      </w:pPr>
    </w:p>
    <w:p w14:paraId="3E5506EA" w14:textId="77777777" w:rsidR="001636FA" w:rsidRPr="00FE6AC6" w:rsidRDefault="001636FA" w:rsidP="0063575E">
      <w:pPr>
        <w:widowControl w:val="0"/>
        <w:spacing w:line="240" w:lineRule="auto"/>
        <w:rPr>
          <w:noProof/>
          <w:color w:val="000000"/>
          <w:lang w:val="ru-RU"/>
        </w:rPr>
      </w:pPr>
    </w:p>
    <w:p w14:paraId="3E5506EB" w14:textId="77777777" w:rsidR="001636FA" w:rsidRPr="00FE6AC6" w:rsidRDefault="001636FA" w:rsidP="0063575E">
      <w:pPr>
        <w:widowControl w:val="0"/>
        <w:spacing w:line="240" w:lineRule="auto"/>
        <w:rPr>
          <w:noProof/>
          <w:color w:val="000000"/>
          <w:lang w:val="ru-RU"/>
        </w:rPr>
      </w:pPr>
    </w:p>
    <w:p w14:paraId="3E5506EC" w14:textId="77777777" w:rsidR="001636FA" w:rsidRPr="00FE6AC6" w:rsidRDefault="001636FA" w:rsidP="0063575E">
      <w:pPr>
        <w:widowControl w:val="0"/>
        <w:spacing w:line="240" w:lineRule="auto"/>
        <w:rPr>
          <w:noProof/>
          <w:color w:val="000000"/>
          <w:lang w:val="ru-RU"/>
        </w:rPr>
      </w:pPr>
    </w:p>
    <w:p w14:paraId="3E5506ED" w14:textId="77777777" w:rsidR="001636FA" w:rsidRPr="00FE6AC6" w:rsidRDefault="001636FA" w:rsidP="0063575E">
      <w:pPr>
        <w:widowControl w:val="0"/>
        <w:spacing w:line="240" w:lineRule="auto"/>
        <w:rPr>
          <w:noProof/>
          <w:color w:val="000000"/>
          <w:lang w:val="ru-RU"/>
        </w:rPr>
      </w:pPr>
    </w:p>
    <w:p w14:paraId="3E5506EE" w14:textId="77777777" w:rsidR="001636FA" w:rsidRPr="00FE6AC6" w:rsidRDefault="001636FA" w:rsidP="0063575E">
      <w:pPr>
        <w:widowControl w:val="0"/>
        <w:spacing w:line="240" w:lineRule="auto"/>
        <w:rPr>
          <w:noProof/>
          <w:color w:val="000000"/>
          <w:lang w:val="ru-RU"/>
        </w:rPr>
      </w:pPr>
    </w:p>
    <w:p w14:paraId="3E5506EF" w14:textId="77777777" w:rsidR="001636FA" w:rsidRPr="00FE6AC6" w:rsidRDefault="001636FA" w:rsidP="0063575E">
      <w:pPr>
        <w:widowControl w:val="0"/>
        <w:spacing w:line="240" w:lineRule="auto"/>
        <w:rPr>
          <w:noProof/>
          <w:color w:val="000000"/>
          <w:lang w:val="ru-RU"/>
        </w:rPr>
      </w:pPr>
    </w:p>
    <w:p w14:paraId="3E5506F0" w14:textId="77777777" w:rsidR="001636FA" w:rsidRPr="00FE6AC6" w:rsidRDefault="001636FA" w:rsidP="0063575E">
      <w:pPr>
        <w:widowControl w:val="0"/>
        <w:spacing w:line="240" w:lineRule="auto"/>
        <w:rPr>
          <w:noProof/>
          <w:color w:val="000000"/>
          <w:lang w:val="ru-RU"/>
        </w:rPr>
      </w:pPr>
    </w:p>
    <w:p w14:paraId="3E5506F1" w14:textId="77777777" w:rsidR="001636FA" w:rsidRPr="00FE6AC6" w:rsidRDefault="001636FA" w:rsidP="0063575E">
      <w:pPr>
        <w:widowControl w:val="0"/>
        <w:spacing w:line="240" w:lineRule="auto"/>
        <w:rPr>
          <w:noProof/>
          <w:color w:val="000000"/>
          <w:lang w:val="ru-RU"/>
        </w:rPr>
      </w:pPr>
    </w:p>
    <w:p w14:paraId="3E5506F2" w14:textId="77777777" w:rsidR="001636FA" w:rsidRPr="00FE6AC6" w:rsidRDefault="001636FA" w:rsidP="0063575E">
      <w:pPr>
        <w:widowControl w:val="0"/>
        <w:spacing w:line="240" w:lineRule="auto"/>
        <w:rPr>
          <w:noProof/>
          <w:color w:val="000000"/>
          <w:lang w:val="ru-RU"/>
        </w:rPr>
      </w:pPr>
    </w:p>
    <w:p w14:paraId="3E5506F3" w14:textId="77777777" w:rsidR="001636FA" w:rsidRPr="00FE6AC6" w:rsidRDefault="001636FA" w:rsidP="0063575E">
      <w:pPr>
        <w:widowControl w:val="0"/>
        <w:spacing w:line="240" w:lineRule="auto"/>
        <w:rPr>
          <w:noProof/>
          <w:color w:val="000000"/>
          <w:lang w:val="ru-RU"/>
        </w:rPr>
      </w:pPr>
    </w:p>
    <w:p w14:paraId="3E5506F4" w14:textId="77777777" w:rsidR="001636FA" w:rsidRPr="00FE6AC6" w:rsidRDefault="001636FA" w:rsidP="0063575E">
      <w:pPr>
        <w:widowControl w:val="0"/>
        <w:spacing w:line="240" w:lineRule="auto"/>
        <w:rPr>
          <w:noProof/>
          <w:color w:val="000000"/>
          <w:lang w:val="ru-RU"/>
        </w:rPr>
      </w:pPr>
    </w:p>
    <w:p w14:paraId="3E5506F5" w14:textId="77777777" w:rsidR="001636FA" w:rsidRPr="00FE6AC6" w:rsidRDefault="001636FA" w:rsidP="0063575E">
      <w:pPr>
        <w:widowControl w:val="0"/>
        <w:spacing w:line="240" w:lineRule="auto"/>
        <w:rPr>
          <w:noProof/>
          <w:color w:val="000000"/>
          <w:lang w:val="ru-RU"/>
        </w:rPr>
      </w:pPr>
    </w:p>
    <w:p w14:paraId="3E5506F6" w14:textId="77777777" w:rsidR="001636FA" w:rsidRPr="00FE6AC6" w:rsidRDefault="001636FA" w:rsidP="0063575E">
      <w:pPr>
        <w:widowControl w:val="0"/>
        <w:spacing w:line="240" w:lineRule="auto"/>
        <w:rPr>
          <w:noProof/>
          <w:color w:val="000000"/>
          <w:lang w:val="ru-RU"/>
        </w:rPr>
      </w:pPr>
    </w:p>
    <w:p w14:paraId="3E5506F7" w14:textId="77777777" w:rsidR="001636FA" w:rsidRPr="00FE6AC6" w:rsidRDefault="001636FA" w:rsidP="0063575E">
      <w:pPr>
        <w:widowControl w:val="0"/>
        <w:spacing w:line="240" w:lineRule="auto"/>
        <w:rPr>
          <w:noProof/>
          <w:color w:val="000000"/>
          <w:lang w:val="ru-RU"/>
        </w:rPr>
      </w:pPr>
    </w:p>
    <w:p w14:paraId="3E5506F8" w14:textId="77777777" w:rsidR="001636FA" w:rsidRDefault="001636FA" w:rsidP="0063575E">
      <w:pPr>
        <w:widowControl w:val="0"/>
        <w:spacing w:line="240" w:lineRule="auto"/>
        <w:rPr>
          <w:noProof/>
          <w:color w:val="000000"/>
          <w:lang w:val="ru-RU"/>
        </w:rPr>
      </w:pPr>
    </w:p>
    <w:p w14:paraId="3E5506F9" w14:textId="77777777" w:rsidR="00572F70" w:rsidRPr="00FE6AC6" w:rsidRDefault="00572F70" w:rsidP="0063575E">
      <w:pPr>
        <w:widowControl w:val="0"/>
        <w:spacing w:line="240" w:lineRule="auto"/>
        <w:rPr>
          <w:noProof/>
          <w:color w:val="000000"/>
          <w:lang w:val="ru-RU"/>
        </w:rPr>
      </w:pPr>
    </w:p>
    <w:p w14:paraId="3E5506FA" w14:textId="77777777" w:rsidR="00426F49" w:rsidRPr="00FE6AC6" w:rsidRDefault="00426F49" w:rsidP="0063575E">
      <w:pPr>
        <w:widowControl w:val="0"/>
        <w:spacing w:line="240" w:lineRule="auto"/>
        <w:jc w:val="center"/>
        <w:rPr>
          <w:noProof/>
          <w:color w:val="000000"/>
          <w:lang w:val="ru-RU"/>
        </w:rPr>
      </w:pPr>
      <w:r w:rsidRPr="00FE6AC6">
        <w:rPr>
          <w:b/>
          <w:noProof/>
          <w:color w:val="000000"/>
          <w:lang w:val="ru-RU"/>
        </w:rPr>
        <w:t xml:space="preserve">ПРИЛОЖЕНИЕ </w:t>
      </w:r>
      <w:r w:rsidRPr="00FE6AC6">
        <w:rPr>
          <w:b/>
          <w:noProof/>
          <w:color w:val="000000"/>
          <w:lang w:val="da-DK"/>
        </w:rPr>
        <w:t>II</w:t>
      </w:r>
    </w:p>
    <w:p w14:paraId="3E5506FB" w14:textId="77777777" w:rsidR="00426F49" w:rsidRPr="00FE6AC6" w:rsidRDefault="00426F49" w:rsidP="0063575E">
      <w:pPr>
        <w:widowControl w:val="0"/>
        <w:spacing w:line="240" w:lineRule="auto"/>
        <w:ind w:right="1416"/>
        <w:rPr>
          <w:noProof/>
          <w:color w:val="000000"/>
          <w:lang w:val="ru-RU"/>
        </w:rPr>
      </w:pPr>
    </w:p>
    <w:p w14:paraId="3E5506FC" w14:textId="77777777" w:rsidR="00426F49" w:rsidRPr="00FE6AC6" w:rsidRDefault="00426F49" w:rsidP="0063575E">
      <w:pPr>
        <w:widowControl w:val="0"/>
        <w:spacing w:line="240" w:lineRule="auto"/>
        <w:ind w:left="1701" w:right="1416" w:hanging="708"/>
        <w:rPr>
          <w:b/>
          <w:noProof/>
          <w:color w:val="000000"/>
          <w:lang w:val="ru-RU"/>
        </w:rPr>
      </w:pPr>
      <w:r w:rsidRPr="00FE6AC6">
        <w:rPr>
          <w:b/>
          <w:noProof/>
          <w:color w:val="000000"/>
          <w:lang w:val="da-DK"/>
        </w:rPr>
        <w:t>A</w:t>
      </w:r>
      <w:r w:rsidRPr="00FE6AC6">
        <w:rPr>
          <w:b/>
          <w:noProof/>
          <w:color w:val="000000"/>
          <w:lang w:val="ru-RU"/>
        </w:rPr>
        <w:t>.</w:t>
      </w:r>
      <w:r w:rsidRPr="00FE6AC6">
        <w:rPr>
          <w:b/>
          <w:noProof/>
          <w:color w:val="000000"/>
          <w:lang w:val="ru-RU"/>
        </w:rPr>
        <w:tab/>
      </w:r>
      <w:r w:rsidRPr="00FE6AC6">
        <w:rPr>
          <w:b/>
          <w:color w:val="000000"/>
          <w:lang w:val="bg-BG"/>
        </w:rPr>
        <w:t>ПРОИЗВОДИТЕЛ, ОТГОВОРЕН ЗА ОСВОБОЖДАВАНЕ НА ПАРТИДИ</w:t>
      </w:r>
    </w:p>
    <w:p w14:paraId="3E5506FD" w14:textId="77777777" w:rsidR="00426F49" w:rsidRPr="00FE6AC6" w:rsidRDefault="00426F49" w:rsidP="0063575E">
      <w:pPr>
        <w:widowControl w:val="0"/>
        <w:spacing w:line="240" w:lineRule="auto"/>
        <w:ind w:left="567" w:hanging="567"/>
        <w:rPr>
          <w:color w:val="000000"/>
          <w:lang w:val="bg-BG"/>
        </w:rPr>
      </w:pPr>
    </w:p>
    <w:p w14:paraId="3E5506FE" w14:textId="77777777" w:rsidR="00426F49" w:rsidRPr="00FE6AC6" w:rsidRDefault="00426F49" w:rsidP="0063575E">
      <w:pPr>
        <w:widowControl w:val="0"/>
        <w:spacing w:line="240" w:lineRule="auto"/>
        <w:ind w:left="1701" w:right="1416" w:hanging="708"/>
        <w:rPr>
          <w:b/>
          <w:noProof/>
          <w:szCs w:val="24"/>
          <w:lang w:val="bg-BG"/>
        </w:rPr>
      </w:pPr>
      <w:r w:rsidRPr="00FE6AC6">
        <w:rPr>
          <w:b/>
          <w:noProof/>
          <w:color w:val="000000"/>
          <w:lang w:val="bg-BG"/>
        </w:rPr>
        <w:t>Б.</w:t>
      </w:r>
      <w:r w:rsidRPr="00FE6AC6">
        <w:rPr>
          <w:b/>
          <w:noProof/>
          <w:color w:val="000000"/>
          <w:lang w:val="bg-BG"/>
        </w:rPr>
        <w:tab/>
      </w:r>
      <w:r w:rsidRPr="00FE6AC6">
        <w:rPr>
          <w:b/>
          <w:color w:val="000000"/>
          <w:lang w:val="bg-BG"/>
        </w:rPr>
        <w:t xml:space="preserve">УСЛОВИЯ </w:t>
      </w:r>
      <w:r w:rsidRPr="00FE6AC6">
        <w:rPr>
          <w:b/>
          <w:noProof/>
          <w:szCs w:val="24"/>
          <w:lang w:val="bg-BG"/>
        </w:rPr>
        <w:t>ИЛИ ОГРАНИЧЕНИЯ ЗА ДОСТАВКА И УПОТРЕБА</w:t>
      </w:r>
    </w:p>
    <w:p w14:paraId="3E5506FF" w14:textId="77777777" w:rsidR="00426F49" w:rsidRPr="00FE6AC6" w:rsidRDefault="00426F49" w:rsidP="0063575E">
      <w:pPr>
        <w:widowControl w:val="0"/>
        <w:spacing w:line="240" w:lineRule="auto"/>
        <w:ind w:right="1416"/>
        <w:rPr>
          <w:szCs w:val="24"/>
          <w:lang w:val="bg-BG"/>
        </w:rPr>
      </w:pPr>
    </w:p>
    <w:p w14:paraId="3E550700" w14:textId="77777777" w:rsidR="00426F49" w:rsidRPr="00FE6AC6" w:rsidRDefault="00426F49" w:rsidP="0063575E">
      <w:pPr>
        <w:widowControl w:val="0"/>
        <w:spacing w:line="240" w:lineRule="auto"/>
        <w:ind w:left="1701" w:right="1416" w:hanging="708"/>
        <w:rPr>
          <w:b/>
          <w:szCs w:val="24"/>
          <w:lang w:val="bg-BG"/>
        </w:rPr>
      </w:pPr>
      <w:r w:rsidRPr="00FE6AC6">
        <w:rPr>
          <w:b/>
          <w:noProof/>
          <w:szCs w:val="24"/>
          <w:lang w:val="bg-BG"/>
        </w:rPr>
        <w:t>В.</w:t>
      </w:r>
      <w:r w:rsidRPr="00FE6AC6">
        <w:rPr>
          <w:b/>
          <w:noProof/>
          <w:szCs w:val="24"/>
          <w:lang w:val="bg-BG"/>
        </w:rPr>
        <w:tab/>
        <w:t xml:space="preserve">ДРУГИ УСЛОВИЯ И ИЗИСКВАНИЯ </w:t>
      </w:r>
      <w:r w:rsidRPr="00FE6AC6">
        <w:rPr>
          <w:b/>
          <w:szCs w:val="24"/>
          <w:lang w:val="bg-BG"/>
        </w:rPr>
        <w:t>НА РАЗРЕШЕНИЕТО ЗА УПОТРЕБА</w:t>
      </w:r>
    </w:p>
    <w:p w14:paraId="3E550701" w14:textId="77777777" w:rsidR="006E3A59" w:rsidRPr="00FE6AC6" w:rsidRDefault="006E3A59" w:rsidP="0063575E">
      <w:pPr>
        <w:widowControl w:val="0"/>
        <w:spacing w:line="240" w:lineRule="auto"/>
        <w:ind w:left="1701" w:right="849" w:hanging="1701"/>
        <w:rPr>
          <w:noProof/>
          <w:szCs w:val="24"/>
          <w:lang w:val="bg-BG"/>
        </w:rPr>
      </w:pPr>
    </w:p>
    <w:p w14:paraId="3E550702" w14:textId="77777777" w:rsidR="006E3A59" w:rsidRPr="00FE6AC6" w:rsidRDefault="006E3A59" w:rsidP="0063575E">
      <w:pPr>
        <w:widowControl w:val="0"/>
        <w:tabs>
          <w:tab w:val="clear" w:pos="567"/>
          <w:tab w:val="left" w:pos="426"/>
        </w:tabs>
        <w:spacing w:line="240" w:lineRule="auto"/>
        <w:ind w:left="1701" w:right="849" w:hanging="708"/>
        <w:rPr>
          <w:b/>
          <w:color w:val="000000"/>
          <w:lang w:val="bg-BG"/>
        </w:rPr>
      </w:pPr>
      <w:r w:rsidRPr="00FE6AC6">
        <w:rPr>
          <w:b/>
          <w:noProof/>
          <w:szCs w:val="24"/>
          <w:lang w:val="bg-BG"/>
        </w:rPr>
        <w:t>Г.</w:t>
      </w:r>
      <w:r w:rsidRPr="00FE6AC6">
        <w:rPr>
          <w:b/>
          <w:noProof/>
          <w:szCs w:val="24"/>
          <w:lang w:val="bg-BG"/>
        </w:rPr>
        <w:tab/>
        <w:t>УСЛОВИЯ ИЛИ ОГРАНИЧЕНИЯ ЗА БЕЗОПАСНА И ЕФЕКТИВНА УПОТРЕБА НА ЛЕКАРСТВЕНИЯ ПРОДУКТ</w:t>
      </w:r>
    </w:p>
    <w:p w14:paraId="3E550703" w14:textId="77777777" w:rsidR="00426F49" w:rsidRPr="0063575E" w:rsidRDefault="00426F49" w:rsidP="0063575E">
      <w:pPr>
        <w:widowControl w:val="0"/>
        <w:spacing w:line="240" w:lineRule="auto"/>
        <w:ind w:left="567" w:right="1416" w:hanging="567"/>
        <w:rPr>
          <w:b/>
          <w:noProof/>
          <w:lang w:val="bg-BG"/>
        </w:rPr>
      </w:pPr>
      <w:r w:rsidRPr="00FE6AC6">
        <w:rPr>
          <w:noProof/>
          <w:color w:val="000000"/>
          <w:lang w:val="bg-BG"/>
        </w:rPr>
        <w:br w:type="page"/>
      </w:r>
      <w:r w:rsidRPr="0063575E">
        <w:rPr>
          <w:b/>
          <w:noProof/>
        </w:rPr>
        <w:t>A</w:t>
      </w:r>
      <w:r w:rsidRPr="0063575E">
        <w:rPr>
          <w:b/>
          <w:noProof/>
          <w:lang w:val="bg-BG"/>
        </w:rPr>
        <w:t>.</w:t>
      </w:r>
      <w:r w:rsidRPr="0063575E">
        <w:rPr>
          <w:b/>
          <w:noProof/>
          <w:lang w:val="bg-BG"/>
        </w:rPr>
        <w:tab/>
      </w:r>
      <w:r w:rsidRPr="0063575E">
        <w:rPr>
          <w:b/>
          <w:lang w:val="bg-BG"/>
        </w:rPr>
        <w:t>ПРОИЗВОДИТЕЛ, ОТГОВОРЕН ЗА ОСВОБОЖДАВАНЕ НА</w:t>
      </w:r>
      <w:r w:rsidR="009F72D8" w:rsidRPr="0063575E">
        <w:rPr>
          <w:b/>
          <w:lang w:val="bg-BG"/>
        </w:rPr>
        <w:t xml:space="preserve"> </w:t>
      </w:r>
      <w:r w:rsidRPr="0063575E">
        <w:rPr>
          <w:b/>
          <w:lang w:val="bg-BG"/>
        </w:rPr>
        <w:t>ПАРТИДИ</w:t>
      </w:r>
    </w:p>
    <w:p w14:paraId="3E550704" w14:textId="77777777" w:rsidR="00426F49" w:rsidRPr="0063575E" w:rsidRDefault="00426F49" w:rsidP="0063575E">
      <w:pPr>
        <w:widowControl w:val="0"/>
        <w:spacing w:line="240" w:lineRule="auto"/>
        <w:ind w:left="567" w:hanging="567"/>
        <w:rPr>
          <w:lang w:val="bg-BG"/>
        </w:rPr>
      </w:pPr>
    </w:p>
    <w:p w14:paraId="3E550705" w14:textId="77777777" w:rsidR="00426F49" w:rsidRPr="0063575E" w:rsidRDefault="00426F49" w:rsidP="0063575E">
      <w:pPr>
        <w:widowControl w:val="0"/>
        <w:spacing w:line="240" w:lineRule="auto"/>
        <w:outlineLvl w:val="0"/>
        <w:rPr>
          <w:noProof/>
          <w:lang w:val="bg-BG"/>
        </w:rPr>
      </w:pPr>
      <w:r w:rsidRPr="0063575E">
        <w:rPr>
          <w:noProof/>
          <w:u w:val="single"/>
          <w:lang w:val="bg-BG"/>
        </w:rPr>
        <w:t xml:space="preserve">Име и адрес на производителя, </w:t>
      </w:r>
      <w:r w:rsidRPr="0063575E">
        <w:rPr>
          <w:u w:val="single"/>
          <w:lang w:val="bg-BG"/>
        </w:rPr>
        <w:t>отговорен за освобождаване на партидите</w:t>
      </w:r>
    </w:p>
    <w:p w14:paraId="3E550706" w14:textId="77777777" w:rsidR="00426F49" w:rsidRPr="0063575E" w:rsidRDefault="00426F49" w:rsidP="0063575E">
      <w:pPr>
        <w:widowControl w:val="0"/>
        <w:spacing w:line="240" w:lineRule="auto"/>
        <w:rPr>
          <w:lang w:val="bg-BG"/>
        </w:rPr>
      </w:pPr>
    </w:p>
    <w:p w14:paraId="3E550707" w14:textId="77777777" w:rsidR="0063575E" w:rsidRPr="000778ED" w:rsidRDefault="0063575E" w:rsidP="0063575E">
      <w:pPr>
        <w:widowControl w:val="0"/>
        <w:tabs>
          <w:tab w:val="left" w:pos="7513"/>
        </w:tabs>
        <w:spacing w:line="240" w:lineRule="auto"/>
        <w:rPr>
          <w:szCs w:val="22"/>
          <w:lang w:val="fr-CH"/>
        </w:rPr>
      </w:pPr>
      <w:r w:rsidRPr="000778ED">
        <w:rPr>
          <w:szCs w:val="22"/>
          <w:lang w:val="fr-CH"/>
        </w:rPr>
        <w:t>Lek d.d, PE PROIZVODNJA LENDAVA</w:t>
      </w:r>
    </w:p>
    <w:p w14:paraId="3E550708" w14:textId="77777777" w:rsidR="0063575E" w:rsidRPr="0063575E" w:rsidRDefault="0063575E" w:rsidP="0063575E">
      <w:pPr>
        <w:widowControl w:val="0"/>
        <w:tabs>
          <w:tab w:val="left" w:pos="7513"/>
        </w:tabs>
        <w:spacing w:line="240" w:lineRule="auto"/>
        <w:rPr>
          <w:szCs w:val="22"/>
          <w:lang w:val="fr-CH"/>
        </w:rPr>
      </w:pPr>
      <w:r w:rsidRPr="0063575E">
        <w:rPr>
          <w:szCs w:val="22"/>
          <w:lang w:val="fr-CH"/>
        </w:rPr>
        <w:t>Trimlini 2D</w:t>
      </w:r>
    </w:p>
    <w:p w14:paraId="3E550709" w14:textId="77777777" w:rsidR="0063575E" w:rsidRPr="009A59CD" w:rsidRDefault="0063575E" w:rsidP="0063575E">
      <w:pPr>
        <w:widowControl w:val="0"/>
        <w:tabs>
          <w:tab w:val="left" w:pos="7513"/>
        </w:tabs>
        <w:spacing w:line="240" w:lineRule="auto"/>
        <w:rPr>
          <w:szCs w:val="22"/>
          <w:lang w:val="fr-CH"/>
        </w:rPr>
      </w:pPr>
      <w:r w:rsidRPr="009A59CD">
        <w:rPr>
          <w:szCs w:val="22"/>
          <w:lang w:val="fr-CH"/>
        </w:rPr>
        <w:t>Lendava, 9220</w:t>
      </w:r>
    </w:p>
    <w:p w14:paraId="3E55070A" w14:textId="77777777" w:rsidR="0063575E" w:rsidRPr="009A59CD" w:rsidRDefault="0063575E" w:rsidP="0063575E">
      <w:pPr>
        <w:widowControl w:val="0"/>
        <w:tabs>
          <w:tab w:val="left" w:pos="7513"/>
        </w:tabs>
        <w:spacing w:line="240" w:lineRule="auto"/>
        <w:rPr>
          <w:szCs w:val="22"/>
          <w:lang w:val="pt-BR"/>
        </w:rPr>
      </w:pPr>
      <w:r w:rsidRPr="009A59CD">
        <w:rPr>
          <w:szCs w:val="22"/>
          <w:lang w:val="en-US"/>
        </w:rPr>
        <w:t>Словения</w:t>
      </w:r>
    </w:p>
    <w:p w14:paraId="3E55070B" w14:textId="77777777" w:rsidR="0063575E" w:rsidRPr="009A59CD" w:rsidRDefault="0063575E" w:rsidP="0063575E">
      <w:pPr>
        <w:widowControl w:val="0"/>
        <w:tabs>
          <w:tab w:val="left" w:pos="7513"/>
        </w:tabs>
        <w:spacing w:line="240" w:lineRule="auto"/>
        <w:rPr>
          <w:szCs w:val="22"/>
          <w:lang w:val="pt-BR"/>
        </w:rPr>
      </w:pPr>
    </w:p>
    <w:p w14:paraId="3E55070C" w14:textId="77777777" w:rsidR="00426F49" w:rsidRPr="0063575E" w:rsidRDefault="00426F49" w:rsidP="0063575E">
      <w:pPr>
        <w:widowControl w:val="0"/>
        <w:tabs>
          <w:tab w:val="left" w:pos="7513"/>
        </w:tabs>
        <w:spacing w:line="240" w:lineRule="auto"/>
        <w:rPr>
          <w:lang w:val="bg-BG"/>
        </w:rPr>
      </w:pPr>
      <w:r w:rsidRPr="000778ED">
        <w:rPr>
          <w:lang w:val="fr-CH"/>
        </w:rPr>
        <w:t>Novartis</w:t>
      </w:r>
      <w:r w:rsidRPr="0063575E">
        <w:rPr>
          <w:lang w:val="bg-BG"/>
        </w:rPr>
        <w:t xml:space="preserve"> </w:t>
      </w:r>
      <w:r w:rsidRPr="000778ED">
        <w:rPr>
          <w:lang w:val="fr-CH"/>
        </w:rPr>
        <w:t>Pharma</w:t>
      </w:r>
      <w:r w:rsidRPr="0063575E">
        <w:rPr>
          <w:lang w:val="bg-BG"/>
        </w:rPr>
        <w:t xml:space="preserve"> </w:t>
      </w:r>
      <w:r w:rsidRPr="000778ED">
        <w:rPr>
          <w:lang w:val="fr-CH"/>
        </w:rPr>
        <w:t>GmbH</w:t>
      </w:r>
    </w:p>
    <w:p w14:paraId="3E55070D" w14:textId="77777777" w:rsidR="00426F49" w:rsidRPr="0063575E" w:rsidRDefault="00426F49" w:rsidP="0063575E">
      <w:pPr>
        <w:widowControl w:val="0"/>
        <w:tabs>
          <w:tab w:val="left" w:pos="7513"/>
        </w:tabs>
        <w:spacing w:line="240" w:lineRule="auto"/>
        <w:rPr>
          <w:lang w:val="bg-BG"/>
        </w:rPr>
      </w:pPr>
      <w:r w:rsidRPr="0063575E">
        <w:rPr>
          <w:lang w:val="de-CH"/>
        </w:rPr>
        <w:t>Roonstrasse</w:t>
      </w:r>
      <w:r w:rsidRPr="0063575E">
        <w:rPr>
          <w:lang w:val="bg-BG"/>
        </w:rPr>
        <w:t> 25</w:t>
      </w:r>
    </w:p>
    <w:p w14:paraId="3E55070E" w14:textId="77777777" w:rsidR="00426F49" w:rsidRPr="0063575E" w:rsidRDefault="00426F49" w:rsidP="0063575E">
      <w:pPr>
        <w:widowControl w:val="0"/>
        <w:tabs>
          <w:tab w:val="left" w:pos="7513"/>
        </w:tabs>
        <w:spacing w:line="240" w:lineRule="auto"/>
        <w:rPr>
          <w:lang w:val="bg-BG"/>
        </w:rPr>
      </w:pPr>
      <w:r w:rsidRPr="0063575E">
        <w:rPr>
          <w:lang w:val="de-CH"/>
        </w:rPr>
        <w:t>D</w:t>
      </w:r>
      <w:r w:rsidRPr="0063575E">
        <w:rPr>
          <w:lang w:val="bg-BG"/>
        </w:rPr>
        <w:t>-90429</w:t>
      </w:r>
      <w:r w:rsidRPr="0063575E">
        <w:rPr>
          <w:lang w:val="de-CH"/>
        </w:rPr>
        <w:t> </w:t>
      </w:r>
      <w:r w:rsidRPr="0063575E">
        <w:rPr>
          <w:lang w:val="da-DK"/>
        </w:rPr>
        <w:t>N</w:t>
      </w:r>
      <w:r w:rsidRPr="0063575E">
        <w:rPr>
          <w:lang w:val="bg-BG"/>
        </w:rPr>
        <w:t>ü</w:t>
      </w:r>
      <w:r w:rsidRPr="0063575E">
        <w:rPr>
          <w:lang w:val="da-DK"/>
        </w:rPr>
        <w:t>rnberg</w:t>
      </w:r>
    </w:p>
    <w:p w14:paraId="3E55070F" w14:textId="77777777" w:rsidR="00426F49" w:rsidRPr="0063575E" w:rsidRDefault="00426F49" w:rsidP="0063575E">
      <w:pPr>
        <w:widowControl w:val="0"/>
        <w:tabs>
          <w:tab w:val="left" w:pos="7513"/>
          <w:tab w:val="left" w:pos="8789"/>
        </w:tabs>
        <w:spacing w:line="240" w:lineRule="auto"/>
        <w:rPr>
          <w:lang w:val="bg-BG"/>
        </w:rPr>
      </w:pPr>
      <w:r w:rsidRPr="0063575E">
        <w:rPr>
          <w:lang w:val="bg-BG"/>
        </w:rPr>
        <w:t>Германия</w:t>
      </w:r>
    </w:p>
    <w:p w14:paraId="3E550710" w14:textId="06A767CD" w:rsidR="00426F49" w:rsidRDefault="00426F49" w:rsidP="0063575E">
      <w:pPr>
        <w:widowControl w:val="0"/>
        <w:spacing w:line="240" w:lineRule="auto"/>
        <w:rPr>
          <w:lang w:val="bg-BG"/>
        </w:rPr>
      </w:pPr>
    </w:p>
    <w:p w14:paraId="27CCD16C" w14:textId="77777777" w:rsidR="007304AB" w:rsidRPr="007304AB" w:rsidRDefault="007304AB" w:rsidP="007304AB">
      <w:pPr>
        <w:widowControl w:val="0"/>
        <w:spacing w:line="240" w:lineRule="auto"/>
        <w:rPr>
          <w:lang w:val="bg-BG"/>
        </w:rPr>
      </w:pPr>
      <w:r w:rsidRPr="007304AB">
        <w:rPr>
          <w:lang w:val="bg-BG"/>
        </w:rPr>
        <w:t>Sandoz S.R.L.</w:t>
      </w:r>
    </w:p>
    <w:p w14:paraId="778AEFB4" w14:textId="77777777" w:rsidR="007304AB" w:rsidRPr="007304AB" w:rsidRDefault="007304AB" w:rsidP="007304AB">
      <w:pPr>
        <w:widowControl w:val="0"/>
        <w:spacing w:line="240" w:lineRule="auto"/>
        <w:rPr>
          <w:lang w:val="bg-BG"/>
        </w:rPr>
      </w:pPr>
      <w:r w:rsidRPr="007304AB">
        <w:rPr>
          <w:lang w:val="bg-BG"/>
        </w:rPr>
        <w:t>Str. Livezeni nr. 7A</w:t>
      </w:r>
    </w:p>
    <w:p w14:paraId="281AB392" w14:textId="77777777" w:rsidR="007304AB" w:rsidRPr="007304AB" w:rsidRDefault="007304AB" w:rsidP="007304AB">
      <w:pPr>
        <w:widowControl w:val="0"/>
        <w:spacing w:line="240" w:lineRule="auto"/>
        <w:rPr>
          <w:lang w:val="bg-BG"/>
        </w:rPr>
      </w:pPr>
      <w:r w:rsidRPr="007304AB">
        <w:rPr>
          <w:lang w:val="bg-BG"/>
        </w:rPr>
        <w:t>540472, Targu Mures</w:t>
      </w:r>
    </w:p>
    <w:p w14:paraId="61BE12F6" w14:textId="588B257B" w:rsidR="007304AB" w:rsidRDefault="007304AB" w:rsidP="007304AB">
      <w:pPr>
        <w:widowControl w:val="0"/>
        <w:spacing w:line="240" w:lineRule="auto"/>
        <w:rPr>
          <w:lang w:val="bg-BG"/>
        </w:rPr>
      </w:pPr>
      <w:r w:rsidRPr="007304AB">
        <w:rPr>
          <w:lang w:val="bg-BG"/>
        </w:rPr>
        <w:t>Румъния</w:t>
      </w:r>
    </w:p>
    <w:p w14:paraId="6D29B314" w14:textId="77777777" w:rsidR="007304AB" w:rsidRPr="0063575E" w:rsidRDefault="007304AB" w:rsidP="007304AB">
      <w:pPr>
        <w:widowControl w:val="0"/>
        <w:spacing w:line="240" w:lineRule="auto"/>
        <w:rPr>
          <w:lang w:val="bg-BG"/>
        </w:rPr>
      </w:pPr>
    </w:p>
    <w:p w14:paraId="3E550711" w14:textId="77777777" w:rsidR="0063575E" w:rsidRPr="0063575E" w:rsidRDefault="0063575E" w:rsidP="0063575E">
      <w:pPr>
        <w:widowControl w:val="0"/>
        <w:spacing w:line="240" w:lineRule="auto"/>
        <w:rPr>
          <w:lang w:val="bg-BG"/>
        </w:rPr>
      </w:pPr>
      <w:r w:rsidRPr="0063575E">
        <w:rPr>
          <w:szCs w:val="22"/>
          <w:lang w:val="bg-BG"/>
        </w:rPr>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r w:rsidRPr="0063575E">
        <w:rPr>
          <w:noProof/>
          <w:szCs w:val="22"/>
          <w:lang w:val="bg-BG"/>
        </w:rPr>
        <w:t>.</w:t>
      </w:r>
    </w:p>
    <w:p w14:paraId="3E550712" w14:textId="77777777" w:rsidR="0063575E" w:rsidRPr="0063575E" w:rsidRDefault="0063575E" w:rsidP="0063575E">
      <w:pPr>
        <w:widowControl w:val="0"/>
        <w:spacing w:line="240" w:lineRule="auto"/>
        <w:rPr>
          <w:lang w:val="bg-BG"/>
        </w:rPr>
      </w:pPr>
    </w:p>
    <w:p w14:paraId="3E550713" w14:textId="77777777" w:rsidR="00426F49" w:rsidRPr="0063575E" w:rsidRDefault="00426F49" w:rsidP="0063575E">
      <w:pPr>
        <w:widowControl w:val="0"/>
        <w:spacing w:line="240" w:lineRule="auto"/>
        <w:rPr>
          <w:lang w:val="bg-BG"/>
        </w:rPr>
      </w:pPr>
    </w:p>
    <w:p w14:paraId="3E550714" w14:textId="77777777" w:rsidR="00426F49" w:rsidRPr="00FE6AC6" w:rsidRDefault="00426F49" w:rsidP="0063575E">
      <w:pPr>
        <w:widowControl w:val="0"/>
        <w:spacing w:line="240" w:lineRule="auto"/>
        <w:ind w:left="567" w:hanging="567"/>
        <w:rPr>
          <w:b/>
          <w:color w:val="000000"/>
          <w:lang w:val="bg-BG"/>
        </w:rPr>
      </w:pPr>
      <w:r w:rsidRPr="00FE6AC6">
        <w:rPr>
          <w:b/>
          <w:noProof/>
          <w:color w:val="000000"/>
          <w:lang w:val="bg-BG"/>
        </w:rPr>
        <w:t>Б.</w:t>
      </w:r>
      <w:r w:rsidRPr="00FE6AC6">
        <w:rPr>
          <w:b/>
          <w:noProof/>
          <w:color w:val="000000"/>
          <w:lang w:val="bg-BG"/>
        </w:rPr>
        <w:tab/>
        <w:t xml:space="preserve">УСЛОВИЯ </w:t>
      </w:r>
      <w:r w:rsidRPr="00FE6AC6">
        <w:rPr>
          <w:b/>
          <w:noProof/>
          <w:szCs w:val="24"/>
          <w:lang w:val="bg-BG"/>
        </w:rPr>
        <w:t>ИЛИ ОГРАНИЧЕНИЯ ЗА ДОСТАВКА И УПОТРЕБА</w:t>
      </w:r>
    </w:p>
    <w:p w14:paraId="3E550715" w14:textId="77777777" w:rsidR="00426F49" w:rsidRPr="00FE6AC6" w:rsidRDefault="00426F49" w:rsidP="0063575E">
      <w:pPr>
        <w:widowControl w:val="0"/>
        <w:spacing w:line="240" w:lineRule="auto"/>
        <w:rPr>
          <w:noProof/>
          <w:szCs w:val="24"/>
          <w:lang w:val="bg-BG"/>
        </w:rPr>
      </w:pPr>
    </w:p>
    <w:p w14:paraId="3E550716" w14:textId="77777777" w:rsidR="00426F49" w:rsidRPr="00FE6AC6" w:rsidRDefault="00426F49" w:rsidP="0063575E">
      <w:pPr>
        <w:widowControl w:val="0"/>
        <w:spacing w:line="240" w:lineRule="auto"/>
        <w:rPr>
          <w:noProof/>
          <w:szCs w:val="24"/>
          <w:lang w:val="bg-BG"/>
        </w:rPr>
      </w:pPr>
      <w:r w:rsidRPr="00FE6AC6">
        <w:rPr>
          <w:noProof/>
          <w:szCs w:val="24"/>
          <w:lang w:val="bg-BG"/>
        </w:rPr>
        <w:t>Лекарствен</w:t>
      </w:r>
      <w:r w:rsidRPr="00FE6AC6">
        <w:rPr>
          <w:szCs w:val="24"/>
          <w:lang w:val="bg-BG"/>
        </w:rPr>
        <w:t>ият</w:t>
      </w:r>
      <w:r w:rsidRPr="00FE6AC6">
        <w:rPr>
          <w:noProof/>
          <w:szCs w:val="24"/>
          <w:lang w:val="bg-BG"/>
        </w:rPr>
        <w:t xml:space="preserve"> продукт се отпуска по ограничено</w:t>
      </w:r>
      <w:r w:rsidRPr="00FE6AC6">
        <w:rPr>
          <w:szCs w:val="24"/>
          <w:lang w:val="bg-BG"/>
        </w:rPr>
        <w:t xml:space="preserve"> лекарско предписание</w:t>
      </w:r>
      <w:r w:rsidRPr="00FE6AC6">
        <w:rPr>
          <w:noProof/>
          <w:szCs w:val="24"/>
          <w:lang w:val="bg-BG"/>
        </w:rPr>
        <w:t xml:space="preserve"> (</w:t>
      </w:r>
      <w:r w:rsidRPr="00FE6AC6">
        <w:rPr>
          <w:szCs w:val="24"/>
          <w:lang w:val="bg-BG"/>
        </w:rPr>
        <w:t xml:space="preserve">вж. Приложение </w:t>
      </w:r>
      <w:r w:rsidRPr="00FE6AC6">
        <w:rPr>
          <w:noProof/>
          <w:szCs w:val="24"/>
        </w:rPr>
        <w:t>I</w:t>
      </w:r>
      <w:r w:rsidRPr="00FE6AC6">
        <w:rPr>
          <w:noProof/>
          <w:szCs w:val="24"/>
          <w:lang w:val="bg-BG"/>
        </w:rPr>
        <w:t xml:space="preserve">: </w:t>
      </w:r>
      <w:r w:rsidRPr="00FE6AC6">
        <w:rPr>
          <w:szCs w:val="24"/>
          <w:lang w:val="bg-BG"/>
        </w:rPr>
        <w:t xml:space="preserve">Кратка характеристика на продукта, точка </w:t>
      </w:r>
      <w:r w:rsidRPr="00FE6AC6">
        <w:rPr>
          <w:noProof/>
          <w:szCs w:val="24"/>
          <w:lang w:val="bg-BG"/>
        </w:rPr>
        <w:t>4.2).</w:t>
      </w:r>
    </w:p>
    <w:p w14:paraId="3E550717" w14:textId="77777777" w:rsidR="00426F49" w:rsidRPr="00FE6AC6" w:rsidRDefault="00426F49" w:rsidP="0063575E">
      <w:pPr>
        <w:widowControl w:val="0"/>
        <w:spacing w:line="240" w:lineRule="auto"/>
        <w:rPr>
          <w:noProof/>
          <w:szCs w:val="24"/>
          <w:lang w:val="bg-BG"/>
        </w:rPr>
      </w:pPr>
    </w:p>
    <w:p w14:paraId="3E550718" w14:textId="77777777" w:rsidR="00426F49" w:rsidRPr="00FE6AC6" w:rsidRDefault="00426F49" w:rsidP="0063575E">
      <w:pPr>
        <w:widowControl w:val="0"/>
        <w:spacing w:line="240" w:lineRule="auto"/>
        <w:rPr>
          <w:noProof/>
          <w:szCs w:val="24"/>
          <w:lang w:val="bg-BG"/>
        </w:rPr>
      </w:pPr>
    </w:p>
    <w:p w14:paraId="3E550719" w14:textId="77777777" w:rsidR="00426F49" w:rsidRPr="00FE6AC6" w:rsidRDefault="00426F49" w:rsidP="0063575E">
      <w:pPr>
        <w:widowControl w:val="0"/>
        <w:tabs>
          <w:tab w:val="clear" w:pos="567"/>
        </w:tabs>
        <w:spacing w:line="240" w:lineRule="auto"/>
        <w:ind w:left="567" w:right="567" w:hanging="567"/>
        <w:rPr>
          <w:szCs w:val="24"/>
          <w:lang w:val="bg-BG"/>
        </w:rPr>
      </w:pPr>
      <w:r w:rsidRPr="00FE6AC6">
        <w:rPr>
          <w:b/>
          <w:lang w:val="bg-BG"/>
        </w:rPr>
        <w:t>В.</w:t>
      </w:r>
      <w:r w:rsidRPr="00FE6AC6">
        <w:rPr>
          <w:b/>
          <w:lang w:val="bg-BG"/>
        </w:rPr>
        <w:tab/>
      </w:r>
      <w:r w:rsidRPr="00FE6AC6">
        <w:rPr>
          <w:b/>
          <w:szCs w:val="24"/>
          <w:lang w:val="bg-BG"/>
        </w:rPr>
        <w:t>ДРУГИ УСЛОВИЯ</w:t>
      </w:r>
      <w:r w:rsidRPr="00FE6AC6">
        <w:rPr>
          <w:b/>
          <w:noProof/>
          <w:szCs w:val="24"/>
          <w:lang w:val="bg-BG"/>
        </w:rPr>
        <w:t xml:space="preserve"> И ИЗИСКВАНИЯ</w:t>
      </w:r>
      <w:r w:rsidRPr="00FE6AC6">
        <w:rPr>
          <w:b/>
          <w:szCs w:val="24"/>
          <w:lang w:val="bg-BG"/>
        </w:rPr>
        <w:t xml:space="preserve"> НА РАЗРЕШЕНИЕТО ЗА УПОТРЕБА</w:t>
      </w:r>
    </w:p>
    <w:p w14:paraId="3E55071A" w14:textId="77777777" w:rsidR="00426F49" w:rsidRPr="00FE6AC6" w:rsidRDefault="00426F49" w:rsidP="0063575E">
      <w:pPr>
        <w:widowControl w:val="0"/>
        <w:spacing w:line="240" w:lineRule="auto"/>
        <w:ind w:right="567"/>
        <w:rPr>
          <w:color w:val="000000"/>
          <w:lang w:val="bg-BG"/>
        </w:rPr>
      </w:pPr>
    </w:p>
    <w:p w14:paraId="3E55071B" w14:textId="77777777" w:rsidR="00A64116" w:rsidRPr="00FE6AC6" w:rsidRDefault="00A64116" w:rsidP="0063575E">
      <w:pPr>
        <w:widowControl w:val="0"/>
        <w:numPr>
          <w:ilvl w:val="0"/>
          <w:numId w:val="37"/>
        </w:numPr>
        <w:suppressLineNumbers/>
        <w:spacing w:line="240" w:lineRule="auto"/>
        <w:ind w:right="-1" w:hanging="720"/>
        <w:rPr>
          <w:szCs w:val="24"/>
          <w:u w:val="single"/>
          <w:lang w:val="bg-BG"/>
        </w:rPr>
      </w:pPr>
      <w:r w:rsidRPr="00FE6AC6">
        <w:rPr>
          <w:b/>
          <w:noProof/>
          <w:szCs w:val="24"/>
          <w:lang w:val="bg-BG"/>
        </w:rPr>
        <w:t>Периодични актуализирани доклади за безопасност</w:t>
      </w:r>
    </w:p>
    <w:p w14:paraId="3E55071C" w14:textId="77777777" w:rsidR="00596192" w:rsidRPr="00FE6AC6" w:rsidRDefault="00596192" w:rsidP="0063575E">
      <w:pPr>
        <w:pStyle w:val="Heading6"/>
        <w:widowControl w:val="0"/>
        <w:spacing w:line="240" w:lineRule="auto"/>
        <w:rPr>
          <w:i w:val="0"/>
          <w:szCs w:val="24"/>
          <w:lang w:val="bg-BG"/>
        </w:rPr>
      </w:pPr>
    </w:p>
    <w:p w14:paraId="3E55071D" w14:textId="77777777" w:rsidR="00A64116" w:rsidRPr="00FE6AC6" w:rsidRDefault="00596192" w:rsidP="0063575E">
      <w:pPr>
        <w:pStyle w:val="Heading6"/>
        <w:keepNext w:val="0"/>
        <w:widowControl w:val="0"/>
        <w:spacing w:line="240" w:lineRule="auto"/>
        <w:rPr>
          <w:i w:val="0"/>
          <w:szCs w:val="24"/>
          <w:lang w:val="bg-BG"/>
        </w:rPr>
      </w:pPr>
      <w:r w:rsidRPr="00FE6AC6">
        <w:rPr>
          <w:i w:val="0"/>
          <w:noProof/>
          <w:szCs w:val="22"/>
          <w:lang w:val="bg-BG"/>
        </w:rPr>
        <w:t>Изискванията за подаване на</w:t>
      </w:r>
      <w:r w:rsidR="00A64116" w:rsidRPr="00FE6AC6">
        <w:rPr>
          <w:i w:val="0"/>
          <w:szCs w:val="24"/>
          <w:lang w:val="bg-BG"/>
        </w:rPr>
        <w:t xml:space="preserve"> периодични актуализирани доклади за безопасност за този </w:t>
      </w:r>
      <w:r w:rsidRPr="00FE6AC6">
        <w:rPr>
          <w:i w:val="0"/>
          <w:noProof/>
          <w:szCs w:val="22"/>
          <w:lang w:val="bg-BG"/>
        </w:rPr>
        <w:t>лекарствен</w:t>
      </w:r>
      <w:r w:rsidRPr="00FE6AC6">
        <w:rPr>
          <w:i w:val="0"/>
          <w:szCs w:val="24"/>
          <w:lang w:val="bg-BG"/>
        </w:rPr>
        <w:t xml:space="preserve"> </w:t>
      </w:r>
      <w:r w:rsidR="00A64116" w:rsidRPr="00FE6AC6">
        <w:rPr>
          <w:i w:val="0"/>
          <w:szCs w:val="24"/>
          <w:lang w:val="bg-BG"/>
        </w:rPr>
        <w:t xml:space="preserve">продукт </w:t>
      </w:r>
      <w:r w:rsidR="00785719" w:rsidRPr="00FE6AC6">
        <w:rPr>
          <w:i w:val="0"/>
          <w:szCs w:val="24"/>
          <w:lang w:val="bg-BG"/>
        </w:rPr>
        <w:t>са</w:t>
      </w:r>
      <w:r w:rsidR="00A64116" w:rsidRPr="00FE6AC6">
        <w:rPr>
          <w:i w:val="0"/>
          <w:szCs w:val="24"/>
          <w:lang w:val="bg-BG"/>
        </w:rPr>
        <w:t xml:space="preserve"> посочени в списъка с референтните дати на Европейския съюз (EURD списък), предвиден в чл. 107в, ал. 7 от Директива 2001/83/ЕО</w:t>
      </w:r>
      <w:r w:rsidR="00785719" w:rsidRPr="00FE6AC6">
        <w:rPr>
          <w:i w:val="0"/>
          <w:noProof/>
          <w:szCs w:val="22"/>
          <w:lang w:val="bg-BG"/>
        </w:rPr>
        <w:t>, и във всички следващи актуализации, публикувани на европейския уебпортал за лекарства</w:t>
      </w:r>
      <w:r w:rsidR="00A64116" w:rsidRPr="00FE6AC6">
        <w:rPr>
          <w:i w:val="0"/>
          <w:szCs w:val="24"/>
          <w:lang w:val="bg-BG"/>
        </w:rPr>
        <w:t>.</w:t>
      </w:r>
    </w:p>
    <w:p w14:paraId="3E55071E" w14:textId="77777777" w:rsidR="00426F49" w:rsidRPr="00FE6AC6" w:rsidRDefault="00426F49" w:rsidP="0063575E">
      <w:pPr>
        <w:widowControl w:val="0"/>
        <w:tabs>
          <w:tab w:val="clear" w:pos="567"/>
          <w:tab w:val="left" w:pos="5220"/>
        </w:tabs>
        <w:spacing w:line="240" w:lineRule="auto"/>
        <w:ind w:right="-1"/>
        <w:rPr>
          <w:szCs w:val="24"/>
          <w:lang w:val="bg-BG"/>
        </w:rPr>
      </w:pPr>
    </w:p>
    <w:p w14:paraId="3E55071F" w14:textId="77777777" w:rsidR="00A64116" w:rsidRPr="00FE6AC6" w:rsidRDefault="00A64116" w:rsidP="0063575E">
      <w:pPr>
        <w:widowControl w:val="0"/>
        <w:spacing w:line="240" w:lineRule="auto"/>
        <w:rPr>
          <w:noProof/>
          <w:szCs w:val="24"/>
          <w:lang w:val="bg-BG"/>
        </w:rPr>
      </w:pPr>
    </w:p>
    <w:p w14:paraId="3E550720" w14:textId="77777777" w:rsidR="00A64116" w:rsidRPr="00FE6AC6" w:rsidRDefault="00A64116" w:rsidP="0063575E">
      <w:pPr>
        <w:widowControl w:val="0"/>
        <w:spacing w:line="240" w:lineRule="auto"/>
        <w:ind w:left="567" w:hanging="567"/>
        <w:rPr>
          <w:b/>
          <w:noProof/>
          <w:szCs w:val="24"/>
          <w:lang w:val="bg-BG"/>
        </w:rPr>
      </w:pPr>
      <w:r w:rsidRPr="00FE6AC6">
        <w:rPr>
          <w:b/>
          <w:noProof/>
          <w:szCs w:val="24"/>
          <w:lang w:val="bg-BG"/>
        </w:rPr>
        <w:t>Г.</w:t>
      </w:r>
      <w:r w:rsidRPr="00FE6AC6">
        <w:rPr>
          <w:b/>
          <w:noProof/>
          <w:szCs w:val="24"/>
          <w:lang w:val="bg-BG"/>
        </w:rPr>
        <w:tab/>
        <w:t>УСЛОВИЯ ИЛИ ОГРАНИЧЕНИЯ ЗА БЕЗОПАСНА И ЕФЕКТИВНА УПОТРЕБА НА ЛЕКАРСТВЕНИЯ ПРОДУКТ</w:t>
      </w:r>
    </w:p>
    <w:p w14:paraId="3E550721" w14:textId="77777777" w:rsidR="00A64116" w:rsidRPr="00FE6AC6" w:rsidRDefault="00A64116" w:rsidP="0063575E">
      <w:pPr>
        <w:widowControl w:val="0"/>
        <w:suppressLineNumbers/>
        <w:spacing w:line="240" w:lineRule="auto"/>
        <w:ind w:right="-1"/>
        <w:rPr>
          <w:i/>
          <w:noProof/>
          <w:szCs w:val="24"/>
          <w:u w:val="single"/>
          <w:lang w:val="bg-BG"/>
        </w:rPr>
      </w:pPr>
    </w:p>
    <w:p w14:paraId="3E550722" w14:textId="77777777" w:rsidR="00A64116" w:rsidRPr="00FE6AC6" w:rsidRDefault="00A64116" w:rsidP="0063575E">
      <w:pPr>
        <w:widowControl w:val="0"/>
        <w:numPr>
          <w:ilvl w:val="0"/>
          <w:numId w:val="37"/>
        </w:numPr>
        <w:suppressLineNumbers/>
        <w:spacing w:line="240" w:lineRule="auto"/>
        <w:ind w:right="-1" w:hanging="720"/>
        <w:rPr>
          <w:b/>
          <w:szCs w:val="24"/>
          <w:lang w:val="bg-BG"/>
        </w:rPr>
      </w:pPr>
      <w:r w:rsidRPr="00FE6AC6">
        <w:rPr>
          <w:b/>
          <w:szCs w:val="24"/>
          <w:lang w:val="bg-BG"/>
        </w:rPr>
        <w:t>План за управление на риска</w:t>
      </w:r>
      <w:r w:rsidRPr="00FE6AC6">
        <w:rPr>
          <w:b/>
          <w:noProof/>
          <w:szCs w:val="24"/>
          <w:lang w:val="bg-BG"/>
        </w:rPr>
        <w:t xml:space="preserve"> (ПУР</w:t>
      </w:r>
      <w:r w:rsidRPr="00FE6AC6">
        <w:rPr>
          <w:b/>
          <w:i/>
          <w:noProof/>
          <w:szCs w:val="24"/>
          <w:lang w:val="bg-BG"/>
        </w:rPr>
        <w:t>)</w:t>
      </w:r>
    </w:p>
    <w:p w14:paraId="3E550723" w14:textId="77777777" w:rsidR="00A64116" w:rsidRPr="00FE6AC6" w:rsidRDefault="00A64116" w:rsidP="0063575E">
      <w:pPr>
        <w:widowControl w:val="0"/>
        <w:spacing w:line="240" w:lineRule="auto"/>
        <w:ind w:right="-1"/>
        <w:rPr>
          <w:noProof/>
          <w:szCs w:val="24"/>
          <w:lang w:val="bg-BG"/>
        </w:rPr>
      </w:pPr>
      <w:r w:rsidRPr="00FE6AC6">
        <w:rPr>
          <w:szCs w:val="24"/>
          <w:lang w:val="bg-BG"/>
        </w:rPr>
        <w:t>ПРУ трябва да извършва изискваните дейности и действия, свързани с проследяване на лекарствената безопасност, посочени в одобрения ПУР</w:t>
      </w:r>
      <w:r w:rsidRPr="00FE6AC6">
        <w:rPr>
          <w:noProof/>
          <w:szCs w:val="24"/>
          <w:lang w:val="bg-BG"/>
        </w:rPr>
        <w:t>,</w:t>
      </w:r>
      <w:r w:rsidRPr="00FE6AC6">
        <w:rPr>
          <w:szCs w:val="24"/>
          <w:lang w:val="bg-BG"/>
        </w:rPr>
        <w:t xml:space="preserve"> представен в Модул 1.8.2 на </w:t>
      </w:r>
      <w:r w:rsidR="00785719" w:rsidRPr="00FE6AC6">
        <w:rPr>
          <w:szCs w:val="24"/>
          <w:lang w:val="bg-BG"/>
        </w:rPr>
        <w:t>р</w:t>
      </w:r>
      <w:r w:rsidRPr="00FE6AC6">
        <w:rPr>
          <w:szCs w:val="24"/>
          <w:lang w:val="bg-BG"/>
        </w:rPr>
        <w:t>азрешението за употреба</w:t>
      </w:r>
      <w:r w:rsidRPr="00FE6AC6">
        <w:rPr>
          <w:noProof/>
          <w:szCs w:val="24"/>
          <w:lang w:val="bg-BG"/>
        </w:rPr>
        <w:t>,</w:t>
      </w:r>
      <w:r w:rsidRPr="00FE6AC6">
        <w:rPr>
          <w:szCs w:val="24"/>
          <w:lang w:val="bg-BG"/>
        </w:rPr>
        <w:t xml:space="preserve"> както и при всички следващи съгласувани </w:t>
      </w:r>
      <w:r w:rsidRPr="00FE6AC6">
        <w:rPr>
          <w:noProof/>
          <w:szCs w:val="24"/>
          <w:lang w:val="bg-BG"/>
        </w:rPr>
        <w:t>актуализации</w:t>
      </w:r>
      <w:r w:rsidRPr="00FE6AC6">
        <w:rPr>
          <w:szCs w:val="24"/>
          <w:lang w:val="bg-BG"/>
        </w:rPr>
        <w:t xml:space="preserve"> на ПУР</w:t>
      </w:r>
      <w:r w:rsidRPr="00FE6AC6">
        <w:rPr>
          <w:noProof/>
          <w:szCs w:val="24"/>
          <w:lang w:val="bg-BG"/>
        </w:rPr>
        <w:t>.</w:t>
      </w:r>
    </w:p>
    <w:p w14:paraId="3E550724" w14:textId="77777777" w:rsidR="00A64116" w:rsidRPr="00FE6AC6" w:rsidRDefault="00A64116" w:rsidP="0063575E">
      <w:pPr>
        <w:widowControl w:val="0"/>
        <w:spacing w:line="240" w:lineRule="auto"/>
        <w:ind w:right="-1"/>
        <w:rPr>
          <w:szCs w:val="24"/>
          <w:lang w:val="bg-BG"/>
        </w:rPr>
      </w:pPr>
    </w:p>
    <w:p w14:paraId="3E550725" w14:textId="77777777" w:rsidR="00A64116" w:rsidRPr="00FE6AC6" w:rsidRDefault="00A64116" w:rsidP="0063575E">
      <w:pPr>
        <w:widowControl w:val="0"/>
        <w:spacing w:line="240" w:lineRule="auto"/>
        <w:ind w:right="-1"/>
        <w:rPr>
          <w:szCs w:val="24"/>
          <w:lang w:val="bg-BG"/>
        </w:rPr>
      </w:pPr>
      <w:r w:rsidRPr="00FE6AC6">
        <w:rPr>
          <w:szCs w:val="24"/>
          <w:lang w:val="bg-BG"/>
        </w:rPr>
        <w:t xml:space="preserve">Актуализиран ПУР </w:t>
      </w:r>
      <w:r w:rsidR="00B16951" w:rsidRPr="00FE6AC6">
        <w:rPr>
          <w:szCs w:val="24"/>
          <w:lang w:val="bg-BG"/>
        </w:rPr>
        <w:t xml:space="preserve">трябва да </w:t>
      </w:r>
      <w:r w:rsidRPr="00FE6AC6">
        <w:rPr>
          <w:szCs w:val="24"/>
          <w:lang w:val="bg-BG"/>
        </w:rPr>
        <w:t>се п</w:t>
      </w:r>
      <w:r w:rsidRPr="00FE6AC6">
        <w:rPr>
          <w:noProof/>
          <w:szCs w:val="24"/>
          <w:lang w:val="bg-BG"/>
        </w:rPr>
        <w:t>одава</w:t>
      </w:r>
      <w:r w:rsidRPr="00FE6AC6">
        <w:rPr>
          <w:szCs w:val="24"/>
          <w:lang w:val="bg-BG"/>
        </w:rPr>
        <w:t>:</w:t>
      </w:r>
    </w:p>
    <w:p w14:paraId="3E550726" w14:textId="77777777" w:rsidR="00A64116" w:rsidRPr="00FE6AC6" w:rsidRDefault="00A64116" w:rsidP="0063575E">
      <w:pPr>
        <w:widowControl w:val="0"/>
        <w:numPr>
          <w:ilvl w:val="0"/>
          <w:numId w:val="40"/>
        </w:numPr>
        <w:suppressLineNumbers/>
        <w:tabs>
          <w:tab w:val="clear" w:pos="567"/>
          <w:tab w:val="clear" w:pos="720"/>
          <w:tab w:val="num" w:pos="540"/>
        </w:tabs>
        <w:spacing w:line="240" w:lineRule="auto"/>
        <w:ind w:left="540" w:right="-1" w:hanging="540"/>
        <w:rPr>
          <w:noProof/>
          <w:szCs w:val="24"/>
          <w:lang w:val="bg-BG"/>
        </w:rPr>
      </w:pPr>
      <w:r w:rsidRPr="00FE6AC6">
        <w:rPr>
          <w:noProof/>
          <w:szCs w:val="24"/>
          <w:lang w:val="bg-BG"/>
        </w:rPr>
        <w:t>по искане на Европейската агенция по лекарствата;</w:t>
      </w:r>
    </w:p>
    <w:p w14:paraId="3E550727" w14:textId="77777777" w:rsidR="00A64116" w:rsidRPr="00FE6AC6" w:rsidRDefault="00A64116" w:rsidP="0063575E">
      <w:pPr>
        <w:widowControl w:val="0"/>
        <w:numPr>
          <w:ilvl w:val="0"/>
          <w:numId w:val="39"/>
        </w:numPr>
        <w:tabs>
          <w:tab w:val="clear" w:pos="567"/>
          <w:tab w:val="clear" w:pos="720"/>
          <w:tab w:val="num" w:pos="540"/>
        </w:tabs>
        <w:spacing w:line="240" w:lineRule="auto"/>
        <w:ind w:left="540" w:right="-1" w:hanging="540"/>
        <w:rPr>
          <w:szCs w:val="24"/>
          <w:lang w:val="bg-BG"/>
        </w:rPr>
      </w:pPr>
      <w:r w:rsidRPr="00FE6AC6">
        <w:rPr>
          <w:noProof/>
          <w:szCs w:val="24"/>
          <w:lang w:val="bg-BG"/>
        </w:rPr>
        <w:t>винаги, когато се изменя системата за управление на риска, особено в резултат на</w:t>
      </w:r>
      <w:r w:rsidRPr="00FE6AC6">
        <w:rPr>
          <w:szCs w:val="24"/>
          <w:lang w:val="bg-BG"/>
        </w:rPr>
        <w:t xml:space="preserve"> получаване на нова информация, която може да </w:t>
      </w:r>
      <w:r w:rsidRPr="00FE6AC6">
        <w:rPr>
          <w:noProof/>
          <w:szCs w:val="24"/>
          <w:lang w:val="bg-BG"/>
        </w:rPr>
        <w:t>доведе до значими промени в съотношението полза/риск,</w:t>
      </w:r>
      <w:r w:rsidRPr="00FE6AC6">
        <w:rPr>
          <w:szCs w:val="24"/>
          <w:lang w:val="bg-BG"/>
        </w:rPr>
        <w:t xml:space="preserve"> или </w:t>
      </w:r>
      <w:r w:rsidRPr="00FE6AC6">
        <w:rPr>
          <w:noProof/>
          <w:szCs w:val="24"/>
          <w:lang w:val="bg-BG"/>
        </w:rPr>
        <w:t xml:space="preserve">след </w:t>
      </w:r>
      <w:r w:rsidRPr="00FE6AC6">
        <w:rPr>
          <w:szCs w:val="24"/>
          <w:lang w:val="bg-BG"/>
        </w:rPr>
        <w:t xml:space="preserve">достигане на важен етап </w:t>
      </w:r>
      <w:r w:rsidRPr="00FE6AC6">
        <w:rPr>
          <w:noProof/>
          <w:szCs w:val="24"/>
          <w:lang w:val="bg-BG"/>
        </w:rPr>
        <w:t>(във връзка с проследяване на лекарствената безопасност или</w:t>
      </w:r>
      <w:r w:rsidR="00172E3A" w:rsidRPr="00FE6AC6">
        <w:rPr>
          <w:noProof/>
          <w:szCs w:val="24"/>
          <w:lang w:val="bg-BG"/>
        </w:rPr>
        <w:t xml:space="preserve"> </w:t>
      </w:r>
      <w:r w:rsidR="00B16951" w:rsidRPr="00FE6AC6">
        <w:rPr>
          <w:noProof/>
          <w:szCs w:val="24"/>
          <w:lang w:val="bg-BG"/>
        </w:rPr>
        <w:t>свеждане на риска до минимум</w:t>
      </w:r>
      <w:r w:rsidRPr="00FE6AC6">
        <w:rPr>
          <w:szCs w:val="24"/>
          <w:lang w:val="bg-BG"/>
        </w:rPr>
        <w:t>)</w:t>
      </w:r>
      <w:r w:rsidRPr="00FE6AC6">
        <w:rPr>
          <w:i/>
          <w:noProof/>
          <w:szCs w:val="24"/>
          <w:lang w:val="bg-BG"/>
        </w:rPr>
        <w:t>.</w:t>
      </w:r>
    </w:p>
    <w:p w14:paraId="3E550728" w14:textId="77777777" w:rsidR="007E7D7A" w:rsidRPr="00FE6AC6" w:rsidRDefault="007E7D7A" w:rsidP="0063575E">
      <w:pPr>
        <w:widowControl w:val="0"/>
        <w:spacing w:line="240" w:lineRule="auto"/>
        <w:ind w:right="-1"/>
        <w:rPr>
          <w:szCs w:val="24"/>
          <w:lang w:val="bg-BG"/>
        </w:rPr>
      </w:pPr>
    </w:p>
    <w:p w14:paraId="3E550729" w14:textId="77777777" w:rsidR="007E7D7A" w:rsidRPr="00FE6AC6" w:rsidRDefault="007E7D7A" w:rsidP="00572F70">
      <w:pPr>
        <w:keepNext/>
        <w:keepLines/>
        <w:widowControl w:val="0"/>
        <w:numPr>
          <w:ilvl w:val="0"/>
          <w:numId w:val="41"/>
        </w:numPr>
        <w:tabs>
          <w:tab w:val="clear" w:pos="567"/>
          <w:tab w:val="clear" w:pos="720"/>
        </w:tabs>
        <w:spacing w:line="240" w:lineRule="auto"/>
        <w:ind w:left="567" w:hanging="567"/>
        <w:rPr>
          <w:b/>
          <w:szCs w:val="24"/>
          <w:lang w:val="bg-BG"/>
        </w:rPr>
      </w:pPr>
      <w:r w:rsidRPr="00FE6AC6">
        <w:rPr>
          <w:b/>
          <w:noProof/>
          <w:szCs w:val="24"/>
          <w:lang w:val="bg-BG"/>
        </w:rPr>
        <w:t>Задължение за провеждане на мерки след разрешаване за употреба</w:t>
      </w:r>
    </w:p>
    <w:p w14:paraId="3E55072A" w14:textId="77777777" w:rsidR="007E7D7A" w:rsidRPr="00FE6AC6" w:rsidRDefault="007E7D7A" w:rsidP="00572F70">
      <w:pPr>
        <w:keepNext/>
        <w:keepLines/>
        <w:widowControl w:val="0"/>
        <w:spacing w:line="240" w:lineRule="auto"/>
        <w:rPr>
          <w:szCs w:val="24"/>
          <w:lang w:val="bg-BG"/>
        </w:rPr>
      </w:pPr>
    </w:p>
    <w:p w14:paraId="3E55072B" w14:textId="77777777" w:rsidR="007E7D7A" w:rsidRPr="00FE6AC6" w:rsidRDefault="007E7D7A" w:rsidP="00572F70">
      <w:pPr>
        <w:keepNext/>
        <w:keepLines/>
        <w:widowControl w:val="0"/>
        <w:spacing w:line="240" w:lineRule="auto"/>
        <w:rPr>
          <w:noProof/>
          <w:szCs w:val="24"/>
          <w:lang w:val="bg-BG"/>
        </w:rPr>
      </w:pPr>
      <w:r w:rsidRPr="00FE6AC6">
        <w:rPr>
          <w:noProof/>
          <w:szCs w:val="24"/>
          <w:lang w:val="bg-BG"/>
        </w:rPr>
        <w:t>В определения срок ПРУ трябва да изпълни следните мерки:</w:t>
      </w:r>
    </w:p>
    <w:p w14:paraId="3E55072C" w14:textId="77777777" w:rsidR="007E7D7A" w:rsidRPr="00FE6AC6" w:rsidRDefault="007E7D7A" w:rsidP="00572F70">
      <w:pPr>
        <w:keepNext/>
        <w:keepLines/>
        <w:widowControl w:val="0"/>
        <w:spacing w:line="240" w:lineRule="auto"/>
        <w:rPr>
          <w:szCs w:val="24"/>
          <w:lang w:val="bg-BG"/>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25"/>
        <w:gridCol w:w="1455"/>
      </w:tblGrid>
      <w:tr w:rsidR="007E7D7A" w:rsidRPr="00FE6AC6" w14:paraId="3E55072F" w14:textId="77777777" w:rsidTr="00572F70">
        <w:trPr>
          <w:cantSplit/>
        </w:trPr>
        <w:tc>
          <w:tcPr>
            <w:tcW w:w="4181" w:type="pct"/>
          </w:tcPr>
          <w:p w14:paraId="3E55072D" w14:textId="77777777" w:rsidR="007E7D7A" w:rsidRPr="00FE6AC6" w:rsidRDefault="007E7D7A" w:rsidP="00572F70">
            <w:pPr>
              <w:keepNext/>
              <w:keepLines/>
              <w:widowControl w:val="0"/>
              <w:spacing w:line="240" w:lineRule="auto"/>
              <w:rPr>
                <w:b/>
                <w:szCs w:val="24"/>
                <w:lang w:val="bg-BG"/>
              </w:rPr>
            </w:pPr>
            <w:r w:rsidRPr="00FE6AC6">
              <w:rPr>
                <w:b/>
                <w:noProof/>
                <w:szCs w:val="24"/>
                <w:lang w:val="bg-BG"/>
              </w:rPr>
              <w:t>Описание</w:t>
            </w:r>
          </w:p>
        </w:tc>
        <w:tc>
          <w:tcPr>
            <w:tcW w:w="819" w:type="pct"/>
          </w:tcPr>
          <w:p w14:paraId="3E55072E" w14:textId="77777777" w:rsidR="007E7D7A" w:rsidRPr="00FE6AC6" w:rsidRDefault="007E7D7A" w:rsidP="00572F70">
            <w:pPr>
              <w:keepNext/>
              <w:keepLines/>
              <w:widowControl w:val="0"/>
              <w:spacing w:line="240" w:lineRule="auto"/>
              <w:rPr>
                <w:b/>
                <w:szCs w:val="24"/>
                <w:lang w:val="bg-BG"/>
              </w:rPr>
            </w:pPr>
            <w:r w:rsidRPr="00FE6AC6">
              <w:rPr>
                <w:b/>
                <w:noProof/>
                <w:szCs w:val="24"/>
                <w:lang w:val="bg-BG"/>
              </w:rPr>
              <w:t>Срок</w:t>
            </w:r>
          </w:p>
        </w:tc>
      </w:tr>
      <w:tr w:rsidR="007E7D7A" w:rsidRPr="00FE6AC6" w14:paraId="3E550732" w14:textId="77777777" w:rsidTr="00572F70">
        <w:trPr>
          <w:cantSplit/>
        </w:trPr>
        <w:tc>
          <w:tcPr>
            <w:tcW w:w="4181" w:type="pct"/>
          </w:tcPr>
          <w:p w14:paraId="3E550730" w14:textId="77777777" w:rsidR="007E7D7A" w:rsidRPr="00FE6AC6" w:rsidRDefault="009F5149" w:rsidP="00572F70">
            <w:pPr>
              <w:widowControl w:val="0"/>
              <w:spacing w:line="240" w:lineRule="auto"/>
              <w:rPr>
                <w:szCs w:val="24"/>
                <w:lang w:val="bg-BG"/>
              </w:rPr>
            </w:pPr>
            <w:r w:rsidRPr="00FE6AC6">
              <w:rPr>
                <w:lang w:val="bg-BG"/>
              </w:rPr>
              <w:t xml:space="preserve">Да създаде обсервационен регистър, събиращ данни за ефикасността и безопасността при новодиагностицирани педиатрични пациенти с </w:t>
            </w:r>
            <w:r w:rsidRPr="00FE6AC6">
              <w:t>Ph</w:t>
            </w:r>
            <w:r w:rsidRPr="00FE6AC6">
              <w:rPr>
                <w:lang w:val="bg-BG"/>
              </w:rPr>
              <w:t>+ остра лимфобластна левкемия (ОЛЛ), лекувани с химиотерапия + иматиниб ± трансплантация на хемопоетични стволови клетки (HSCT). Подаване на</w:t>
            </w:r>
            <w:r w:rsidR="00F83EA7" w:rsidRPr="00FE6AC6">
              <w:rPr>
                <w:lang w:val="bg-BG"/>
              </w:rPr>
              <w:t xml:space="preserve"> окончателен</w:t>
            </w:r>
            <w:r w:rsidRPr="00FE6AC6">
              <w:rPr>
                <w:lang w:val="bg-BG"/>
              </w:rPr>
              <w:t xml:space="preserve"> доклад от проучването.</w:t>
            </w:r>
          </w:p>
        </w:tc>
        <w:tc>
          <w:tcPr>
            <w:tcW w:w="819" w:type="pct"/>
          </w:tcPr>
          <w:p w14:paraId="3E550731" w14:textId="41BC0A8D" w:rsidR="007E7D7A" w:rsidRPr="00FE6AC6" w:rsidRDefault="007A49FC" w:rsidP="007A49FC">
            <w:pPr>
              <w:widowControl w:val="0"/>
              <w:spacing w:line="240" w:lineRule="auto"/>
              <w:rPr>
                <w:i/>
                <w:szCs w:val="24"/>
                <w:lang w:val="bg-BG"/>
              </w:rPr>
            </w:pPr>
            <w:r>
              <w:t>23</w:t>
            </w:r>
            <w:r w:rsidR="000D0247" w:rsidRPr="00FE6AC6">
              <w:t>/06/202</w:t>
            </w:r>
            <w:r w:rsidR="00E92B75">
              <w:t>3</w:t>
            </w:r>
            <w:r w:rsidR="00F83EA7" w:rsidRPr="00FE6AC6">
              <w:rPr>
                <w:szCs w:val="24"/>
                <w:lang w:val="bg-BG"/>
              </w:rPr>
              <w:t> </w:t>
            </w:r>
            <w:r w:rsidR="00CF27B9" w:rsidRPr="00FE6AC6">
              <w:rPr>
                <w:szCs w:val="24"/>
                <w:lang w:val="bg-BG"/>
              </w:rPr>
              <w:t>г</w:t>
            </w:r>
            <w:r w:rsidR="00CF27B9" w:rsidRPr="00FE6AC6">
              <w:rPr>
                <w:i/>
                <w:szCs w:val="24"/>
                <w:lang w:val="bg-BG"/>
              </w:rPr>
              <w:t>.</w:t>
            </w:r>
          </w:p>
        </w:tc>
      </w:tr>
    </w:tbl>
    <w:p w14:paraId="3E550733" w14:textId="77777777" w:rsidR="007E7D7A" w:rsidRPr="00FE6AC6" w:rsidRDefault="007E7D7A" w:rsidP="0063575E">
      <w:pPr>
        <w:widowControl w:val="0"/>
        <w:spacing w:line="240" w:lineRule="auto"/>
        <w:ind w:right="-1"/>
        <w:rPr>
          <w:szCs w:val="24"/>
          <w:lang w:val="bg-BG"/>
        </w:rPr>
      </w:pPr>
    </w:p>
    <w:p w14:paraId="3E550734" w14:textId="77777777" w:rsidR="00426F49" w:rsidRPr="00FE6AC6" w:rsidRDefault="00426F49" w:rsidP="0063575E">
      <w:pPr>
        <w:widowControl w:val="0"/>
        <w:tabs>
          <w:tab w:val="clear" w:pos="567"/>
        </w:tabs>
        <w:spacing w:line="240" w:lineRule="auto"/>
        <w:rPr>
          <w:noProof/>
          <w:color w:val="000000"/>
          <w:lang w:val="ru-RU"/>
        </w:rPr>
      </w:pPr>
      <w:r w:rsidRPr="00FE6AC6">
        <w:rPr>
          <w:noProof/>
          <w:color w:val="000000"/>
          <w:lang w:val="ru-RU"/>
        </w:rPr>
        <w:br w:type="page"/>
      </w:r>
    </w:p>
    <w:p w14:paraId="3E550735" w14:textId="77777777" w:rsidR="00426F49" w:rsidRPr="00FE6AC6" w:rsidRDefault="00426F49" w:rsidP="0063575E">
      <w:pPr>
        <w:widowControl w:val="0"/>
        <w:tabs>
          <w:tab w:val="clear" w:pos="567"/>
        </w:tabs>
        <w:spacing w:line="240" w:lineRule="auto"/>
        <w:rPr>
          <w:noProof/>
          <w:color w:val="000000"/>
          <w:lang w:val="ru-RU"/>
        </w:rPr>
      </w:pPr>
    </w:p>
    <w:p w14:paraId="3E550736" w14:textId="77777777" w:rsidR="00426F49" w:rsidRPr="00FE6AC6" w:rsidRDefault="00426F49" w:rsidP="0063575E">
      <w:pPr>
        <w:widowControl w:val="0"/>
        <w:tabs>
          <w:tab w:val="clear" w:pos="567"/>
        </w:tabs>
        <w:spacing w:line="240" w:lineRule="auto"/>
        <w:rPr>
          <w:noProof/>
          <w:color w:val="000000"/>
          <w:lang w:val="ru-RU"/>
        </w:rPr>
      </w:pPr>
    </w:p>
    <w:p w14:paraId="3E550737" w14:textId="77777777" w:rsidR="00426F49" w:rsidRPr="00FE6AC6" w:rsidRDefault="00426F49" w:rsidP="0063575E">
      <w:pPr>
        <w:widowControl w:val="0"/>
        <w:tabs>
          <w:tab w:val="clear" w:pos="567"/>
        </w:tabs>
        <w:spacing w:line="240" w:lineRule="auto"/>
        <w:rPr>
          <w:noProof/>
          <w:color w:val="000000"/>
          <w:lang w:val="ru-RU"/>
        </w:rPr>
      </w:pPr>
    </w:p>
    <w:p w14:paraId="3E550738" w14:textId="77777777" w:rsidR="00426F49" w:rsidRPr="00FE6AC6" w:rsidRDefault="00426F49" w:rsidP="0063575E">
      <w:pPr>
        <w:widowControl w:val="0"/>
        <w:tabs>
          <w:tab w:val="clear" w:pos="567"/>
        </w:tabs>
        <w:spacing w:line="240" w:lineRule="auto"/>
        <w:rPr>
          <w:noProof/>
          <w:color w:val="000000"/>
          <w:lang w:val="ru-RU"/>
        </w:rPr>
      </w:pPr>
    </w:p>
    <w:p w14:paraId="3E550739" w14:textId="77777777" w:rsidR="00426F49" w:rsidRPr="00FE6AC6" w:rsidRDefault="00426F49" w:rsidP="0063575E">
      <w:pPr>
        <w:widowControl w:val="0"/>
        <w:tabs>
          <w:tab w:val="clear" w:pos="567"/>
        </w:tabs>
        <w:spacing w:line="240" w:lineRule="auto"/>
        <w:rPr>
          <w:noProof/>
          <w:color w:val="000000"/>
          <w:lang w:val="ru-RU"/>
        </w:rPr>
      </w:pPr>
    </w:p>
    <w:p w14:paraId="3E55073A" w14:textId="77777777" w:rsidR="00426F49" w:rsidRPr="00FE6AC6" w:rsidRDefault="00426F49" w:rsidP="0063575E">
      <w:pPr>
        <w:widowControl w:val="0"/>
        <w:tabs>
          <w:tab w:val="clear" w:pos="567"/>
        </w:tabs>
        <w:spacing w:line="240" w:lineRule="auto"/>
        <w:rPr>
          <w:noProof/>
          <w:color w:val="000000"/>
          <w:lang w:val="ru-RU"/>
        </w:rPr>
      </w:pPr>
    </w:p>
    <w:p w14:paraId="3E55073B" w14:textId="77777777" w:rsidR="00426F49" w:rsidRPr="00FE6AC6" w:rsidRDefault="00426F49" w:rsidP="0063575E">
      <w:pPr>
        <w:widowControl w:val="0"/>
        <w:tabs>
          <w:tab w:val="clear" w:pos="567"/>
        </w:tabs>
        <w:spacing w:line="240" w:lineRule="auto"/>
        <w:rPr>
          <w:noProof/>
          <w:color w:val="000000"/>
          <w:lang w:val="ru-RU"/>
        </w:rPr>
      </w:pPr>
    </w:p>
    <w:p w14:paraId="3E55073C" w14:textId="77777777" w:rsidR="00426F49" w:rsidRPr="00FE6AC6" w:rsidRDefault="00426F49" w:rsidP="0063575E">
      <w:pPr>
        <w:widowControl w:val="0"/>
        <w:tabs>
          <w:tab w:val="clear" w:pos="567"/>
        </w:tabs>
        <w:spacing w:line="240" w:lineRule="auto"/>
        <w:rPr>
          <w:noProof/>
          <w:color w:val="000000"/>
          <w:lang w:val="ru-RU"/>
        </w:rPr>
      </w:pPr>
    </w:p>
    <w:p w14:paraId="3E55073D" w14:textId="77777777" w:rsidR="00426F49" w:rsidRPr="00FE6AC6" w:rsidRDefault="00426F49" w:rsidP="0063575E">
      <w:pPr>
        <w:widowControl w:val="0"/>
        <w:tabs>
          <w:tab w:val="clear" w:pos="567"/>
        </w:tabs>
        <w:spacing w:line="240" w:lineRule="auto"/>
        <w:rPr>
          <w:noProof/>
          <w:color w:val="000000"/>
          <w:lang w:val="ru-RU"/>
        </w:rPr>
      </w:pPr>
    </w:p>
    <w:p w14:paraId="3E55073E" w14:textId="77777777" w:rsidR="00426F49" w:rsidRPr="00FE6AC6" w:rsidRDefault="00426F49" w:rsidP="0063575E">
      <w:pPr>
        <w:widowControl w:val="0"/>
        <w:tabs>
          <w:tab w:val="clear" w:pos="567"/>
        </w:tabs>
        <w:spacing w:line="240" w:lineRule="auto"/>
        <w:rPr>
          <w:noProof/>
          <w:color w:val="000000"/>
          <w:lang w:val="ru-RU"/>
        </w:rPr>
      </w:pPr>
    </w:p>
    <w:p w14:paraId="3E55073F" w14:textId="77777777" w:rsidR="00426F49" w:rsidRPr="00FE6AC6" w:rsidRDefault="00426F49" w:rsidP="0063575E">
      <w:pPr>
        <w:widowControl w:val="0"/>
        <w:tabs>
          <w:tab w:val="clear" w:pos="567"/>
        </w:tabs>
        <w:spacing w:line="240" w:lineRule="auto"/>
        <w:rPr>
          <w:noProof/>
          <w:color w:val="000000"/>
          <w:lang w:val="ru-RU"/>
        </w:rPr>
      </w:pPr>
    </w:p>
    <w:p w14:paraId="3E550740" w14:textId="77777777" w:rsidR="00426F49" w:rsidRPr="00FE6AC6" w:rsidRDefault="00426F49" w:rsidP="0063575E">
      <w:pPr>
        <w:widowControl w:val="0"/>
        <w:tabs>
          <w:tab w:val="clear" w:pos="567"/>
        </w:tabs>
        <w:spacing w:line="240" w:lineRule="auto"/>
        <w:rPr>
          <w:noProof/>
          <w:color w:val="000000"/>
          <w:lang w:val="ru-RU"/>
        </w:rPr>
      </w:pPr>
    </w:p>
    <w:p w14:paraId="3E550741" w14:textId="77777777" w:rsidR="00426F49" w:rsidRPr="00FE6AC6" w:rsidRDefault="00426F49" w:rsidP="0063575E">
      <w:pPr>
        <w:widowControl w:val="0"/>
        <w:tabs>
          <w:tab w:val="clear" w:pos="567"/>
        </w:tabs>
        <w:spacing w:line="240" w:lineRule="auto"/>
        <w:rPr>
          <w:noProof/>
          <w:color w:val="000000"/>
          <w:lang w:val="ru-RU"/>
        </w:rPr>
      </w:pPr>
    </w:p>
    <w:p w14:paraId="3E550742" w14:textId="77777777" w:rsidR="00426F49" w:rsidRPr="00FE6AC6" w:rsidRDefault="00426F49" w:rsidP="0063575E">
      <w:pPr>
        <w:widowControl w:val="0"/>
        <w:tabs>
          <w:tab w:val="clear" w:pos="567"/>
        </w:tabs>
        <w:spacing w:line="240" w:lineRule="auto"/>
        <w:rPr>
          <w:noProof/>
          <w:color w:val="000000"/>
          <w:lang w:val="ru-RU"/>
        </w:rPr>
      </w:pPr>
    </w:p>
    <w:p w14:paraId="3E550743" w14:textId="77777777" w:rsidR="00426F49" w:rsidRPr="00FE6AC6" w:rsidRDefault="00426F49" w:rsidP="0063575E">
      <w:pPr>
        <w:widowControl w:val="0"/>
        <w:tabs>
          <w:tab w:val="clear" w:pos="567"/>
        </w:tabs>
        <w:spacing w:line="240" w:lineRule="auto"/>
        <w:rPr>
          <w:noProof/>
          <w:color w:val="000000"/>
          <w:lang w:val="ru-RU"/>
        </w:rPr>
      </w:pPr>
    </w:p>
    <w:p w14:paraId="3E550744" w14:textId="77777777" w:rsidR="00426F49" w:rsidRPr="00FE6AC6" w:rsidRDefault="00426F49" w:rsidP="0063575E">
      <w:pPr>
        <w:widowControl w:val="0"/>
        <w:tabs>
          <w:tab w:val="clear" w:pos="567"/>
        </w:tabs>
        <w:spacing w:line="240" w:lineRule="auto"/>
        <w:rPr>
          <w:noProof/>
          <w:color w:val="000000"/>
          <w:lang w:val="ru-RU"/>
        </w:rPr>
      </w:pPr>
    </w:p>
    <w:p w14:paraId="3E550745" w14:textId="77777777" w:rsidR="00426F49" w:rsidRPr="00FE6AC6" w:rsidRDefault="00426F49" w:rsidP="0063575E">
      <w:pPr>
        <w:widowControl w:val="0"/>
        <w:tabs>
          <w:tab w:val="clear" w:pos="567"/>
        </w:tabs>
        <w:spacing w:line="240" w:lineRule="auto"/>
        <w:rPr>
          <w:noProof/>
          <w:color w:val="000000"/>
          <w:lang w:val="ru-RU"/>
        </w:rPr>
      </w:pPr>
    </w:p>
    <w:p w14:paraId="3E550746" w14:textId="77777777" w:rsidR="00426F49" w:rsidRPr="00FE6AC6" w:rsidRDefault="00426F49" w:rsidP="0063575E">
      <w:pPr>
        <w:widowControl w:val="0"/>
        <w:tabs>
          <w:tab w:val="clear" w:pos="567"/>
        </w:tabs>
        <w:spacing w:line="240" w:lineRule="auto"/>
        <w:outlineLvl w:val="0"/>
        <w:rPr>
          <w:noProof/>
          <w:color w:val="000000"/>
          <w:lang w:val="ru-RU"/>
        </w:rPr>
      </w:pPr>
    </w:p>
    <w:p w14:paraId="3E550747" w14:textId="77777777" w:rsidR="00426F49" w:rsidRPr="00FE6AC6" w:rsidRDefault="00426F49" w:rsidP="0063575E">
      <w:pPr>
        <w:widowControl w:val="0"/>
        <w:tabs>
          <w:tab w:val="clear" w:pos="567"/>
        </w:tabs>
        <w:spacing w:line="240" w:lineRule="auto"/>
        <w:outlineLvl w:val="0"/>
        <w:rPr>
          <w:noProof/>
          <w:color w:val="000000"/>
          <w:lang w:val="ru-RU"/>
        </w:rPr>
      </w:pPr>
    </w:p>
    <w:p w14:paraId="3E550748" w14:textId="77777777" w:rsidR="00426F49" w:rsidRPr="00FE6AC6" w:rsidRDefault="00426F49" w:rsidP="0063575E">
      <w:pPr>
        <w:widowControl w:val="0"/>
        <w:tabs>
          <w:tab w:val="clear" w:pos="567"/>
        </w:tabs>
        <w:spacing w:line="240" w:lineRule="auto"/>
        <w:outlineLvl w:val="0"/>
        <w:rPr>
          <w:noProof/>
          <w:color w:val="000000"/>
          <w:lang w:val="ru-RU"/>
        </w:rPr>
      </w:pPr>
    </w:p>
    <w:p w14:paraId="3E550749" w14:textId="77777777" w:rsidR="00426F49" w:rsidRPr="00FE6AC6" w:rsidRDefault="00426F49" w:rsidP="0063575E">
      <w:pPr>
        <w:widowControl w:val="0"/>
        <w:tabs>
          <w:tab w:val="clear" w:pos="567"/>
        </w:tabs>
        <w:spacing w:line="240" w:lineRule="auto"/>
        <w:outlineLvl w:val="0"/>
        <w:rPr>
          <w:noProof/>
          <w:color w:val="000000"/>
          <w:lang w:val="ru-RU"/>
        </w:rPr>
      </w:pPr>
    </w:p>
    <w:p w14:paraId="3E55074A" w14:textId="77777777" w:rsidR="00426F49" w:rsidRDefault="00426F49" w:rsidP="0063575E">
      <w:pPr>
        <w:widowControl w:val="0"/>
        <w:tabs>
          <w:tab w:val="clear" w:pos="567"/>
        </w:tabs>
        <w:spacing w:line="240" w:lineRule="auto"/>
        <w:outlineLvl w:val="0"/>
        <w:rPr>
          <w:noProof/>
          <w:color w:val="000000"/>
          <w:lang w:val="ru-RU"/>
        </w:rPr>
      </w:pPr>
    </w:p>
    <w:p w14:paraId="3E55074B" w14:textId="77777777" w:rsidR="00572F70" w:rsidRPr="00FE6AC6" w:rsidRDefault="00572F70" w:rsidP="0063575E">
      <w:pPr>
        <w:widowControl w:val="0"/>
        <w:tabs>
          <w:tab w:val="clear" w:pos="567"/>
        </w:tabs>
        <w:spacing w:line="240" w:lineRule="auto"/>
        <w:outlineLvl w:val="0"/>
        <w:rPr>
          <w:noProof/>
          <w:color w:val="000000"/>
          <w:lang w:val="ru-RU"/>
        </w:rPr>
      </w:pPr>
    </w:p>
    <w:p w14:paraId="3E55074C" w14:textId="77777777" w:rsidR="00426F49" w:rsidRPr="00FE6AC6" w:rsidRDefault="00426F49" w:rsidP="0063575E">
      <w:pPr>
        <w:widowControl w:val="0"/>
        <w:tabs>
          <w:tab w:val="clear" w:pos="567"/>
        </w:tabs>
        <w:spacing w:line="240" w:lineRule="auto"/>
        <w:jc w:val="center"/>
        <w:outlineLvl w:val="0"/>
        <w:rPr>
          <w:b/>
          <w:noProof/>
          <w:color w:val="000000"/>
          <w:lang w:val="bg-BG"/>
        </w:rPr>
      </w:pPr>
      <w:r w:rsidRPr="00FE6AC6">
        <w:rPr>
          <w:b/>
          <w:noProof/>
          <w:color w:val="000000"/>
          <w:lang w:val="bg-BG"/>
        </w:rPr>
        <w:t xml:space="preserve">ПРИЛОЖЕНИЕ </w:t>
      </w:r>
      <w:r w:rsidRPr="00FE6AC6">
        <w:rPr>
          <w:b/>
          <w:noProof/>
          <w:color w:val="000000"/>
        </w:rPr>
        <w:t>III</w:t>
      </w:r>
    </w:p>
    <w:p w14:paraId="3E55074D" w14:textId="77777777" w:rsidR="00426F49" w:rsidRPr="00FE6AC6" w:rsidRDefault="00426F49" w:rsidP="0063575E">
      <w:pPr>
        <w:widowControl w:val="0"/>
        <w:tabs>
          <w:tab w:val="clear" w:pos="567"/>
        </w:tabs>
        <w:spacing w:line="240" w:lineRule="auto"/>
        <w:jc w:val="center"/>
        <w:rPr>
          <w:noProof/>
          <w:color w:val="000000"/>
          <w:lang w:val="bg-BG"/>
        </w:rPr>
      </w:pPr>
    </w:p>
    <w:p w14:paraId="3E55074E" w14:textId="77777777" w:rsidR="00426F49" w:rsidRPr="00FE6AC6" w:rsidRDefault="00B16951" w:rsidP="0063575E">
      <w:pPr>
        <w:widowControl w:val="0"/>
        <w:tabs>
          <w:tab w:val="clear" w:pos="567"/>
        </w:tabs>
        <w:spacing w:line="240" w:lineRule="auto"/>
        <w:jc w:val="center"/>
        <w:outlineLvl w:val="0"/>
        <w:rPr>
          <w:b/>
          <w:noProof/>
          <w:color w:val="000000"/>
          <w:lang w:val="bg-BG"/>
        </w:rPr>
      </w:pPr>
      <w:r w:rsidRPr="00FE6AC6">
        <w:rPr>
          <w:b/>
          <w:noProof/>
          <w:szCs w:val="22"/>
          <w:lang w:val="bg-BG"/>
        </w:rPr>
        <w:t>ДАННИ</w:t>
      </w:r>
      <w:r w:rsidR="00426F49" w:rsidRPr="00FE6AC6">
        <w:rPr>
          <w:b/>
          <w:noProof/>
          <w:color w:val="000000"/>
          <w:lang w:val="bg-BG"/>
        </w:rPr>
        <w:t xml:space="preserve"> ВЪРХУ ОПАКОВКАТА И ЛИСТОВКА</w:t>
      </w:r>
    </w:p>
    <w:p w14:paraId="3E55074F"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br w:type="page"/>
      </w:r>
    </w:p>
    <w:p w14:paraId="3E550750" w14:textId="77777777" w:rsidR="00426F49" w:rsidRPr="00FE6AC6" w:rsidRDefault="00426F49" w:rsidP="0063575E">
      <w:pPr>
        <w:widowControl w:val="0"/>
        <w:tabs>
          <w:tab w:val="clear" w:pos="567"/>
        </w:tabs>
        <w:spacing w:line="240" w:lineRule="auto"/>
        <w:rPr>
          <w:noProof/>
          <w:color w:val="000000"/>
          <w:lang w:val="bg-BG"/>
        </w:rPr>
      </w:pPr>
    </w:p>
    <w:p w14:paraId="3E550751" w14:textId="77777777" w:rsidR="00426F49" w:rsidRPr="00FE6AC6" w:rsidRDefault="00426F49" w:rsidP="0063575E">
      <w:pPr>
        <w:widowControl w:val="0"/>
        <w:tabs>
          <w:tab w:val="clear" w:pos="567"/>
        </w:tabs>
        <w:spacing w:line="240" w:lineRule="auto"/>
        <w:rPr>
          <w:noProof/>
          <w:color w:val="000000"/>
          <w:lang w:val="bg-BG"/>
        </w:rPr>
      </w:pPr>
    </w:p>
    <w:p w14:paraId="3E550752" w14:textId="77777777" w:rsidR="00426F49" w:rsidRPr="00FE6AC6" w:rsidRDefault="00426F49" w:rsidP="0063575E">
      <w:pPr>
        <w:widowControl w:val="0"/>
        <w:tabs>
          <w:tab w:val="clear" w:pos="567"/>
        </w:tabs>
        <w:spacing w:line="240" w:lineRule="auto"/>
        <w:rPr>
          <w:noProof/>
          <w:color w:val="000000"/>
          <w:lang w:val="bg-BG"/>
        </w:rPr>
      </w:pPr>
    </w:p>
    <w:p w14:paraId="3E550753" w14:textId="77777777" w:rsidR="00426F49" w:rsidRPr="00FE6AC6" w:rsidRDefault="00426F49" w:rsidP="0063575E">
      <w:pPr>
        <w:widowControl w:val="0"/>
        <w:tabs>
          <w:tab w:val="clear" w:pos="567"/>
        </w:tabs>
        <w:spacing w:line="240" w:lineRule="auto"/>
        <w:rPr>
          <w:noProof/>
          <w:color w:val="000000"/>
          <w:lang w:val="bg-BG"/>
        </w:rPr>
      </w:pPr>
    </w:p>
    <w:p w14:paraId="3E550754" w14:textId="77777777" w:rsidR="00426F49" w:rsidRPr="00FE6AC6" w:rsidRDefault="00426F49" w:rsidP="0063575E">
      <w:pPr>
        <w:widowControl w:val="0"/>
        <w:tabs>
          <w:tab w:val="clear" w:pos="567"/>
        </w:tabs>
        <w:spacing w:line="240" w:lineRule="auto"/>
        <w:rPr>
          <w:noProof/>
          <w:color w:val="000000"/>
          <w:lang w:val="bg-BG"/>
        </w:rPr>
      </w:pPr>
    </w:p>
    <w:p w14:paraId="3E550755" w14:textId="77777777" w:rsidR="00426F49" w:rsidRPr="00FE6AC6" w:rsidRDefault="00426F49" w:rsidP="0063575E">
      <w:pPr>
        <w:widowControl w:val="0"/>
        <w:tabs>
          <w:tab w:val="clear" w:pos="567"/>
        </w:tabs>
        <w:spacing w:line="240" w:lineRule="auto"/>
        <w:rPr>
          <w:noProof/>
          <w:color w:val="000000"/>
          <w:lang w:val="bg-BG"/>
        </w:rPr>
      </w:pPr>
    </w:p>
    <w:p w14:paraId="3E550756" w14:textId="77777777" w:rsidR="00426F49" w:rsidRPr="00FE6AC6" w:rsidRDefault="00426F49" w:rsidP="0063575E">
      <w:pPr>
        <w:widowControl w:val="0"/>
        <w:tabs>
          <w:tab w:val="clear" w:pos="567"/>
        </w:tabs>
        <w:spacing w:line="240" w:lineRule="auto"/>
        <w:rPr>
          <w:noProof/>
          <w:color w:val="000000"/>
          <w:lang w:val="bg-BG"/>
        </w:rPr>
      </w:pPr>
    </w:p>
    <w:p w14:paraId="3E550757" w14:textId="77777777" w:rsidR="00426F49" w:rsidRPr="00FE6AC6" w:rsidRDefault="00426F49" w:rsidP="0063575E">
      <w:pPr>
        <w:widowControl w:val="0"/>
        <w:tabs>
          <w:tab w:val="clear" w:pos="567"/>
        </w:tabs>
        <w:spacing w:line="240" w:lineRule="auto"/>
        <w:rPr>
          <w:noProof/>
          <w:color w:val="000000"/>
          <w:lang w:val="bg-BG"/>
        </w:rPr>
      </w:pPr>
    </w:p>
    <w:p w14:paraId="3E550758" w14:textId="77777777" w:rsidR="00426F49" w:rsidRPr="00FE6AC6" w:rsidRDefault="00426F49" w:rsidP="0063575E">
      <w:pPr>
        <w:widowControl w:val="0"/>
        <w:tabs>
          <w:tab w:val="clear" w:pos="567"/>
        </w:tabs>
        <w:spacing w:line="240" w:lineRule="auto"/>
        <w:rPr>
          <w:noProof/>
          <w:color w:val="000000"/>
          <w:lang w:val="bg-BG"/>
        </w:rPr>
      </w:pPr>
    </w:p>
    <w:p w14:paraId="3E550759" w14:textId="77777777" w:rsidR="00426F49" w:rsidRPr="00FE6AC6" w:rsidRDefault="00426F49" w:rsidP="0063575E">
      <w:pPr>
        <w:widowControl w:val="0"/>
        <w:tabs>
          <w:tab w:val="clear" w:pos="567"/>
        </w:tabs>
        <w:spacing w:line="240" w:lineRule="auto"/>
        <w:rPr>
          <w:noProof/>
          <w:color w:val="000000"/>
          <w:lang w:val="bg-BG"/>
        </w:rPr>
      </w:pPr>
    </w:p>
    <w:p w14:paraId="3E55075A" w14:textId="77777777" w:rsidR="00426F49" w:rsidRPr="00FE6AC6" w:rsidRDefault="00426F49" w:rsidP="0063575E">
      <w:pPr>
        <w:widowControl w:val="0"/>
        <w:tabs>
          <w:tab w:val="clear" w:pos="567"/>
        </w:tabs>
        <w:spacing w:line="240" w:lineRule="auto"/>
        <w:rPr>
          <w:noProof/>
          <w:color w:val="000000"/>
          <w:lang w:val="bg-BG"/>
        </w:rPr>
      </w:pPr>
    </w:p>
    <w:p w14:paraId="3E55075B" w14:textId="77777777" w:rsidR="00426F49" w:rsidRPr="00FE6AC6" w:rsidRDefault="00426F49" w:rsidP="0063575E">
      <w:pPr>
        <w:widowControl w:val="0"/>
        <w:tabs>
          <w:tab w:val="clear" w:pos="567"/>
        </w:tabs>
        <w:spacing w:line="240" w:lineRule="auto"/>
        <w:rPr>
          <w:noProof/>
          <w:color w:val="000000"/>
          <w:lang w:val="bg-BG"/>
        </w:rPr>
      </w:pPr>
    </w:p>
    <w:p w14:paraId="3E55075C" w14:textId="77777777" w:rsidR="00426F49" w:rsidRPr="00FE6AC6" w:rsidRDefault="00426F49" w:rsidP="0063575E">
      <w:pPr>
        <w:widowControl w:val="0"/>
        <w:tabs>
          <w:tab w:val="clear" w:pos="567"/>
        </w:tabs>
        <w:spacing w:line="240" w:lineRule="auto"/>
        <w:rPr>
          <w:noProof/>
          <w:color w:val="000000"/>
          <w:lang w:val="bg-BG"/>
        </w:rPr>
      </w:pPr>
    </w:p>
    <w:p w14:paraId="3E55075D" w14:textId="77777777" w:rsidR="00426F49" w:rsidRPr="00FE6AC6" w:rsidRDefault="00426F49" w:rsidP="0063575E">
      <w:pPr>
        <w:widowControl w:val="0"/>
        <w:tabs>
          <w:tab w:val="clear" w:pos="567"/>
        </w:tabs>
        <w:spacing w:line="240" w:lineRule="auto"/>
        <w:rPr>
          <w:noProof/>
          <w:color w:val="000000"/>
          <w:lang w:val="bg-BG"/>
        </w:rPr>
      </w:pPr>
    </w:p>
    <w:p w14:paraId="3E55075E" w14:textId="77777777" w:rsidR="00426F49" w:rsidRPr="00FE6AC6" w:rsidRDefault="00426F49" w:rsidP="0063575E">
      <w:pPr>
        <w:widowControl w:val="0"/>
        <w:tabs>
          <w:tab w:val="clear" w:pos="567"/>
        </w:tabs>
        <w:spacing w:line="240" w:lineRule="auto"/>
        <w:rPr>
          <w:noProof/>
          <w:color w:val="000000"/>
          <w:lang w:val="bg-BG"/>
        </w:rPr>
      </w:pPr>
    </w:p>
    <w:p w14:paraId="3E55075F" w14:textId="77777777" w:rsidR="00426F49" w:rsidRPr="00FE6AC6" w:rsidRDefault="00426F49" w:rsidP="0063575E">
      <w:pPr>
        <w:widowControl w:val="0"/>
        <w:tabs>
          <w:tab w:val="clear" w:pos="567"/>
        </w:tabs>
        <w:spacing w:line="240" w:lineRule="auto"/>
        <w:rPr>
          <w:noProof/>
          <w:color w:val="000000"/>
          <w:lang w:val="bg-BG"/>
        </w:rPr>
      </w:pPr>
    </w:p>
    <w:p w14:paraId="3E550760" w14:textId="77777777" w:rsidR="00426F49" w:rsidRPr="00FE6AC6" w:rsidRDefault="00426F49" w:rsidP="0063575E">
      <w:pPr>
        <w:widowControl w:val="0"/>
        <w:tabs>
          <w:tab w:val="clear" w:pos="567"/>
        </w:tabs>
        <w:spacing w:line="240" w:lineRule="auto"/>
        <w:rPr>
          <w:noProof/>
          <w:color w:val="000000"/>
          <w:lang w:val="bg-BG"/>
        </w:rPr>
      </w:pPr>
    </w:p>
    <w:p w14:paraId="3E550761" w14:textId="77777777" w:rsidR="00426F49" w:rsidRPr="00FE6AC6" w:rsidRDefault="00426F49" w:rsidP="0063575E">
      <w:pPr>
        <w:widowControl w:val="0"/>
        <w:tabs>
          <w:tab w:val="clear" w:pos="567"/>
        </w:tabs>
        <w:spacing w:line="240" w:lineRule="auto"/>
        <w:rPr>
          <w:noProof/>
          <w:color w:val="000000"/>
          <w:lang w:val="bg-BG"/>
        </w:rPr>
      </w:pPr>
    </w:p>
    <w:p w14:paraId="3E550762" w14:textId="77777777" w:rsidR="00426F49" w:rsidRPr="00FE6AC6" w:rsidRDefault="00426F49" w:rsidP="0063575E">
      <w:pPr>
        <w:widowControl w:val="0"/>
        <w:tabs>
          <w:tab w:val="clear" w:pos="567"/>
        </w:tabs>
        <w:spacing w:line="240" w:lineRule="auto"/>
        <w:rPr>
          <w:noProof/>
          <w:color w:val="000000"/>
          <w:lang w:val="bg-BG"/>
        </w:rPr>
      </w:pPr>
    </w:p>
    <w:p w14:paraId="3E550763" w14:textId="77777777" w:rsidR="00426F49" w:rsidRPr="00FE6AC6" w:rsidRDefault="00426F49" w:rsidP="0063575E">
      <w:pPr>
        <w:widowControl w:val="0"/>
        <w:tabs>
          <w:tab w:val="clear" w:pos="567"/>
        </w:tabs>
        <w:spacing w:line="240" w:lineRule="auto"/>
        <w:rPr>
          <w:noProof/>
          <w:color w:val="000000"/>
          <w:lang w:val="bg-BG"/>
        </w:rPr>
      </w:pPr>
    </w:p>
    <w:p w14:paraId="3E550764" w14:textId="77777777" w:rsidR="00426F49" w:rsidRPr="00FE6AC6" w:rsidRDefault="00426F49" w:rsidP="0063575E">
      <w:pPr>
        <w:widowControl w:val="0"/>
        <w:tabs>
          <w:tab w:val="clear" w:pos="567"/>
        </w:tabs>
        <w:spacing w:line="240" w:lineRule="auto"/>
        <w:rPr>
          <w:noProof/>
          <w:color w:val="000000"/>
          <w:lang w:val="bg-BG"/>
        </w:rPr>
      </w:pPr>
    </w:p>
    <w:p w14:paraId="3E550765" w14:textId="77777777" w:rsidR="00426F49" w:rsidRDefault="00426F49" w:rsidP="0063575E">
      <w:pPr>
        <w:widowControl w:val="0"/>
        <w:tabs>
          <w:tab w:val="clear" w:pos="567"/>
        </w:tabs>
        <w:spacing w:line="240" w:lineRule="auto"/>
        <w:rPr>
          <w:noProof/>
          <w:color w:val="000000"/>
          <w:lang w:val="bg-BG"/>
        </w:rPr>
      </w:pPr>
    </w:p>
    <w:p w14:paraId="3E550766" w14:textId="77777777" w:rsidR="00572F70" w:rsidRPr="00FE6AC6" w:rsidRDefault="00572F70" w:rsidP="0063575E">
      <w:pPr>
        <w:widowControl w:val="0"/>
        <w:tabs>
          <w:tab w:val="clear" w:pos="567"/>
        </w:tabs>
        <w:spacing w:line="240" w:lineRule="auto"/>
        <w:rPr>
          <w:noProof/>
          <w:color w:val="000000"/>
          <w:lang w:val="bg-BG"/>
        </w:rPr>
      </w:pPr>
    </w:p>
    <w:p w14:paraId="3E550767" w14:textId="77777777" w:rsidR="00426F49" w:rsidRPr="00FE6AC6" w:rsidRDefault="00426F49" w:rsidP="0063575E">
      <w:pPr>
        <w:widowControl w:val="0"/>
        <w:tabs>
          <w:tab w:val="clear" w:pos="567"/>
        </w:tabs>
        <w:spacing w:line="240" w:lineRule="auto"/>
        <w:jc w:val="center"/>
        <w:outlineLvl w:val="0"/>
        <w:rPr>
          <w:noProof/>
          <w:color w:val="000000"/>
          <w:lang w:val="bg-BG"/>
        </w:rPr>
      </w:pPr>
      <w:r w:rsidRPr="00FE6AC6">
        <w:rPr>
          <w:b/>
          <w:noProof/>
          <w:color w:val="000000"/>
        </w:rPr>
        <w:t>A</w:t>
      </w:r>
      <w:r w:rsidRPr="00FE6AC6">
        <w:rPr>
          <w:b/>
          <w:noProof/>
          <w:color w:val="000000"/>
          <w:lang w:val="bg-BG"/>
        </w:rPr>
        <w:t>. ДАННИ ВЪРХУ ОПАКОВКАТА</w:t>
      </w:r>
    </w:p>
    <w:p w14:paraId="3E550768" w14:textId="77777777" w:rsidR="00426F49" w:rsidRPr="00FE6AC6" w:rsidRDefault="00426F49" w:rsidP="0063575E">
      <w:pPr>
        <w:widowControl w:val="0"/>
        <w:shd w:val="clear" w:color="auto" w:fill="FFFFFF"/>
        <w:tabs>
          <w:tab w:val="clear" w:pos="567"/>
        </w:tabs>
        <w:spacing w:line="240" w:lineRule="auto"/>
        <w:rPr>
          <w:noProof/>
          <w:color w:val="000000"/>
          <w:lang w:val="bg-BG"/>
        </w:rPr>
      </w:pPr>
      <w:r w:rsidRPr="00FE6AC6">
        <w:rPr>
          <w:noProof/>
          <w:color w:val="000000"/>
          <w:lang w:val="bg-BG"/>
        </w:rPr>
        <w:br w:type="page"/>
      </w:r>
    </w:p>
    <w:p w14:paraId="3E5507E5" w14:textId="77777777" w:rsidR="00572F70" w:rsidRPr="00572F70" w:rsidRDefault="00572F70" w:rsidP="00572F70">
      <w:pPr>
        <w:widowControl w:val="0"/>
        <w:tabs>
          <w:tab w:val="clear" w:pos="567"/>
        </w:tabs>
        <w:spacing w:line="240" w:lineRule="auto"/>
        <w:rPr>
          <w:noProof/>
          <w:color w:val="000000"/>
          <w:lang w:val="ru-RU"/>
        </w:rPr>
      </w:pPr>
    </w:p>
    <w:p w14:paraId="3E5507E6"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color w:val="000000"/>
          <w:lang w:val="ru-RU"/>
        </w:rPr>
      </w:pPr>
      <w:r w:rsidRPr="00FE6AC6">
        <w:rPr>
          <w:b/>
          <w:noProof/>
          <w:color w:val="000000"/>
          <w:lang w:val="ru-RU"/>
        </w:rPr>
        <w:t>ДАННИ, КОИТО ТРЯБВА ДА СЪДЪРЖА ВТОРИЧНАТА ОПАКОВКА</w:t>
      </w:r>
    </w:p>
    <w:p w14:paraId="3E5507E7"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noProof/>
          <w:color w:val="000000"/>
          <w:lang w:val="ru-RU"/>
        </w:rPr>
      </w:pPr>
    </w:p>
    <w:p w14:paraId="3E5507E8"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rPr>
          <w:noProof/>
          <w:color w:val="000000"/>
          <w:lang w:val="ru-RU"/>
        </w:rPr>
      </w:pPr>
      <w:r w:rsidRPr="00FE6AC6">
        <w:rPr>
          <w:b/>
          <w:noProof/>
          <w:color w:val="000000"/>
          <w:lang w:val="ru-RU"/>
        </w:rPr>
        <w:t>КАРТОНЕНА КУТИЯ</w:t>
      </w:r>
    </w:p>
    <w:p w14:paraId="3E5507E9" w14:textId="77777777" w:rsidR="00426F49" w:rsidRPr="00FE6AC6" w:rsidRDefault="00426F49" w:rsidP="0063575E">
      <w:pPr>
        <w:widowControl w:val="0"/>
        <w:tabs>
          <w:tab w:val="clear" w:pos="567"/>
        </w:tabs>
        <w:spacing w:line="240" w:lineRule="auto"/>
        <w:rPr>
          <w:noProof/>
          <w:color w:val="000000"/>
          <w:lang w:val="ru-RU"/>
        </w:rPr>
      </w:pPr>
    </w:p>
    <w:p w14:paraId="3E5507EA" w14:textId="77777777" w:rsidR="00426F49" w:rsidRPr="00FE6AC6" w:rsidRDefault="00426F49" w:rsidP="0063575E">
      <w:pPr>
        <w:widowControl w:val="0"/>
        <w:tabs>
          <w:tab w:val="clear" w:pos="567"/>
        </w:tabs>
        <w:spacing w:line="240" w:lineRule="auto"/>
        <w:rPr>
          <w:noProof/>
          <w:color w:val="000000"/>
          <w:lang w:val="ru-RU"/>
        </w:rPr>
      </w:pPr>
    </w:p>
    <w:p w14:paraId="3E5507EB"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ru-RU"/>
        </w:rPr>
      </w:pPr>
      <w:r w:rsidRPr="00FE6AC6">
        <w:rPr>
          <w:b/>
          <w:noProof/>
          <w:color w:val="000000"/>
          <w:lang w:val="ru-RU"/>
        </w:rPr>
        <w:t>1.</w:t>
      </w:r>
      <w:r w:rsidRPr="00FE6AC6">
        <w:rPr>
          <w:b/>
          <w:noProof/>
          <w:color w:val="000000"/>
          <w:lang w:val="ru-RU"/>
        </w:rPr>
        <w:tab/>
        <w:t>ИМЕ НА ЛЕКАРСТВЕНИЯ ПРОДУКТ</w:t>
      </w:r>
    </w:p>
    <w:p w14:paraId="3E5507EC" w14:textId="77777777" w:rsidR="00426F49" w:rsidRPr="00FE6AC6" w:rsidRDefault="00426F49" w:rsidP="0063575E">
      <w:pPr>
        <w:widowControl w:val="0"/>
        <w:tabs>
          <w:tab w:val="clear" w:pos="567"/>
        </w:tabs>
        <w:spacing w:line="240" w:lineRule="auto"/>
        <w:rPr>
          <w:noProof/>
          <w:color w:val="000000"/>
          <w:lang w:val="ru-RU"/>
        </w:rPr>
      </w:pPr>
    </w:p>
    <w:p w14:paraId="3E5507ED" w14:textId="77777777" w:rsidR="00426F49" w:rsidRPr="00FE6AC6" w:rsidRDefault="00426F49" w:rsidP="0063575E">
      <w:pPr>
        <w:widowControl w:val="0"/>
        <w:tabs>
          <w:tab w:val="clear" w:pos="567"/>
        </w:tabs>
        <w:spacing w:line="240" w:lineRule="auto"/>
        <w:rPr>
          <w:color w:val="000000"/>
          <w:lang w:val="bg-BG"/>
        </w:rPr>
      </w:pPr>
      <w:r w:rsidRPr="00FE6AC6">
        <w:rPr>
          <w:color w:val="000000"/>
        </w:rPr>
        <w:t>Glivec</w:t>
      </w:r>
      <w:r w:rsidRPr="00FE6AC6">
        <w:rPr>
          <w:color w:val="000000"/>
          <w:lang w:val="bg-BG"/>
        </w:rPr>
        <w:t xml:space="preserve"> 100</w:t>
      </w:r>
      <w:r w:rsidRPr="00FE6AC6">
        <w:rPr>
          <w:color w:val="000000"/>
        </w:rPr>
        <w:t> mg</w:t>
      </w:r>
      <w:r w:rsidRPr="00FE6AC6">
        <w:rPr>
          <w:color w:val="000000"/>
          <w:lang w:val="bg-BG"/>
        </w:rPr>
        <w:t xml:space="preserve"> твърди капсули</w:t>
      </w:r>
    </w:p>
    <w:p w14:paraId="3E5507EE" w14:textId="77777777" w:rsidR="00426F49" w:rsidRPr="00FE6AC6" w:rsidRDefault="00B5235D" w:rsidP="0063575E">
      <w:pPr>
        <w:widowControl w:val="0"/>
        <w:tabs>
          <w:tab w:val="clear" w:pos="567"/>
        </w:tabs>
        <w:spacing w:line="240" w:lineRule="auto"/>
        <w:rPr>
          <w:noProof/>
          <w:color w:val="000000"/>
          <w:lang w:val="bg-BG"/>
        </w:rPr>
      </w:pPr>
      <w:r w:rsidRPr="00FE6AC6">
        <w:rPr>
          <w:color w:val="000000"/>
          <w:lang w:val="bg-BG"/>
        </w:rPr>
        <w:t>и</w:t>
      </w:r>
      <w:r w:rsidR="00426F49" w:rsidRPr="00FE6AC6">
        <w:rPr>
          <w:color w:val="000000"/>
          <w:lang w:val="bg-BG"/>
        </w:rPr>
        <w:t>матиниб</w:t>
      </w:r>
    </w:p>
    <w:p w14:paraId="3E5507EF" w14:textId="77777777" w:rsidR="00426F49" w:rsidRPr="00FE6AC6" w:rsidRDefault="00426F49" w:rsidP="0063575E">
      <w:pPr>
        <w:widowControl w:val="0"/>
        <w:tabs>
          <w:tab w:val="clear" w:pos="567"/>
        </w:tabs>
        <w:spacing w:line="240" w:lineRule="auto"/>
        <w:rPr>
          <w:noProof/>
          <w:color w:val="000000"/>
          <w:lang w:val="bg-BG"/>
        </w:rPr>
      </w:pPr>
    </w:p>
    <w:p w14:paraId="3E5507F0" w14:textId="77777777" w:rsidR="00426F49" w:rsidRPr="00FE6AC6" w:rsidRDefault="00426F49" w:rsidP="0063575E">
      <w:pPr>
        <w:widowControl w:val="0"/>
        <w:tabs>
          <w:tab w:val="clear" w:pos="567"/>
        </w:tabs>
        <w:spacing w:line="240" w:lineRule="auto"/>
        <w:rPr>
          <w:noProof/>
          <w:color w:val="000000"/>
          <w:lang w:val="bg-BG"/>
        </w:rPr>
      </w:pPr>
    </w:p>
    <w:p w14:paraId="3E5507F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color w:val="000000"/>
          <w:lang w:val="bg-BG"/>
        </w:rPr>
      </w:pPr>
      <w:r w:rsidRPr="00FE6AC6">
        <w:rPr>
          <w:b/>
          <w:noProof/>
          <w:color w:val="000000"/>
          <w:lang w:val="bg-BG"/>
        </w:rPr>
        <w:t>2.</w:t>
      </w:r>
      <w:r w:rsidRPr="00FE6AC6">
        <w:rPr>
          <w:b/>
          <w:noProof/>
          <w:color w:val="000000"/>
          <w:lang w:val="bg-BG"/>
        </w:rPr>
        <w:tab/>
        <w:t>ОБЯВЯВАНЕ НА АКТИВНОТО</w:t>
      </w:r>
      <w:r w:rsidR="00CF5AC6" w:rsidRPr="00FE6AC6">
        <w:rPr>
          <w:b/>
          <w:noProof/>
          <w:color w:val="000000"/>
          <w:lang w:val="bg-BG"/>
        </w:rPr>
        <w:t>(</w:t>
      </w:r>
      <w:r w:rsidRPr="00FE6AC6">
        <w:rPr>
          <w:b/>
          <w:noProof/>
          <w:color w:val="000000"/>
          <w:lang w:val="bg-BG"/>
        </w:rPr>
        <w:t>ИТЕ</w:t>
      </w:r>
      <w:r w:rsidR="00CF5AC6" w:rsidRPr="00FE6AC6">
        <w:rPr>
          <w:b/>
          <w:noProof/>
          <w:color w:val="000000"/>
          <w:lang w:val="bg-BG"/>
        </w:rPr>
        <w:t>)</w:t>
      </w:r>
      <w:r w:rsidRPr="00FE6AC6">
        <w:rPr>
          <w:b/>
          <w:noProof/>
          <w:color w:val="000000"/>
          <w:lang w:val="bg-BG"/>
        </w:rPr>
        <w:t xml:space="preserve"> ВЕЩЕСТВ</w:t>
      </w:r>
      <w:r w:rsidR="00CF5AC6" w:rsidRPr="00FE6AC6">
        <w:rPr>
          <w:b/>
          <w:noProof/>
          <w:color w:val="000000"/>
          <w:lang w:val="bg-BG"/>
        </w:rPr>
        <w:t>О(</w:t>
      </w:r>
      <w:r w:rsidRPr="00FE6AC6">
        <w:rPr>
          <w:b/>
          <w:noProof/>
          <w:color w:val="000000"/>
          <w:lang w:val="bg-BG"/>
        </w:rPr>
        <w:t>А</w:t>
      </w:r>
      <w:r w:rsidR="00CF5AC6" w:rsidRPr="00FE6AC6">
        <w:rPr>
          <w:b/>
          <w:noProof/>
          <w:color w:val="000000"/>
          <w:lang w:val="bg-BG"/>
        </w:rPr>
        <w:t>)</w:t>
      </w:r>
    </w:p>
    <w:p w14:paraId="3E5507F2" w14:textId="77777777" w:rsidR="00426F49" w:rsidRPr="00FE6AC6" w:rsidRDefault="00426F49" w:rsidP="0063575E">
      <w:pPr>
        <w:widowControl w:val="0"/>
        <w:tabs>
          <w:tab w:val="clear" w:pos="567"/>
        </w:tabs>
        <w:spacing w:line="240" w:lineRule="auto"/>
        <w:rPr>
          <w:noProof/>
          <w:color w:val="000000"/>
          <w:lang w:val="bg-BG"/>
        </w:rPr>
      </w:pPr>
    </w:p>
    <w:p w14:paraId="3E5507F3" w14:textId="77777777" w:rsidR="00426F49" w:rsidRPr="00FE6AC6" w:rsidRDefault="00426F49" w:rsidP="0063575E">
      <w:pPr>
        <w:pStyle w:val="Text"/>
        <w:widowControl w:val="0"/>
        <w:spacing w:before="0"/>
        <w:jc w:val="left"/>
        <w:rPr>
          <w:color w:val="000000"/>
          <w:sz w:val="22"/>
          <w:lang w:val="bg-BG"/>
        </w:rPr>
      </w:pPr>
      <w:r w:rsidRPr="00FE6AC6">
        <w:rPr>
          <w:color w:val="000000"/>
          <w:sz w:val="22"/>
          <w:lang w:val="bg-BG"/>
        </w:rPr>
        <w:t>Всяка капсула съдържа 100</w:t>
      </w:r>
      <w:r w:rsidRPr="00FE6AC6">
        <w:rPr>
          <w:color w:val="000000"/>
          <w:sz w:val="22"/>
          <w:lang w:val="en-GB"/>
        </w:rPr>
        <w:t> mg</w:t>
      </w:r>
      <w:r w:rsidRPr="00FE6AC6">
        <w:rPr>
          <w:color w:val="000000"/>
          <w:sz w:val="22"/>
          <w:lang w:val="bg-BG"/>
        </w:rPr>
        <w:t xml:space="preserve"> иматиниб (под формата на мезилат).</w:t>
      </w:r>
    </w:p>
    <w:p w14:paraId="3E5507F4" w14:textId="77777777" w:rsidR="00426F49" w:rsidRPr="00FE6AC6" w:rsidRDefault="00426F49" w:rsidP="0063575E">
      <w:pPr>
        <w:widowControl w:val="0"/>
        <w:tabs>
          <w:tab w:val="clear" w:pos="567"/>
        </w:tabs>
        <w:spacing w:line="240" w:lineRule="auto"/>
        <w:rPr>
          <w:noProof/>
          <w:color w:val="000000"/>
          <w:lang w:val="bg-BG"/>
        </w:rPr>
      </w:pPr>
    </w:p>
    <w:p w14:paraId="3E5507F5" w14:textId="77777777" w:rsidR="00426F49" w:rsidRPr="00FE6AC6" w:rsidRDefault="00426F49" w:rsidP="0063575E">
      <w:pPr>
        <w:widowControl w:val="0"/>
        <w:tabs>
          <w:tab w:val="clear" w:pos="567"/>
        </w:tabs>
        <w:spacing w:line="240" w:lineRule="auto"/>
        <w:rPr>
          <w:noProof/>
          <w:color w:val="000000"/>
          <w:lang w:val="bg-BG"/>
        </w:rPr>
      </w:pPr>
    </w:p>
    <w:p w14:paraId="3E5507F6"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3.</w:t>
      </w:r>
      <w:r w:rsidRPr="00FE6AC6">
        <w:rPr>
          <w:b/>
          <w:noProof/>
          <w:color w:val="000000"/>
          <w:lang w:val="bg-BG"/>
        </w:rPr>
        <w:tab/>
        <w:t>СПИСЪК НА ПОМОЩНИТЕ ВЕЩЕСТВА</w:t>
      </w:r>
    </w:p>
    <w:p w14:paraId="3E5507F7" w14:textId="77777777" w:rsidR="00426F49" w:rsidRPr="00FE6AC6" w:rsidRDefault="00426F49" w:rsidP="0063575E">
      <w:pPr>
        <w:widowControl w:val="0"/>
        <w:tabs>
          <w:tab w:val="clear" w:pos="567"/>
        </w:tabs>
        <w:spacing w:line="240" w:lineRule="auto"/>
        <w:rPr>
          <w:noProof/>
          <w:color w:val="000000"/>
          <w:lang w:val="bg-BG"/>
        </w:rPr>
      </w:pPr>
    </w:p>
    <w:p w14:paraId="3E5507F8" w14:textId="77777777" w:rsidR="00426F49" w:rsidRPr="00FE6AC6" w:rsidRDefault="00426F49" w:rsidP="0063575E">
      <w:pPr>
        <w:widowControl w:val="0"/>
        <w:tabs>
          <w:tab w:val="clear" w:pos="567"/>
        </w:tabs>
        <w:spacing w:line="240" w:lineRule="auto"/>
        <w:rPr>
          <w:noProof/>
          <w:color w:val="000000"/>
          <w:lang w:val="bg-BG"/>
        </w:rPr>
      </w:pPr>
    </w:p>
    <w:p w14:paraId="3E5507F9"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4.</w:t>
      </w:r>
      <w:r w:rsidRPr="00FE6AC6">
        <w:rPr>
          <w:b/>
          <w:noProof/>
          <w:color w:val="000000"/>
          <w:lang w:val="bg-BG"/>
        </w:rPr>
        <w:tab/>
        <w:t>ЛЕКАРСТВЕНА ФОРМА И КОЛИЧЕСТВО В ЕДНА ОПАКОВКА</w:t>
      </w:r>
    </w:p>
    <w:p w14:paraId="3E5507FA" w14:textId="77777777" w:rsidR="00426F49" w:rsidRPr="00FE6AC6" w:rsidRDefault="00426F49" w:rsidP="0063575E">
      <w:pPr>
        <w:widowControl w:val="0"/>
        <w:tabs>
          <w:tab w:val="clear" w:pos="567"/>
        </w:tabs>
        <w:spacing w:line="240" w:lineRule="auto"/>
        <w:rPr>
          <w:noProof/>
          <w:color w:val="000000"/>
          <w:lang w:val="bg-BG"/>
        </w:rPr>
      </w:pPr>
    </w:p>
    <w:p w14:paraId="3E5507FB" w14:textId="77777777" w:rsidR="00426F49" w:rsidRPr="00FE6AC6" w:rsidRDefault="00426F49" w:rsidP="0063575E">
      <w:pPr>
        <w:pStyle w:val="EndnoteText"/>
        <w:widowControl w:val="0"/>
        <w:rPr>
          <w:color w:val="000000"/>
          <w:lang w:val="bg-BG"/>
        </w:rPr>
      </w:pPr>
      <w:r w:rsidRPr="00FE6AC6">
        <w:rPr>
          <w:color w:val="000000"/>
          <w:lang w:val="bg-BG"/>
        </w:rPr>
        <w:t>24</w:t>
      </w:r>
      <w:r w:rsidRPr="00FE6AC6">
        <w:rPr>
          <w:color w:val="000000"/>
        </w:rPr>
        <w:t> </w:t>
      </w:r>
      <w:r w:rsidRPr="00FE6AC6">
        <w:rPr>
          <w:noProof/>
          <w:color w:val="000000"/>
          <w:lang w:val="bg-BG"/>
        </w:rPr>
        <w:t>твърди капсули</w:t>
      </w:r>
    </w:p>
    <w:p w14:paraId="3E5507FC" w14:textId="77777777" w:rsidR="00426F49" w:rsidRPr="00FE6AC6" w:rsidRDefault="00426F49" w:rsidP="0063575E">
      <w:pPr>
        <w:widowControl w:val="0"/>
        <w:tabs>
          <w:tab w:val="clear" w:pos="567"/>
        </w:tabs>
        <w:spacing w:line="240" w:lineRule="auto"/>
        <w:rPr>
          <w:color w:val="000000"/>
          <w:shd w:val="clear" w:color="auto" w:fill="D9D9D9"/>
          <w:lang w:val="bg-BG"/>
        </w:rPr>
      </w:pPr>
      <w:r w:rsidRPr="00FE6AC6">
        <w:rPr>
          <w:color w:val="000000"/>
          <w:shd w:val="clear" w:color="auto" w:fill="D9D9D9"/>
          <w:lang w:val="bg-BG"/>
        </w:rPr>
        <w:t>48</w:t>
      </w:r>
      <w:r w:rsidRPr="00FE6AC6">
        <w:rPr>
          <w:color w:val="000000"/>
          <w:shd w:val="clear" w:color="auto" w:fill="D9D9D9"/>
        </w:rPr>
        <w:t> </w:t>
      </w:r>
      <w:r w:rsidRPr="00FE6AC6">
        <w:rPr>
          <w:noProof/>
          <w:color w:val="000000"/>
          <w:shd w:val="clear" w:color="auto" w:fill="D9D9D9"/>
          <w:lang w:val="bg-BG"/>
        </w:rPr>
        <w:t>твърди капсули</w:t>
      </w:r>
    </w:p>
    <w:p w14:paraId="3E5507FD" w14:textId="77777777" w:rsidR="00426F49" w:rsidRPr="00FE6AC6" w:rsidRDefault="00426F49" w:rsidP="0063575E">
      <w:pPr>
        <w:widowControl w:val="0"/>
        <w:tabs>
          <w:tab w:val="clear" w:pos="567"/>
        </w:tabs>
        <w:spacing w:line="240" w:lineRule="auto"/>
        <w:rPr>
          <w:color w:val="000000"/>
          <w:shd w:val="clear" w:color="auto" w:fill="D9D9D9"/>
          <w:lang w:val="bg-BG"/>
        </w:rPr>
      </w:pPr>
      <w:r w:rsidRPr="00FE6AC6">
        <w:rPr>
          <w:color w:val="000000"/>
          <w:shd w:val="clear" w:color="auto" w:fill="D9D9D9"/>
          <w:lang w:val="bg-BG"/>
        </w:rPr>
        <w:t>96</w:t>
      </w:r>
      <w:r w:rsidRPr="00FE6AC6">
        <w:rPr>
          <w:color w:val="000000"/>
          <w:shd w:val="clear" w:color="auto" w:fill="D9D9D9"/>
        </w:rPr>
        <w:t> </w:t>
      </w:r>
      <w:r w:rsidRPr="00FE6AC6">
        <w:rPr>
          <w:noProof/>
          <w:color w:val="000000"/>
          <w:shd w:val="clear" w:color="auto" w:fill="D9D9D9"/>
          <w:lang w:val="bg-BG"/>
        </w:rPr>
        <w:t>твърди капсули</w:t>
      </w:r>
    </w:p>
    <w:p w14:paraId="3E5507FE" w14:textId="77777777" w:rsidR="00426F49" w:rsidRPr="00FE6AC6" w:rsidRDefault="00426F49" w:rsidP="0063575E">
      <w:pPr>
        <w:widowControl w:val="0"/>
        <w:tabs>
          <w:tab w:val="clear" w:pos="567"/>
        </w:tabs>
        <w:spacing w:line="240" w:lineRule="auto"/>
        <w:rPr>
          <w:color w:val="000000"/>
          <w:shd w:val="clear" w:color="auto" w:fill="D9D9D9"/>
          <w:lang w:val="bg-BG"/>
        </w:rPr>
      </w:pPr>
      <w:r w:rsidRPr="00FE6AC6">
        <w:rPr>
          <w:color w:val="000000"/>
          <w:shd w:val="clear" w:color="auto" w:fill="D9D9D9"/>
          <w:lang w:val="bg-BG"/>
        </w:rPr>
        <w:t>120</w:t>
      </w:r>
      <w:r w:rsidRPr="00FE6AC6">
        <w:rPr>
          <w:color w:val="000000"/>
          <w:shd w:val="clear" w:color="auto" w:fill="D9D9D9"/>
        </w:rPr>
        <w:t> </w:t>
      </w:r>
      <w:r w:rsidRPr="00FE6AC6">
        <w:rPr>
          <w:noProof/>
          <w:color w:val="000000"/>
          <w:shd w:val="clear" w:color="auto" w:fill="D9D9D9"/>
          <w:lang w:val="bg-BG"/>
        </w:rPr>
        <w:t>твърди капсули</w:t>
      </w:r>
    </w:p>
    <w:p w14:paraId="3E5507FF" w14:textId="77777777" w:rsidR="00426F49" w:rsidRPr="00FE6AC6" w:rsidRDefault="00426F49" w:rsidP="0063575E">
      <w:pPr>
        <w:widowControl w:val="0"/>
        <w:tabs>
          <w:tab w:val="clear" w:pos="567"/>
        </w:tabs>
        <w:spacing w:line="240" w:lineRule="auto"/>
        <w:rPr>
          <w:color w:val="000000"/>
          <w:shd w:val="clear" w:color="auto" w:fill="D9D9D9"/>
          <w:lang w:val="bg-BG"/>
        </w:rPr>
      </w:pPr>
      <w:r w:rsidRPr="00FE6AC6">
        <w:rPr>
          <w:color w:val="000000"/>
          <w:shd w:val="clear" w:color="auto" w:fill="D9D9D9"/>
          <w:lang w:val="bg-BG"/>
        </w:rPr>
        <w:t>180</w:t>
      </w:r>
      <w:r w:rsidRPr="00FE6AC6">
        <w:rPr>
          <w:color w:val="000000"/>
          <w:shd w:val="clear" w:color="auto" w:fill="D9D9D9"/>
        </w:rPr>
        <w:t> </w:t>
      </w:r>
      <w:r w:rsidRPr="00FE6AC6">
        <w:rPr>
          <w:noProof/>
          <w:color w:val="000000"/>
          <w:shd w:val="clear" w:color="auto" w:fill="D9D9D9"/>
          <w:lang w:val="bg-BG"/>
        </w:rPr>
        <w:t>твърди капсули</w:t>
      </w:r>
    </w:p>
    <w:p w14:paraId="3E550800" w14:textId="77777777" w:rsidR="00426F49" w:rsidRPr="00FE6AC6" w:rsidRDefault="00426F49" w:rsidP="0063575E">
      <w:pPr>
        <w:widowControl w:val="0"/>
        <w:tabs>
          <w:tab w:val="clear" w:pos="567"/>
        </w:tabs>
        <w:spacing w:line="240" w:lineRule="auto"/>
        <w:rPr>
          <w:noProof/>
          <w:color w:val="000000"/>
          <w:lang w:val="bg-BG"/>
        </w:rPr>
      </w:pPr>
    </w:p>
    <w:p w14:paraId="3E550801" w14:textId="77777777" w:rsidR="00426F49" w:rsidRPr="00FE6AC6" w:rsidRDefault="00426F49" w:rsidP="0063575E">
      <w:pPr>
        <w:widowControl w:val="0"/>
        <w:tabs>
          <w:tab w:val="clear" w:pos="567"/>
        </w:tabs>
        <w:spacing w:line="240" w:lineRule="auto"/>
        <w:rPr>
          <w:noProof/>
          <w:color w:val="000000"/>
          <w:lang w:val="bg-BG"/>
        </w:rPr>
      </w:pPr>
    </w:p>
    <w:p w14:paraId="3E550802"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5.</w:t>
      </w:r>
      <w:r w:rsidRPr="00FE6AC6">
        <w:rPr>
          <w:b/>
          <w:noProof/>
          <w:color w:val="000000"/>
          <w:lang w:val="bg-BG"/>
        </w:rPr>
        <w:tab/>
        <w:t>НАЧИН НА ПРИЛ</w:t>
      </w:r>
      <w:r w:rsidR="00785719" w:rsidRPr="00FE6AC6">
        <w:rPr>
          <w:b/>
          <w:noProof/>
          <w:szCs w:val="22"/>
          <w:lang w:val="bg-BG"/>
        </w:rPr>
        <w:t>ОЖЕНИЕ</w:t>
      </w:r>
      <w:r w:rsidRPr="00FE6AC6">
        <w:rPr>
          <w:b/>
          <w:noProof/>
          <w:color w:val="000000"/>
          <w:lang w:val="bg-BG"/>
        </w:rPr>
        <w:t xml:space="preserve"> И ПЪТ</w:t>
      </w:r>
      <w:r w:rsidR="00CF5AC6" w:rsidRPr="00FE6AC6">
        <w:rPr>
          <w:b/>
          <w:noProof/>
          <w:color w:val="000000"/>
          <w:lang w:val="bg-BG"/>
        </w:rPr>
        <w:t>(</w:t>
      </w:r>
      <w:r w:rsidRPr="00FE6AC6">
        <w:rPr>
          <w:b/>
          <w:noProof/>
          <w:color w:val="000000"/>
          <w:lang w:val="bg-BG"/>
        </w:rPr>
        <w:t>ИЩА</w:t>
      </w:r>
      <w:r w:rsidR="00CF5AC6" w:rsidRPr="00FE6AC6">
        <w:rPr>
          <w:b/>
          <w:noProof/>
          <w:color w:val="000000"/>
          <w:lang w:val="bg-BG"/>
        </w:rPr>
        <w:t>)</w:t>
      </w:r>
      <w:r w:rsidRPr="00FE6AC6">
        <w:rPr>
          <w:b/>
          <w:noProof/>
          <w:color w:val="000000"/>
          <w:lang w:val="bg-BG"/>
        </w:rPr>
        <w:t xml:space="preserve"> НА ВЪВЕЖДАНЕ</w:t>
      </w:r>
    </w:p>
    <w:p w14:paraId="3E550803" w14:textId="77777777" w:rsidR="00426F49" w:rsidRPr="00FE6AC6" w:rsidRDefault="00426F49" w:rsidP="0063575E">
      <w:pPr>
        <w:widowControl w:val="0"/>
        <w:tabs>
          <w:tab w:val="clear" w:pos="567"/>
        </w:tabs>
        <w:spacing w:line="240" w:lineRule="auto"/>
        <w:rPr>
          <w:i/>
          <w:noProof/>
          <w:color w:val="000000"/>
          <w:lang w:val="bg-BG"/>
        </w:rPr>
      </w:pPr>
    </w:p>
    <w:p w14:paraId="3E550804"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Перорално приложение. Преди употреба прочетете листовката.</w:t>
      </w:r>
    </w:p>
    <w:p w14:paraId="3E550805" w14:textId="77777777" w:rsidR="00426F49" w:rsidRPr="00FE6AC6" w:rsidRDefault="00426F49" w:rsidP="0063575E">
      <w:pPr>
        <w:widowControl w:val="0"/>
        <w:tabs>
          <w:tab w:val="clear" w:pos="567"/>
        </w:tabs>
        <w:spacing w:line="240" w:lineRule="auto"/>
        <w:rPr>
          <w:noProof/>
          <w:color w:val="000000"/>
          <w:lang w:val="bg-BG"/>
        </w:rPr>
      </w:pPr>
    </w:p>
    <w:p w14:paraId="3E550806" w14:textId="77777777" w:rsidR="00426F49" w:rsidRPr="00FE6AC6" w:rsidRDefault="00426F49" w:rsidP="0063575E">
      <w:pPr>
        <w:widowControl w:val="0"/>
        <w:tabs>
          <w:tab w:val="clear" w:pos="567"/>
        </w:tabs>
        <w:spacing w:line="240" w:lineRule="auto"/>
        <w:rPr>
          <w:noProof/>
          <w:color w:val="000000"/>
          <w:lang w:val="bg-BG"/>
        </w:rPr>
      </w:pPr>
    </w:p>
    <w:p w14:paraId="3E550807"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6.</w:t>
      </w:r>
      <w:r w:rsidRPr="00FE6AC6">
        <w:rPr>
          <w:b/>
          <w:noProof/>
          <w:color w:val="000000"/>
          <w:lang w:val="bg-BG"/>
        </w:rPr>
        <w:tab/>
        <w:t>СПЕЦИАЛНО ПРЕДУПРЕЖДЕНИЕ, ЧЕ ЛЕКАРСТВЕНИЯТ ПРОДУКТ ТРЯБВА ДА СЕ СЪХРАНЯВА НА МЯСТО ДАЛЕЧЕ ОТ ПОГЛЕДА И ДОСЕГА НА ДЕЦА</w:t>
      </w:r>
    </w:p>
    <w:p w14:paraId="3E550808" w14:textId="77777777" w:rsidR="00426F49" w:rsidRPr="00FE6AC6" w:rsidRDefault="00426F49" w:rsidP="0063575E">
      <w:pPr>
        <w:widowControl w:val="0"/>
        <w:tabs>
          <w:tab w:val="clear" w:pos="567"/>
        </w:tabs>
        <w:spacing w:line="240" w:lineRule="auto"/>
        <w:rPr>
          <w:noProof/>
          <w:color w:val="000000"/>
          <w:lang w:val="bg-BG"/>
        </w:rPr>
      </w:pPr>
    </w:p>
    <w:p w14:paraId="3E550809" w14:textId="77777777" w:rsidR="00426F49" w:rsidRPr="00FE6AC6" w:rsidRDefault="00426F49" w:rsidP="0063575E">
      <w:pPr>
        <w:widowControl w:val="0"/>
        <w:tabs>
          <w:tab w:val="clear" w:pos="567"/>
        </w:tabs>
        <w:spacing w:line="240" w:lineRule="auto"/>
        <w:outlineLvl w:val="0"/>
        <w:rPr>
          <w:noProof/>
          <w:color w:val="000000"/>
          <w:lang w:val="bg-BG"/>
        </w:rPr>
      </w:pPr>
      <w:r w:rsidRPr="00FE6AC6">
        <w:rPr>
          <w:noProof/>
          <w:color w:val="000000"/>
          <w:lang w:val="bg-BG"/>
        </w:rPr>
        <w:t>Да се съхранява на място, недостъпно за деца.</w:t>
      </w:r>
    </w:p>
    <w:p w14:paraId="3E55080A" w14:textId="77777777" w:rsidR="00426F49" w:rsidRPr="00FE6AC6" w:rsidRDefault="00426F49" w:rsidP="0063575E">
      <w:pPr>
        <w:widowControl w:val="0"/>
        <w:tabs>
          <w:tab w:val="clear" w:pos="567"/>
        </w:tabs>
        <w:spacing w:line="240" w:lineRule="auto"/>
        <w:rPr>
          <w:noProof/>
          <w:color w:val="000000"/>
          <w:lang w:val="bg-BG"/>
        </w:rPr>
      </w:pPr>
    </w:p>
    <w:p w14:paraId="3E55080B" w14:textId="77777777" w:rsidR="00426F49" w:rsidRPr="00FE6AC6" w:rsidRDefault="00426F49" w:rsidP="0063575E">
      <w:pPr>
        <w:widowControl w:val="0"/>
        <w:tabs>
          <w:tab w:val="clear" w:pos="567"/>
        </w:tabs>
        <w:spacing w:line="240" w:lineRule="auto"/>
        <w:rPr>
          <w:noProof/>
          <w:color w:val="000000"/>
          <w:lang w:val="bg-BG"/>
        </w:rPr>
      </w:pPr>
    </w:p>
    <w:p w14:paraId="3E55080C"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7.</w:t>
      </w:r>
      <w:r w:rsidRPr="00FE6AC6">
        <w:rPr>
          <w:b/>
          <w:noProof/>
          <w:color w:val="000000"/>
          <w:lang w:val="bg-BG"/>
        </w:rPr>
        <w:tab/>
        <w:t>ДРУГИ СПЕЦИАЛНИ ПРЕДУПРЕЖДЕНИЯ, АКО Е НЕОБХОДИМО</w:t>
      </w:r>
    </w:p>
    <w:p w14:paraId="3E55080D" w14:textId="77777777" w:rsidR="00426F49" w:rsidRPr="00FE6AC6" w:rsidRDefault="00426F49" w:rsidP="0063575E">
      <w:pPr>
        <w:widowControl w:val="0"/>
        <w:tabs>
          <w:tab w:val="clear" w:pos="567"/>
        </w:tabs>
        <w:spacing w:line="240" w:lineRule="auto"/>
        <w:rPr>
          <w:noProof/>
          <w:color w:val="000000"/>
          <w:lang w:val="bg-BG"/>
        </w:rPr>
      </w:pPr>
    </w:p>
    <w:p w14:paraId="3E55080E"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Да се използва само, както е указано от лекаря.</w:t>
      </w:r>
    </w:p>
    <w:p w14:paraId="3E55080F" w14:textId="77777777" w:rsidR="00426F49" w:rsidRPr="00FE6AC6" w:rsidRDefault="00426F49" w:rsidP="0063575E">
      <w:pPr>
        <w:widowControl w:val="0"/>
        <w:tabs>
          <w:tab w:val="clear" w:pos="567"/>
        </w:tabs>
        <w:spacing w:line="240" w:lineRule="auto"/>
        <w:rPr>
          <w:noProof/>
          <w:color w:val="000000"/>
          <w:lang w:val="bg-BG"/>
        </w:rPr>
      </w:pPr>
    </w:p>
    <w:p w14:paraId="3E550810" w14:textId="77777777" w:rsidR="00426F49" w:rsidRPr="00FE6AC6" w:rsidRDefault="00426F49" w:rsidP="0063575E">
      <w:pPr>
        <w:widowControl w:val="0"/>
        <w:tabs>
          <w:tab w:val="clear" w:pos="567"/>
        </w:tabs>
        <w:spacing w:line="240" w:lineRule="auto"/>
        <w:rPr>
          <w:noProof/>
          <w:color w:val="000000"/>
          <w:lang w:val="bg-BG"/>
        </w:rPr>
      </w:pPr>
    </w:p>
    <w:p w14:paraId="3E55081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8.</w:t>
      </w:r>
      <w:r w:rsidRPr="00FE6AC6">
        <w:rPr>
          <w:b/>
          <w:noProof/>
          <w:color w:val="000000"/>
          <w:lang w:val="bg-BG"/>
        </w:rPr>
        <w:tab/>
        <w:t>ДАТА НА ИЗТИЧАНЕ НА СРОКА НА ГОДНОСТ</w:t>
      </w:r>
    </w:p>
    <w:p w14:paraId="3E550812" w14:textId="77777777" w:rsidR="00426F49" w:rsidRPr="00FE6AC6" w:rsidRDefault="00426F49" w:rsidP="0063575E">
      <w:pPr>
        <w:widowControl w:val="0"/>
        <w:tabs>
          <w:tab w:val="clear" w:pos="567"/>
        </w:tabs>
        <w:spacing w:line="240" w:lineRule="auto"/>
        <w:rPr>
          <w:noProof/>
          <w:color w:val="000000"/>
          <w:lang w:val="bg-BG"/>
        </w:rPr>
      </w:pPr>
    </w:p>
    <w:p w14:paraId="3E550813"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Годен до:</w:t>
      </w:r>
    </w:p>
    <w:p w14:paraId="3E550814" w14:textId="77777777" w:rsidR="00426F49" w:rsidRPr="00FE6AC6" w:rsidRDefault="00426F49" w:rsidP="0063575E">
      <w:pPr>
        <w:widowControl w:val="0"/>
        <w:tabs>
          <w:tab w:val="clear" w:pos="567"/>
        </w:tabs>
        <w:spacing w:line="240" w:lineRule="auto"/>
        <w:rPr>
          <w:noProof/>
          <w:color w:val="000000"/>
          <w:lang w:val="bg-BG"/>
        </w:rPr>
      </w:pPr>
    </w:p>
    <w:p w14:paraId="3E550815" w14:textId="77777777" w:rsidR="00426F49" w:rsidRPr="00FE6AC6" w:rsidRDefault="00426F49" w:rsidP="0063575E">
      <w:pPr>
        <w:widowControl w:val="0"/>
        <w:tabs>
          <w:tab w:val="clear" w:pos="567"/>
        </w:tabs>
        <w:spacing w:line="240" w:lineRule="auto"/>
        <w:rPr>
          <w:noProof/>
          <w:color w:val="000000"/>
          <w:lang w:val="bg-BG"/>
        </w:rPr>
      </w:pPr>
    </w:p>
    <w:p w14:paraId="3E550816" w14:textId="77777777" w:rsidR="00426F49" w:rsidRPr="00FE6AC6" w:rsidRDefault="00426F49" w:rsidP="0063575E">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9.</w:t>
      </w:r>
      <w:r w:rsidRPr="00FE6AC6">
        <w:rPr>
          <w:b/>
          <w:noProof/>
          <w:color w:val="000000"/>
          <w:lang w:val="bg-BG"/>
        </w:rPr>
        <w:tab/>
        <w:t>СПЕЦИАЛНИ УСЛОВИЯ НА СЪХРАНЕНИЕ</w:t>
      </w:r>
    </w:p>
    <w:p w14:paraId="3E550817" w14:textId="77777777" w:rsidR="00426F49" w:rsidRPr="00FE6AC6" w:rsidRDefault="00426F49" w:rsidP="0063575E">
      <w:pPr>
        <w:keepNext/>
        <w:keepLines/>
        <w:widowControl w:val="0"/>
        <w:tabs>
          <w:tab w:val="clear" w:pos="567"/>
        </w:tabs>
        <w:spacing w:line="240" w:lineRule="auto"/>
        <w:rPr>
          <w:noProof/>
          <w:color w:val="000000"/>
          <w:lang w:val="bg-BG"/>
        </w:rPr>
      </w:pPr>
    </w:p>
    <w:p w14:paraId="3E550818" w14:textId="77777777" w:rsidR="00426F49" w:rsidRPr="00FE6AC6" w:rsidRDefault="00426F49" w:rsidP="0063575E">
      <w:pPr>
        <w:keepNext/>
        <w:keepLines/>
        <w:widowControl w:val="0"/>
        <w:tabs>
          <w:tab w:val="clear" w:pos="567"/>
        </w:tabs>
        <w:spacing w:line="240" w:lineRule="auto"/>
        <w:rPr>
          <w:noProof/>
          <w:color w:val="000000"/>
          <w:lang w:val="bg-BG"/>
        </w:rPr>
      </w:pPr>
      <w:r w:rsidRPr="00FE6AC6">
        <w:rPr>
          <w:noProof/>
          <w:color w:val="000000"/>
          <w:lang w:val="bg-BG"/>
        </w:rPr>
        <w:t xml:space="preserve">Да не се съхранява над </w:t>
      </w:r>
      <w:smartTag w:uri="urn:schemas-microsoft-com:office:smarttags" w:element="metricconverter">
        <w:smartTagPr>
          <w:attr w:name="ProductID" w:val="30ﾰC"/>
        </w:smartTagPr>
        <w:r w:rsidRPr="00FE6AC6">
          <w:rPr>
            <w:noProof/>
            <w:color w:val="000000"/>
            <w:lang w:val="bg-BG"/>
          </w:rPr>
          <w:t>30</w:t>
        </w:r>
        <w:r w:rsidRPr="00FE6AC6">
          <w:rPr>
            <w:color w:val="000000"/>
            <w:lang w:val="bg-BG"/>
          </w:rPr>
          <w:t>°</w:t>
        </w:r>
        <w:r w:rsidRPr="00FE6AC6">
          <w:rPr>
            <w:noProof/>
            <w:color w:val="000000"/>
          </w:rPr>
          <w:t>C</w:t>
        </w:r>
      </w:smartTag>
      <w:r w:rsidRPr="00FE6AC6">
        <w:rPr>
          <w:noProof/>
          <w:color w:val="000000"/>
          <w:lang w:val="bg-BG"/>
        </w:rPr>
        <w:t>. Да се съхранява в оригиналната опаковка, за да се предпази от влага.</w:t>
      </w:r>
    </w:p>
    <w:p w14:paraId="3E550819" w14:textId="77777777" w:rsidR="00426F49" w:rsidRPr="00FE6AC6" w:rsidRDefault="00426F49" w:rsidP="0063575E">
      <w:pPr>
        <w:widowControl w:val="0"/>
        <w:tabs>
          <w:tab w:val="clear" w:pos="567"/>
        </w:tabs>
        <w:spacing w:line="240" w:lineRule="auto"/>
        <w:ind w:left="567" w:hanging="567"/>
        <w:rPr>
          <w:noProof/>
          <w:color w:val="000000"/>
          <w:lang w:val="bg-BG"/>
        </w:rPr>
      </w:pPr>
    </w:p>
    <w:p w14:paraId="3E55081A" w14:textId="77777777" w:rsidR="00426F49" w:rsidRPr="00FE6AC6" w:rsidRDefault="00426F49" w:rsidP="0063575E">
      <w:pPr>
        <w:widowControl w:val="0"/>
        <w:tabs>
          <w:tab w:val="clear" w:pos="567"/>
        </w:tabs>
        <w:spacing w:line="240" w:lineRule="auto"/>
        <w:ind w:left="567" w:hanging="567"/>
        <w:rPr>
          <w:noProof/>
          <w:color w:val="000000"/>
          <w:lang w:val="bg-BG"/>
        </w:rPr>
      </w:pPr>
    </w:p>
    <w:p w14:paraId="3E55081B"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color w:val="000000"/>
          <w:lang w:val="bg-BG"/>
        </w:rPr>
      </w:pPr>
      <w:r w:rsidRPr="00FE6AC6">
        <w:rPr>
          <w:b/>
          <w:noProof/>
          <w:color w:val="000000"/>
          <w:lang w:val="bg-BG"/>
        </w:rPr>
        <w:t>10.</w:t>
      </w:r>
      <w:r w:rsidRPr="00FE6AC6">
        <w:rPr>
          <w:b/>
          <w:noProof/>
          <w:color w:val="000000"/>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3E55081C" w14:textId="77777777" w:rsidR="00426F49" w:rsidRPr="00FE6AC6" w:rsidRDefault="00426F49" w:rsidP="0063575E">
      <w:pPr>
        <w:widowControl w:val="0"/>
        <w:tabs>
          <w:tab w:val="clear" w:pos="567"/>
        </w:tabs>
        <w:spacing w:line="240" w:lineRule="auto"/>
        <w:rPr>
          <w:noProof/>
          <w:color w:val="000000"/>
          <w:lang w:val="bg-BG"/>
        </w:rPr>
      </w:pPr>
    </w:p>
    <w:p w14:paraId="3E55081D" w14:textId="77777777" w:rsidR="00426F49" w:rsidRPr="00FE6AC6" w:rsidRDefault="00426F49" w:rsidP="0063575E">
      <w:pPr>
        <w:widowControl w:val="0"/>
        <w:tabs>
          <w:tab w:val="clear" w:pos="567"/>
        </w:tabs>
        <w:spacing w:line="240" w:lineRule="auto"/>
        <w:rPr>
          <w:noProof/>
          <w:color w:val="000000"/>
          <w:lang w:val="bg-BG"/>
        </w:rPr>
      </w:pPr>
    </w:p>
    <w:p w14:paraId="3E55081E"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color w:val="000000"/>
          <w:lang w:val="bg-BG"/>
        </w:rPr>
      </w:pPr>
      <w:r w:rsidRPr="00FE6AC6">
        <w:rPr>
          <w:b/>
          <w:noProof/>
          <w:color w:val="000000"/>
          <w:lang w:val="bg-BG"/>
        </w:rPr>
        <w:t>11.</w:t>
      </w:r>
      <w:r w:rsidRPr="00FE6AC6">
        <w:rPr>
          <w:b/>
          <w:noProof/>
          <w:color w:val="000000"/>
          <w:lang w:val="bg-BG"/>
        </w:rPr>
        <w:tab/>
        <w:t>ИМЕ И АДРЕС НА ПРИТЕЖАТЕЛЯ НА РАЗРЕШЕНИЕТО ЗА УПОТРЕБА</w:t>
      </w:r>
    </w:p>
    <w:p w14:paraId="3E55081F" w14:textId="77777777" w:rsidR="00426F49" w:rsidRPr="00FE6AC6" w:rsidRDefault="00426F49" w:rsidP="0063575E">
      <w:pPr>
        <w:widowControl w:val="0"/>
        <w:tabs>
          <w:tab w:val="clear" w:pos="567"/>
        </w:tabs>
        <w:spacing w:line="240" w:lineRule="auto"/>
        <w:rPr>
          <w:noProof/>
          <w:color w:val="000000"/>
          <w:lang w:val="bg-BG"/>
        </w:rPr>
      </w:pPr>
    </w:p>
    <w:p w14:paraId="3E550820" w14:textId="77777777" w:rsidR="00426F49" w:rsidRPr="00FE6AC6" w:rsidRDefault="00426F49" w:rsidP="0063575E">
      <w:pPr>
        <w:pStyle w:val="EndnoteText"/>
        <w:widowControl w:val="0"/>
        <w:tabs>
          <w:tab w:val="clear" w:pos="567"/>
        </w:tabs>
        <w:rPr>
          <w:color w:val="000000"/>
        </w:rPr>
      </w:pPr>
      <w:r w:rsidRPr="00FE6AC6">
        <w:rPr>
          <w:color w:val="000000"/>
        </w:rPr>
        <w:t>Novartis Europharm Limited</w:t>
      </w:r>
    </w:p>
    <w:p w14:paraId="3E550821" w14:textId="77777777" w:rsidR="000B10A3" w:rsidRPr="00FE6AC6" w:rsidRDefault="000B10A3" w:rsidP="0063575E">
      <w:pPr>
        <w:keepNext/>
        <w:widowControl w:val="0"/>
        <w:spacing w:line="240" w:lineRule="auto"/>
        <w:rPr>
          <w:color w:val="000000"/>
        </w:rPr>
      </w:pPr>
      <w:r w:rsidRPr="00FE6AC6">
        <w:rPr>
          <w:color w:val="000000"/>
        </w:rPr>
        <w:t>Vista Building</w:t>
      </w:r>
    </w:p>
    <w:p w14:paraId="3E550822" w14:textId="77777777" w:rsidR="000B10A3" w:rsidRPr="00FE6AC6" w:rsidRDefault="000B10A3" w:rsidP="0063575E">
      <w:pPr>
        <w:keepNext/>
        <w:widowControl w:val="0"/>
        <w:spacing w:line="240" w:lineRule="auto"/>
        <w:rPr>
          <w:color w:val="000000"/>
        </w:rPr>
      </w:pPr>
      <w:r w:rsidRPr="00FE6AC6">
        <w:rPr>
          <w:color w:val="000000"/>
        </w:rPr>
        <w:t>Elm Park, Merrion Road</w:t>
      </w:r>
    </w:p>
    <w:p w14:paraId="3E550823" w14:textId="77777777" w:rsidR="000B10A3" w:rsidRPr="00FE6AC6" w:rsidRDefault="000B10A3" w:rsidP="0063575E">
      <w:pPr>
        <w:keepNext/>
        <w:widowControl w:val="0"/>
        <w:spacing w:line="240" w:lineRule="auto"/>
        <w:rPr>
          <w:color w:val="000000"/>
        </w:rPr>
      </w:pPr>
      <w:r w:rsidRPr="00FE6AC6">
        <w:rPr>
          <w:color w:val="000000"/>
        </w:rPr>
        <w:t>Dublin 4</w:t>
      </w:r>
    </w:p>
    <w:p w14:paraId="3E550824" w14:textId="77777777" w:rsidR="000B10A3" w:rsidRPr="00FE6AC6" w:rsidRDefault="000B10A3" w:rsidP="0063575E">
      <w:pPr>
        <w:spacing w:line="240" w:lineRule="auto"/>
        <w:rPr>
          <w:color w:val="000000"/>
        </w:rPr>
      </w:pPr>
      <w:r w:rsidRPr="00FE6AC6">
        <w:rPr>
          <w:color w:val="000000"/>
        </w:rPr>
        <w:t>Ирландия</w:t>
      </w:r>
    </w:p>
    <w:p w14:paraId="3E550825" w14:textId="77777777" w:rsidR="00426F49" w:rsidRPr="00FE6AC6" w:rsidRDefault="00426F49" w:rsidP="0063575E">
      <w:pPr>
        <w:widowControl w:val="0"/>
        <w:tabs>
          <w:tab w:val="clear" w:pos="567"/>
        </w:tabs>
        <w:spacing w:line="240" w:lineRule="auto"/>
        <w:rPr>
          <w:noProof/>
          <w:color w:val="000000"/>
          <w:lang w:val="ru-RU"/>
        </w:rPr>
      </w:pPr>
    </w:p>
    <w:p w14:paraId="3E550826" w14:textId="77777777" w:rsidR="00426F49" w:rsidRPr="00FE6AC6" w:rsidRDefault="00426F49" w:rsidP="0063575E">
      <w:pPr>
        <w:widowControl w:val="0"/>
        <w:tabs>
          <w:tab w:val="clear" w:pos="567"/>
        </w:tabs>
        <w:spacing w:line="240" w:lineRule="auto"/>
        <w:rPr>
          <w:noProof/>
          <w:color w:val="000000"/>
          <w:lang w:val="ru-RU"/>
        </w:rPr>
      </w:pPr>
    </w:p>
    <w:p w14:paraId="3E550827"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color w:val="000000"/>
          <w:lang w:val="ru-RU"/>
        </w:rPr>
      </w:pPr>
      <w:r w:rsidRPr="00FE6AC6">
        <w:rPr>
          <w:b/>
          <w:noProof/>
          <w:color w:val="000000"/>
          <w:lang w:val="ru-RU"/>
        </w:rPr>
        <w:t>12.</w:t>
      </w:r>
      <w:r w:rsidRPr="00FE6AC6">
        <w:rPr>
          <w:b/>
          <w:noProof/>
          <w:color w:val="000000"/>
          <w:lang w:val="ru-RU"/>
        </w:rPr>
        <w:tab/>
        <w:t>НОМЕР(А) НА РАЗРЕШЕНИЕТО ЗА УПОТРЕБА</w:t>
      </w:r>
    </w:p>
    <w:p w14:paraId="3E550828" w14:textId="77777777" w:rsidR="00426F49" w:rsidRPr="00FE6AC6" w:rsidRDefault="00426F49" w:rsidP="0063575E">
      <w:pPr>
        <w:widowControl w:val="0"/>
        <w:tabs>
          <w:tab w:val="clear" w:pos="567"/>
        </w:tabs>
        <w:spacing w:line="240" w:lineRule="auto"/>
        <w:rPr>
          <w:noProof/>
          <w:color w:val="000000"/>
          <w:lang w:val="ru-RU"/>
        </w:rPr>
      </w:pPr>
    </w:p>
    <w:p w14:paraId="3E550829" w14:textId="77777777" w:rsidR="00426F49" w:rsidRPr="00FE6AC6" w:rsidRDefault="00426F49" w:rsidP="0063575E">
      <w:pPr>
        <w:pStyle w:val="EndnoteText"/>
        <w:widowControl w:val="0"/>
        <w:tabs>
          <w:tab w:val="clear" w:pos="567"/>
          <w:tab w:val="left" w:pos="2268"/>
        </w:tabs>
        <w:rPr>
          <w:color w:val="000000"/>
          <w:shd w:val="clear" w:color="auto" w:fill="D9D9D9"/>
          <w:lang w:val="bg-BG"/>
        </w:rPr>
      </w:pPr>
      <w:r w:rsidRPr="00FE6AC6">
        <w:rPr>
          <w:color w:val="000000"/>
        </w:rPr>
        <w:t>EU</w:t>
      </w:r>
      <w:r w:rsidRPr="00FE6AC6">
        <w:rPr>
          <w:color w:val="000000"/>
          <w:lang w:val="ru-RU"/>
        </w:rPr>
        <w:t>/1/01/198/002</w:t>
      </w:r>
      <w:r w:rsidRPr="00FE6AC6">
        <w:rPr>
          <w:color w:val="000000"/>
          <w:lang w:val="ru-RU"/>
        </w:rPr>
        <w:tab/>
      </w:r>
      <w:r w:rsidRPr="00FE6AC6">
        <w:rPr>
          <w:color w:val="000000"/>
          <w:shd w:val="clear" w:color="auto" w:fill="D9D9D9"/>
          <w:lang w:val="ru-RU"/>
        </w:rPr>
        <w:t>24</w:t>
      </w:r>
      <w:r w:rsidRPr="00FE6AC6">
        <w:rPr>
          <w:color w:val="000000"/>
          <w:shd w:val="clear" w:color="auto" w:fill="D9D9D9"/>
        </w:rPr>
        <w:t> </w:t>
      </w:r>
      <w:r w:rsidRPr="00FE6AC6">
        <w:rPr>
          <w:color w:val="000000"/>
          <w:shd w:val="clear" w:color="auto" w:fill="D9D9D9"/>
          <w:lang w:val="bg-BG"/>
        </w:rPr>
        <w:t>капсули</w:t>
      </w:r>
    </w:p>
    <w:p w14:paraId="3E55082A" w14:textId="77777777" w:rsidR="00426F49" w:rsidRPr="00FE6AC6" w:rsidRDefault="00426F49" w:rsidP="0063575E">
      <w:pPr>
        <w:widowControl w:val="0"/>
        <w:tabs>
          <w:tab w:val="clear" w:pos="567"/>
          <w:tab w:val="left" w:pos="2268"/>
        </w:tabs>
        <w:spacing w:line="240" w:lineRule="auto"/>
        <w:rPr>
          <w:color w:val="000000"/>
          <w:shd w:val="clear" w:color="auto" w:fill="D9D9D9"/>
          <w:lang w:val="ru-RU"/>
        </w:rPr>
      </w:pPr>
      <w:r w:rsidRPr="00FE6AC6">
        <w:rPr>
          <w:color w:val="000000"/>
          <w:shd w:val="clear" w:color="auto" w:fill="D9D9D9"/>
        </w:rPr>
        <w:t>EU</w:t>
      </w:r>
      <w:r w:rsidRPr="00FE6AC6">
        <w:rPr>
          <w:color w:val="000000"/>
          <w:shd w:val="clear" w:color="auto" w:fill="D9D9D9"/>
          <w:lang w:val="ru-RU"/>
        </w:rPr>
        <w:t>/1/01/198/003</w:t>
      </w:r>
      <w:r w:rsidRPr="00FE6AC6">
        <w:rPr>
          <w:color w:val="000000"/>
          <w:shd w:val="clear" w:color="auto" w:fill="D9D9D9"/>
          <w:lang w:val="ru-RU"/>
        </w:rPr>
        <w:tab/>
        <w:t>48</w:t>
      </w:r>
      <w:r w:rsidRPr="00FE6AC6">
        <w:rPr>
          <w:color w:val="000000"/>
          <w:shd w:val="clear" w:color="auto" w:fill="D9D9D9"/>
        </w:rPr>
        <w:t> </w:t>
      </w:r>
      <w:r w:rsidRPr="00FE6AC6">
        <w:rPr>
          <w:color w:val="000000"/>
          <w:shd w:val="clear" w:color="auto" w:fill="D9D9D9"/>
          <w:lang w:val="bg-BG"/>
        </w:rPr>
        <w:t>капсули</w:t>
      </w:r>
    </w:p>
    <w:p w14:paraId="3E55082B" w14:textId="77777777" w:rsidR="00426F49" w:rsidRPr="00FE6AC6" w:rsidRDefault="00426F49" w:rsidP="0063575E">
      <w:pPr>
        <w:widowControl w:val="0"/>
        <w:tabs>
          <w:tab w:val="clear" w:pos="567"/>
          <w:tab w:val="left" w:pos="2268"/>
        </w:tabs>
        <w:spacing w:line="240" w:lineRule="auto"/>
        <w:rPr>
          <w:color w:val="000000"/>
          <w:shd w:val="clear" w:color="auto" w:fill="D9D9D9"/>
          <w:lang w:val="ru-RU"/>
        </w:rPr>
      </w:pPr>
      <w:r w:rsidRPr="00FE6AC6">
        <w:rPr>
          <w:color w:val="000000"/>
          <w:shd w:val="clear" w:color="auto" w:fill="D9D9D9"/>
        </w:rPr>
        <w:t>EU</w:t>
      </w:r>
      <w:r w:rsidRPr="00FE6AC6">
        <w:rPr>
          <w:color w:val="000000"/>
          <w:shd w:val="clear" w:color="auto" w:fill="D9D9D9"/>
          <w:lang w:val="ru-RU"/>
        </w:rPr>
        <w:t>/1/01/198/004</w:t>
      </w:r>
      <w:r w:rsidRPr="00FE6AC6">
        <w:rPr>
          <w:color w:val="000000"/>
          <w:shd w:val="clear" w:color="auto" w:fill="D9D9D9"/>
          <w:lang w:val="ru-RU"/>
        </w:rPr>
        <w:tab/>
        <w:t>96</w:t>
      </w:r>
      <w:r w:rsidRPr="00FE6AC6">
        <w:rPr>
          <w:color w:val="000000"/>
          <w:shd w:val="clear" w:color="auto" w:fill="D9D9D9"/>
        </w:rPr>
        <w:t> </w:t>
      </w:r>
      <w:r w:rsidRPr="00FE6AC6">
        <w:rPr>
          <w:color w:val="000000"/>
          <w:shd w:val="clear" w:color="auto" w:fill="D9D9D9"/>
          <w:lang w:val="bg-BG"/>
        </w:rPr>
        <w:t>капсули</w:t>
      </w:r>
    </w:p>
    <w:p w14:paraId="3E55082C" w14:textId="77777777" w:rsidR="00426F49" w:rsidRPr="00FE6AC6" w:rsidRDefault="00426F49" w:rsidP="0063575E">
      <w:pPr>
        <w:widowControl w:val="0"/>
        <w:tabs>
          <w:tab w:val="clear" w:pos="567"/>
          <w:tab w:val="left" w:pos="2268"/>
        </w:tabs>
        <w:spacing w:line="240" w:lineRule="auto"/>
        <w:rPr>
          <w:color w:val="000000"/>
          <w:shd w:val="clear" w:color="auto" w:fill="D9D9D9"/>
          <w:lang w:val="ru-RU"/>
        </w:rPr>
      </w:pPr>
      <w:r w:rsidRPr="00FE6AC6">
        <w:rPr>
          <w:color w:val="000000"/>
          <w:shd w:val="clear" w:color="auto" w:fill="D9D9D9"/>
        </w:rPr>
        <w:t>EU</w:t>
      </w:r>
      <w:r w:rsidRPr="00FE6AC6">
        <w:rPr>
          <w:color w:val="000000"/>
          <w:shd w:val="clear" w:color="auto" w:fill="D9D9D9"/>
          <w:lang w:val="ru-RU"/>
        </w:rPr>
        <w:t>/1/01/198/005</w:t>
      </w:r>
      <w:r w:rsidRPr="00FE6AC6">
        <w:rPr>
          <w:color w:val="000000"/>
          <w:shd w:val="clear" w:color="auto" w:fill="D9D9D9"/>
          <w:lang w:val="ru-RU"/>
        </w:rPr>
        <w:tab/>
        <w:t>120</w:t>
      </w:r>
      <w:r w:rsidRPr="00FE6AC6">
        <w:rPr>
          <w:color w:val="000000"/>
          <w:shd w:val="clear" w:color="auto" w:fill="D9D9D9"/>
        </w:rPr>
        <w:t> </w:t>
      </w:r>
      <w:r w:rsidRPr="00FE6AC6">
        <w:rPr>
          <w:color w:val="000000"/>
          <w:shd w:val="clear" w:color="auto" w:fill="D9D9D9"/>
          <w:lang w:val="bg-BG"/>
        </w:rPr>
        <w:t>капсули</w:t>
      </w:r>
    </w:p>
    <w:p w14:paraId="3E55082D" w14:textId="77777777" w:rsidR="00426F49" w:rsidRPr="00FE6AC6" w:rsidRDefault="00426F49" w:rsidP="0063575E">
      <w:pPr>
        <w:widowControl w:val="0"/>
        <w:tabs>
          <w:tab w:val="clear" w:pos="567"/>
          <w:tab w:val="left" w:pos="2268"/>
        </w:tabs>
        <w:spacing w:line="240" w:lineRule="auto"/>
        <w:rPr>
          <w:color w:val="000000"/>
          <w:shd w:val="clear" w:color="auto" w:fill="D9D9D9"/>
          <w:lang w:val="ru-RU"/>
        </w:rPr>
      </w:pPr>
      <w:r w:rsidRPr="00FE6AC6">
        <w:rPr>
          <w:color w:val="000000"/>
          <w:shd w:val="clear" w:color="auto" w:fill="D9D9D9"/>
        </w:rPr>
        <w:t>EU</w:t>
      </w:r>
      <w:r w:rsidRPr="00FE6AC6">
        <w:rPr>
          <w:color w:val="000000"/>
          <w:shd w:val="clear" w:color="auto" w:fill="D9D9D9"/>
          <w:lang w:val="ru-RU"/>
        </w:rPr>
        <w:t>/1/01/198/006</w:t>
      </w:r>
      <w:r w:rsidRPr="00FE6AC6">
        <w:rPr>
          <w:color w:val="000000"/>
          <w:shd w:val="clear" w:color="auto" w:fill="D9D9D9"/>
          <w:lang w:val="ru-RU"/>
        </w:rPr>
        <w:tab/>
        <w:t>180</w:t>
      </w:r>
      <w:r w:rsidRPr="00FE6AC6">
        <w:rPr>
          <w:color w:val="000000"/>
          <w:shd w:val="clear" w:color="auto" w:fill="D9D9D9"/>
        </w:rPr>
        <w:t> </w:t>
      </w:r>
      <w:r w:rsidRPr="00FE6AC6">
        <w:rPr>
          <w:color w:val="000000"/>
          <w:shd w:val="clear" w:color="auto" w:fill="D9D9D9"/>
          <w:lang w:val="bg-BG"/>
        </w:rPr>
        <w:t>капсули</w:t>
      </w:r>
    </w:p>
    <w:p w14:paraId="3E55082E" w14:textId="77777777" w:rsidR="00426F49" w:rsidRPr="00FE6AC6" w:rsidRDefault="00426F49" w:rsidP="0063575E">
      <w:pPr>
        <w:widowControl w:val="0"/>
        <w:tabs>
          <w:tab w:val="clear" w:pos="567"/>
        </w:tabs>
        <w:spacing w:line="240" w:lineRule="auto"/>
        <w:rPr>
          <w:noProof/>
          <w:color w:val="000000"/>
          <w:lang w:val="bg-BG"/>
        </w:rPr>
      </w:pPr>
    </w:p>
    <w:p w14:paraId="3E55082F" w14:textId="77777777" w:rsidR="00426F49" w:rsidRPr="00FE6AC6" w:rsidRDefault="00426F49" w:rsidP="0063575E">
      <w:pPr>
        <w:widowControl w:val="0"/>
        <w:tabs>
          <w:tab w:val="clear" w:pos="567"/>
        </w:tabs>
        <w:spacing w:line="240" w:lineRule="auto"/>
        <w:rPr>
          <w:noProof/>
          <w:color w:val="000000"/>
          <w:lang w:val="bg-BG"/>
        </w:rPr>
      </w:pPr>
    </w:p>
    <w:p w14:paraId="3E550830"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13.</w:t>
      </w:r>
      <w:r w:rsidRPr="00FE6AC6">
        <w:rPr>
          <w:b/>
          <w:noProof/>
          <w:color w:val="000000"/>
          <w:lang w:val="bg-BG"/>
        </w:rPr>
        <w:tab/>
        <w:t>ПАРТИДЕН НОМЕР</w:t>
      </w:r>
    </w:p>
    <w:p w14:paraId="3E550831" w14:textId="77777777" w:rsidR="00426F49" w:rsidRPr="00FE6AC6" w:rsidRDefault="00426F49" w:rsidP="0063575E">
      <w:pPr>
        <w:widowControl w:val="0"/>
        <w:tabs>
          <w:tab w:val="clear" w:pos="567"/>
        </w:tabs>
        <w:spacing w:line="240" w:lineRule="auto"/>
        <w:rPr>
          <w:noProof/>
          <w:color w:val="000000"/>
          <w:lang w:val="bg-BG"/>
        </w:rPr>
      </w:pPr>
    </w:p>
    <w:p w14:paraId="3E550832"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Партиден №</w:t>
      </w:r>
    </w:p>
    <w:p w14:paraId="3E550833" w14:textId="77777777" w:rsidR="00426F49" w:rsidRPr="00FE6AC6" w:rsidRDefault="00426F49" w:rsidP="0063575E">
      <w:pPr>
        <w:widowControl w:val="0"/>
        <w:tabs>
          <w:tab w:val="clear" w:pos="567"/>
        </w:tabs>
        <w:spacing w:line="240" w:lineRule="auto"/>
        <w:rPr>
          <w:noProof/>
          <w:color w:val="000000"/>
          <w:lang w:val="bg-BG"/>
        </w:rPr>
      </w:pPr>
    </w:p>
    <w:p w14:paraId="3E550834" w14:textId="77777777" w:rsidR="00426F49" w:rsidRPr="00FE6AC6" w:rsidRDefault="00426F49" w:rsidP="0063575E">
      <w:pPr>
        <w:widowControl w:val="0"/>
        <w:tabs>
          <w:tab w:val="clear" w:pos="567"/>
        </w:tabs>
        <w:spacing w:line="240" w:lineRule="auto"/>
        <w:rPr>
          <w:noProof/>
          <w:color w:val="000000"/>
          <w:lang w:val="bg-BG"/>
        </w:rPr>
      </w:pPr>
    </w:p>
    <w:p w14:paraId="3E550835"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14.</w:t>
      </w:r>
      <w:r w:rsidRPr="00FE6AC6">
        <w:rPr>
          <w:b/>
          <w:noProof/>
          <w:color w:val="000000"/>
          <w:lang w:val="bg-BG"/>
        </w:rPr>
        <w:tab/>
        <w:t>НАЧИН НА ОТПУСКАНЕ</w:t>
      </w:r>
    </w:p>
    <w:p w14:paraId="3E550836" w14:textId="77777777" w:rsidR="00426F49" w:rsidRPr="00FE6AC6" w:rsidRDefault="00426F49" w:rsidP="0063575E">
      <w:pPr>
        <w:widowControl w:val="0"/>
        <w:tabs>
          <w:tab w:val="clear" w:pos="567"/>
        </w:tabs>
        <w:spacing w:line="240" w:lineRule="auto"/>
        <w:rPr>
          <w:noProof/>
          <w:color w:val="000000"/>
          <w:lang w:val="bg-BG"/>
        </w:rPr>
      </w:pPr>
    </w:p>
    <w:p w14:paraId="3E550837" w14:textId="77777777" w:rsidR="00426F49" w:rsidRPr="00FE6AC6" w:rsidRDefault="00426F49" w:rsidP="0063575E">
      <w:pPr>
        <w:widowControl w:val="0"/>
        <w:tabs>
          <w:tab w:val="clear" w:pos="567"/>
        </w:tabs>
        <w:spacing w:line="240" w:lineRule="auto"/>
        <w:rPr>
          <w:noProof/>
          <w:color w:val="000000"/>
          <w:lang w:val="bg-BG"/>
        </w:rPr>
      </w:pPr>
    </w:p>
    <w:p w14:paraId="3E550838"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15.</w:t>
      </w:r>
      <w:r w:rsidRPr="00FE6AC6">
        <w:rPr>
          <w:b/>
          <w:noProof/>
          <w:color w:val="000000"/>
          <w:lang w:val="bg-BG"/>
        </w:rPr>
        <w:tab/>
        <w:t>УКАЗАНИЯ ЗА УПОТРЕБА</w:t>
      </w:r>
    </w:p>
    <w:p w14:paraId="3E550839" w14:textId="77777777" w:rsidR="00426F49" w:rsidRPr="00FE6AC6" w:rsidRDefault="00426F49" w:rsidP="0063575E">
      <w:pPr>
        <w:widowControl w:val="0"/>
        <w:tabs>
          <w:tab w:val="clear" w:pos="567"/>
        </w:tabs>
        <w:spacing w:line="240" w:lineRule="auto"/>
        <w:rPr>
          <w:noProof/>
          <w:color w:val="000000"/>
          <w:lang w:val="bg-BG"/>
        </w:rPr>
      </w:pPr>
    </w:p>
    <w:p w14:paraId="3E55083A" w14:textId="77777777" w:rsidR="00426F49" w:rsidRPr="00FE6AC6" w:rsidRDefault="00426F49" w:rsidP="0063575E">
      <w:pPr>
        <w:widowControl w:val="0"/>
        <w:tabs>
          <w:tab w:val="clear" w:pos="567"/>
        </w:tabs>
        <w:spacing w:line="240" w:lineRule="auto"/>
        <w:rPr>
          <w:noProof/>
          <w:color w:val="000000"/>
          <w:lang w:val="bg-BG"/>
        </w:rPr>
      </w:pPr>
    </w:p>
    <w:p w14:paraId="3E55083B"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16.</w:t>
      </w:r>
      <w:r w:rsidRPr="00FE6AC6">
        <w:rPr>
          <w:b/>
          <w:noProof/>
          <w:color w:val="000000"/>
          <w:lang w:val="bg-BG"/>
        </w:rPr>
        <w:tab/>
        <w:t>ИНФОРМАЦИЯ НА БРАЙЛОВА АЗБУКА</w:t>
      </w:r>
    </w:p>
    <w:p w14:paraId="3E55083C" w14:textId="77777777" w:rsidR="00426F49" w:rsidRPr="00FE6AC6" w:rsidRDefault="00426F49" w:rsidP="0063575E">
      <w:pPr>
        <w:widowControl w:val="0"/>
        <w:tabs>
          <w:tab w:val="clear" w:pos="567"/>
        </w:tabs>
        <w:spacing w:line="240" w:lineRule="auto"/>
        <w:rPr>
          <w:noProof/>
          <w:color w:val="000000"/>
          <w:lang w:val="bg-BG"/>
        </w:rPr>
      </w:pPr>
    </w:p>
    <w:p w14:paraId="3E55083D" w14:textId="77777777" w:rsidR="00426F49" w:rsidRPr="00FE6AC6" w:rsidRDefault="00426F49" w:rsidP="0063575E">
      <w:pPr>
        <w:widowControl w:val="0"/>
        <w:tabs>
          <w:tab w:val="clear" w:pos="567"/>
        </w:tabs>
        <w:spacing w:line="240" w:lineRule="auto"/>
        <w:rPr>
          <w:color w:val="000000"/>
          <w:lang w:val="ru-RU"/>
        </w:rPr>
      </w:pPr>
      <w:r w:rsidRPr="00FE6AC6">
        <w:rPr>
          <w:color w:val="000000"/>
        </w:rPr>
        <w:t>Glivec</w:t>
      </w:r>
      <w:r w:rsidRPr="00FE6AC6">
        <w:rPr>
          <w:color w:val="000000"/>
          <w:lang w:val="ru-RU"/>
        </w:rPr>
        <w:t xml:space="preserve"> 100</w:t>
      </w:r>
      <w:r w:rsidRPr="00FE6AC6">
        <w:rPr>
          <w:color w:val="000000"/>
        </w:rPr>
        <w:t> mg</w:t>
      </w:r>
    </w:p>
    <w:p w14:paraId="3E55083E" w14:textId="77777777" w:rsidR="00426F49" w:rsidRPr="00FE6AC6" w:rsidRDefault="00426F49" w:rsidP="0063575E">
      <w:pPr>
        <w:widowControl w:val="0"/>
        <w:tabs>
          <w:tab w:val="clear" w:pos="567"/>
        </w:tabs>
        <w:spacing w:line="240" w:lineRule="auto"/>
        <w:rPr>
          <w:noProof/>
          <w:color w:val="000000"/>
          <w:lang w:val="bg-BG"/>
        </w:rPr>
      </w:pPr>
    </w:p>
    <w:p w14:paraId="3E55083F" w14:textId="77777777" w:rsidR="00785719" w:rsidRPr="00FE6AC6" w:rsidRDefault="00785719" w:rsidP="0063575E">
      <w:pPr>
        <w:widowControl w:val="0"/>
        <w:tabs>
          <w:tab w:val="clear" w:pos="567"/>
        </w:tabs>
        <w:spacing w:line="240" w:lineRule="auto"/>
        <w:rPr>
          <w:szCs w:val="22"/>
          <w:lang w:val="bg-BG"/>
        </w:rPr>
      </w:pPr>
    </w:p>
    <w:p w14:paraId="3E550840" w14:textId="77777777" w:rsidR="00785719" w:rsidRPr="00FE6AC6" w:rsidRDefault="0078571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bg-BG"/>
        </w:rPr>
      </w:pPr>
      <w:r w:rsidRPr="00FE6AC6">
        <w:rPr>
          <w:b/>
          <w:noProof/>
          <w:lang w:val="bg-BG"/>
        </w:rPr>
        <w:t>17.</w:t>
      </w:r>
      <w:r w:rsidRPr="00FE6AC6">
        <w:rPr>
          <w:b/>
          <w:noProof/>
          <w:lang w:val="bg-BG"/>
        </w:rPr>
        <w:tab/>
        <w:t>УНИКАЛЕН ИДЕНТИФИКАТОР — ДВУИЗМЕРЕН БАРКОД</w:t>
      </w:r>
    </w:p>
    <w:p w14:paraId="3E550841" w14:textId="77777777" w:rsidR="00785719" w:rsidRPr="00FE6AC6" w:rsidRDefault="00785719" w:rsidP="0063575E">
      <w:pPr>
        <w:widowControl w:val="0"/>
        <w:tabs>
          <w:tab w:val="clear" w:pos="567"/>
        </w:tabs>
        <w:spacing w:line="240" w:lineRule="auto"/>
        <w:rPr>
          <w:noProof/>
          <w:lang w:val="bg-BG"/>
        </w:rPr>
      </w:pPr>
    </w:p>
    <w:p w14:paraId="3E550842" w14:textId="77777777" w:rsidR="00785719" w:rsidRPr="00FE6AC6" w:rsidRDefault="00785719" w:rsidP="0063575E">
      <w:pPr>
        <w:widowControl w:val="0"/>
        <w:tabs>
          <w:tab w:val="clear" w:pos="567"/>
        </w:tabs>
        <w:spacing w:line="240" w:lineRule="auto"/>
        <w:rPr>
          <w:noProof/>
          <w:szCs w:val="22"/>
          <w:shd w:val="clear" w:color="auto" w:fill="CCCCCC"/>
          <w:lang w:val="bg-BG"/>
        </w:rPr>
      </w:pPr>
      <w:r w:rsidRPr="00FE6AC6">
        <w:rPr>
          <w:noProof/>
          <w:shd w:val="pct15" w:color="auto" w:fill="auto"/>
          <w:lang w:val="bg-BG"/>
        </w:rPr>
        <w:t>Двуизмерен баркод с включен уникален идентификатор</w:t>
      </w:r>
    </w:p>
    <w:p w14:paraId="3E550843" w14:textId="77777777" w:rsidR="00785719" w:rsidRPr="00FE6AC6" w:rsidRDefault="00785719" w:rsidP="0063575E">
      <w:pPr>
        <w:widowControl w:val="0"/>
        <w:tabs>
          <w:tab w:val="clear" w:pos="567"/>
        </w:tabs>
        <w:spacing w:line="240" w:lineRule="auto"/>
        <w:rPr>
          <w:noProof/>
          <w:szCs w:val="22"/>
          <w:shd w:val="clear" w:color="auto" w:fill="CCCCCC"/>
          <w:lang w:val="bg-BG"/>
        </w:rPr>
      </w:pPr>
    </w:p>
    <w:p w14:paraId="3E550844" w14:textId="77777777" w:rsidR="00785719" w:rsidRPr="00FE6AC6" w:rsidRDefault="00785719" w:rsidP="0063575E">
      <w:pPr>
        <w:widowControl w:val="0"/>
        <w:tabs>
          <w:tab w:val="clear" w:pos="567"/>
        </w:tabs>
        <w:spacing w:line="240" w:lineRule="auto"/>
        <w:rPr>
          <w:noProof/>
          <w:lang w:val="bg-BG"/>
        </w:rPr>
      </w:pPr>
    </w:p>
    <w:p w14:paraId="3E550845" w14:textId="77777777" w:rsidR="00785719" w:rsidRPr="00FE6AC6" w:rsidRDefault="00785719" w:rsidP="0063575E">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bg-BG"/>
        </w:rPr>
      </w:pPr>
      <w:r w:rsidRPr="00FE6AC6">
        <w:rPr>
          <w:b/>
          <w:noProof/>
          <w:lang w:val="bg-BG"/>
        </w:rPr>
        <w:t>18.</w:t>
      </w:r>
      <w:r w:rsidRPr="00FE6AC6">
        <w:rPr>
          <w:b/>
          <w:noProof/>
          <w:lang w:val="bg-BG"/>
        </w:rPr>
        <w:tab/>
        <w:t>УНИКАЛЕН ИДЕНТИФИКАТОР — ДАННИ ЗА ЧЕТЕНЕ ОТ ХОРА</w:t>
      </w:r>
    </w:p>
    <w:p w14:paraId="3E550846" w14:textId="77777777" w:rsidR="00785719" w:rsidRPr="00FE6AC6" w:rsidRDefault="00785719" w:rsidP="0063575E">
      <w:pPr>
        <w:keepNext/>
        <w:keepLines/>
        <w:widowControl w:val="0"/>
        <w:tabs>
          <w:tab w:val="clear" w:pos="567"/>
        </w:tabs>
        <w:spacing w:line="240" w:lineRule="auto"/>
        <w:rPr>
          <w:noProof/>
          <w:lang w:val="bg-BG"/>
        </w:rPr>
      </w:pPr>
    </w:p>
    <w:p w14:paraId="3E550847" w14:textId="77777777" w:rsidR="00785719" w:rsidRPr="00FE6AC6" w:rsidRDefault="00785719" w:rsidP="0063575E">
      <w:pPr>
        <w:keepNext/>
        <w:keepLines/>
        <w:widowControl w:val="0"/>
        <w:tabs>
          <w:tab w:val="clear" w:pos="567"/>
        </w:tabs>
        <w:spacing w:line="240" w:lineRule="auto"/>
        <w:rPr>
          <w:szCs w:val="22"/>
          <w:lang w:val="bg-BG"/>
        </w:rPr>
      </w:pPr>
      <w:r w:rsidRPr="00FE6AC6">
        <w:t>PC</w:t>
      </w:r>
      <w:r w:rsidRPr="00FE6AC6">
        <w:rPr>
          <w:lang w:val="bg-BG"/>
        </w:rPr>
        <w:t>:</w:t>
      </w:r>
    </w:p>
    <w:p w14:paraId="3E550848" w14:textId="77777777" w:rsidR="00785719" w:rsidRPr="00FE6AC6" w:rsidRDefault="00785719" w:rsidP="0063575E">
      <w:pPr>
        <w:keepNext/>
        <w:keepLines/>
        <w:widowControl w:val="0"/>
        <w:tabs>
          <w:tab w:val="clear" w:pos="567"/>
        </w:tabs>
        <w:spacing w:line="240" w:lineRule="auto"/>
        <w:rPr>
          <w:szCs w:val="22"/>
          <w:lang w:val="bg-BG"/>
        </w:rPr>
      </w:pPr>
      <w:r w:rsidRPr="00FE6AC6">
        <w:t>SN</w:t>
      </w:r>
      <w:r w:rsidRPr="00FE6AC6">
        <w:rPr>
          <w:lang w:val="bg-BG"/>
        </w:rPr>
        <w:t>:</w:t>
      </w:r>
    </w:p>
    <w:p w14:paraId="3E550849" w14:textId="77777777" w:rsidR="00426F49" w:rsidRPr="00FE6AC6" w:rsidRDefault="00785719" w:rsidP="0063575E">
      <w:pPr>
        <w:keepNext/>
        <w:keepLines/>
        <w:widowControl w:val="0"/>
        <w:tabs>
          <w:tab w:val="clear" w:pos="567"/>
        </w:tabs>
        <w:spacing w:line="240" w:lineRule="auto"/>
        <w:rPr>
          <w:noProof/>
          <w:color w:val="000000"/>
          <w:lang w:val="bg-BG"/>
        </w:rPr>
      </w:pPr>
      <w:r w:rsidRPr="00FE6AC6">
        <w:t>NN</w:t>
      </w:r>
      <w:r w:rsidRPr="00FE6AC6">
        <w:rPr>
          <w:lang w:val="bg-BG"/>
        </w:rPr>
        <w:t>:</w:t>
      </w:r>
    </w:p>
    <w:p w14:paraId="3E55084A" w14:textId="77777777" w:rsidR="00426F49" w:rsidRPr="00FE6AC6" w:rsidRDefault="00426F49" w:rsidP="0063575E">
      <w:pPr>
        <w:widowControl w:val="0"/>
        <w:spacing w:line="240" w:lineRule="auto"/>
        <w:rPr>
          <w:noProof/>
          <w:color w:val="000000"/>
          <w:lang w:val="bg-BG"/>
        </w:rPr>
      </w:pPr>
      <w:r w:rsidRPr="00FE6AC6">
        <w:rPr>
          <w:b/>
          <w:noProof/>
          <w:color w:val="000000"/>
          <w:lang w:val="bg-BG"/>
        </w:rPr>
        <w:br w:type="page"/>
      </w:r>
    </w:p>
    <w:p w14:paraId="3E55084B" w14:textId="77777777" w:rsidR="00572F70" w:rsidRPr="00572F70" w:rsidRDefault="00572F70" w:rsidP="00572F70">
      <w:pPr>
        <w:widowControl w:val="0"/>
        <w:spacing w:line="240" w:lineRule="auto"/>
        <w:rPr>
          <w:noProof/>
          <w:color w:val="000000"/>
          <w:lang w:val="ru-RU"/>
        </w:rPr>
      </w:pPr>
    </w:p>
    <w:p w14:paraId="3E55084C"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b/>
          <w:noProof/>
          <w:color w:val="000000"/>
          <w:lang w:val="ru-RU"/>
        </w:rPr>
      </w:pPr>
      <w:r w:rsidRPr="00FE6AC6">
        <w:rPr>
          <w:b/>
          <w:noProof/>
          <w:color w:val="000000"/>
          <w:lang w:val="ru-RU"/>
        </w:rPr>
        <w:t>МИНИМУМ ДАННИ, КОИТО ТРЯБВА ДА СЪДЪРЖАТ БЛИСТЕРИТЕ И ЛЕНТИТЕ</w:t>
      </w:r>
    </w:p>
    <w:p w14:paraId="3E55084D"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noProof/>
          <w:color w:val="000000"/>
          <w:lang w:val="ru-RU"/>
        </w:rPr>
      </w:pPr>
    </w:p>
    <w:p w14:paraId="3E55084E"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b/>
          <w:noProof/>
          <w:color w:val="000000"/>
          <w:lang w:val="ru-RU"/>
        </w:rPr>
      </w:pPr>
      <w:r w:rsidRPr="00FE6AC6">
        <w:rPr>
          <w:b/>
          <w:noProof/>
          <w:color w:val="000000"/>
          <w:lang w:val="ru-RU"/>
        </w:rPr>
        <w:t>БЛИСТЕРИ</w:t>
      </w:r>
    </w:p>
    <w:p w14:paraId="3E55084F" w14:textId="77777777" w:rsidR="00426F49" w:rsidRPr="00FE6AC6" w:rsidRDefault="00426F49" w:rsidP="0063575E">
      <w:pPr>
        <w:widowControl w:val="0"/>
        <w:tabs>
          <w:tab w:val="clear" w:pos="567"/>
        </w:tabs>
        <w:spacing w:line="240" w:lineRule="auto"/>
        <w:rPr>
          <w:noProof/>
          <w:color w:val="000000"/>
          <w:lang w:val="ru-RU"/>
        </w:rPr>
      </w:pPr>
    </w:p>
    <w:p w14:paraId="3E550850" w14:textId="77777777" w:rsidR="00426F49" w:rsidRPr="00FE6AC6" w:rsidRDefault="00426F49" w:rsidP="0063575E">
      <w:pPr>
        <w:widowControl w:val="0"/>
        <w:tabs>
          <w:tab w:val="clear" w:pos="567"/>
        </w:tabs>
        <w:spacing w:line="240" w:lineRule="auto"/>
        <w:rPr>
          <w:noProof/>
          <w:color w:val="000000"/>
          <w:lang w:val="ru-RU"/>
        </w:rPr>
      </w:pPr>
    </w:p>
    <w:p w14:paraId="3E55085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1.</w:t>
      </w:r>
      <w:r w:rsidRPr="00FE6AC6">
        <w:rPr>
          <w:b/>
          <w:noProof/>
          <w:color w:val="000000"/>
          <w:lang w:val="ru-RU"/>
        </w:rPr>
        <w:tab/>
        <w:t>ИМЕ НА ЛЕКАРСТВЕНИЯ ПРОДУКТ</w:t>
      </w:r>
    </w:p>
    <w:p w14:paraId="3E550852" w14:textId="77777777" w:rsidR="00426F49" w:rsidRPr="00FE6AC6" w:rsidRDefault="00426F49" w:rsidP="0063575E">
      <w:pPr>
        <w:widowControl w:val="0"/>
        <w:tabs>
          <w:tab w:val="clear" w:pos="567"/>
        </w:tabs>
        <w:spacing w:line="240" w:lineRule="auto"/>
        <w:ind w:left="567" w:hanging="567"/>
        <w:rPr>
          <w:noProof/>
          <w:color w:val="000000"/>
          <w:lang w:val="ru-RU"/>
        </w:rPr>
      </w:pPr>
    </w:p>
    <w:p w14:paraId="3E550853" w14:textId="77777777" w:rsidR="00426F49" w:rsidRPr="00FE6AC6" w:rsidRDefault="00426F49" w:rsidP="0063575E">
      <w:pPr>
        <w:widowControl w:val="0"/>
        <w:tabs>
          <w:tab w:val="clear" w:pos="567"/>
        </w:tabs>
        <w:spacing w:line="240" w:lineRule="auto"/>
        <w:rPr>
          <w:color w:val="000000"/>
          <w:lang w:val="bg-BG"/>
        </w:rPr>
      </w:pPr>
      <w:r w:rsidRPr="00FE6AC6">
        <w:rPr>
          <w:color w:val="000000"/>
        </w:rPr>
        <w:t>Glivec</w:t>
      </w:r>
      <w:r w:rsidRPr="00FE6AC6">
        <w:rPr>
          <w:color w:val="000000"/>
          <w:lang w:val="ru-RU"/>
        </w:rPr>
        <w:t xml:space="preserve"> 100</w:t>
      </w:r>
      <w:r w:rsidRPr="00FE6AC6">
        <w:rPr>
          <w:color w:val="000000"/>
        </w:rPr>
        <w:t> mg</w:t>
      </w:r>
      <w:r w:rsidRPr="00FE6AC6">
        <w:rPr>
          <w:color w:val="000000"/>
          <w:lang w:val="ru-RU"/>
        </w:rPr>
        <w:t xml:space="preserve"> </w:t>
      </w:r>
      <w:r w:rsidRPr="00FE6AC6">
        <w:rPr>
          <w:color w:val="000000"/>
          <w:lang w:val="bg-BG"/>
        </w:rPr>
        <w:t>капсули</w:t>
      </w:r>
    </w:p>
    <w:p w14:paraId="3E550854" w14:textId="77777777" w:rsidR="00426F49" w:rsidRPr="00FE6AC6" w:rsidRDefault="00B5235D" w:rsidP="0063575E">
      <w:pPr>
        <w:widowControl w:val="0"/>
        <w:tabs>
          <w:tab w:val="clear" w:pos="567"/>
        </w:tabs>
        <w:spacing w:line="240" w:lineRule="auto"/>
        <w:rPr>
          <w:noProof/>
          <w:color w:val="000000"/>
          <w:lang w:val="bg-BG"/>
        </w:rPr>
      </w:pPr>
      <w:r w:rsidRPr="00FE6AC6">
        <w:rPr>
          <w:color w:val="000000"/>
          <w:lang w:val="bg-BG"/>
        </w:rPr>
        <w:t>и</w:t>
      </w:r>
      <w:r w:rsidR="00426F49" w:rsidRPr="00FE6AC6">
        <w:rPr>
          <w:color w:val="000000"/>
          <w:lang w:val="bg-BG"/>
        </w:rPr>
        <w:t>матиниб</w:t>
      </w:r>
    </w:p>
    <w:p w14:paraId="3E550855" w14:textId="77777777" w:rsidR="00426F49" w:rsidRPr="00FE6AC6" w:rsidRDefault="00426F49" w:rsidP="0063575E">
      <w:pPr>
        <w:widowControl w:val="0"/>
        <w:tabs>
          <w:tab w:val="clear" w:pos="567"/>
        </w:tabs>
        <w:spacing w:line="240" w:lineRule="auto"/>
        <w:rPr>
          <w:noProof/>
          <w:color w:val="000000"/>
          <w:lang w:val="bg-BG"/>
        </w:rPr>
      </w:pPr>
    </w:p>
    <w:p w14:paraId="3E550856" w14:textId="77777777" w:rsidR="00426F49" w:rsidRPr="00FE6AC6" w:rsidRDefault="00426F49" w:rsidP="0063575E">
      <w:pPr>
        <w:widowControl w:val="0"/>
        <w:tabs>
          <w:tab w:val="clear" w:pos="567"/>
        </w:tabs>
        <w:spacing w:line="240" w:lineRule="auto"/>
        <w:rPr>
          <w:noProof/>
          <w:color w:val="000000"/>
          <w:lang w:val="bg-BG"/>
        </w:rPr>
      </w:pPr>
    </w:p>
    <w:p w14:paraId="3E550857"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2.</w:t>
      </w:r>
      <w:r w:rsidRPr="00FE6AC6">
        <w:rPr>
          <w:b/>
          <w:noProof/>
          <w:color w:val="000000"/>
          <w:lang w:val="ru-RU"/>
        </w:rPr>
        <w:tab/>
        <w:t>ИМЕ НА ПРИТЕЖАТЕЛЯ НА РАЗРЕШЕНИЕТО ЗА УПОТРЕБА</w:t>
      </w:r>
    </w:p>
    <w:p w14:paraId="3E550858" w14:textId="77777777" w:rsidR="00426F49" w:rsidRPr="00FE6AC6" w:rsidRDefault="00426F49" w:rsidP="0063575E">
      <w:pPr>
        <w:widowControl w:val="0"/>
        <w:tabs>
          <w:tab w:val="clear" w:pos="567"/>
        </w:tabs>
        <w:spacing w:line="240" w:lineRule="auto"/>
        <w:rPr>
          <w:noProof/>
          <w:color w:val="000000"/>
          <w:lang w:val="ru-RU"/>
        </w:rPr>
      </w:pPr>
    </w:p>
    <w:p w14:paraId="3E550859" w14:textId="77777777" w:rsidR="00426F49" w:rsidRPr="00FE6AC6" w:rsidRDefault="00426F49" w:rsidP="0063575E">
      <w:pPr>
        <w:widowControl w:val="0"/>
        <w:tabs>
          <w:tab w:val="clear" w:pos="567"/>
        </w:tabs>
        <w:spacing w:line="240" w:lineRule="auto"/>
        <w:rPr>
          <w:noProof/>
          <w:color w:val="000000"/>
          <w:lang w:val="ru-RU"/>
        </w:rPr>
      </w:pPr>
      <w:r w:rsidRPr="00FE6AC6">
        <w:rPr>
          <w:noProof/>
          <w:color w:val="000000"/>
        </w:rPr>
        <w:t>Novartis</w:t>
      </w:r>
      <w:r w:rsidRPr="00FE6AC6">
        <w:rPr>
          <w:noProof/>
          <w:color w:val="000000"/>
          <w:lang w:val="ru-RU"/>
        </w:rPr>
        <w:t xml:space="preserve"> </w:t>
      </w:r>
      <w:r w:rsidRPr="00FE6AC6">
        <w:rPr>
          <w:noProof/>
          <w:color w:val="000000"/>
        </w:rPr>
        <w:t>Europharm</w:t>
      </w:r>
      <w:r w:rsidRPr="00FE6AC6">
        <w:rPr>
          <w:noProof/>
          <w:color w:val="000000"/>
          <w:lang w:val="ru-RU"/>
        </w:rPr>
        <w:t xml:space="preserve"> </w:t>
      </w:r>
      <w:r w:rsidRPr="00FE6AC6">
        <w:rPr>
          <w:noProof/>
          <w:color w:val="000000"/>
        </w:rPr>
        <w:t>Limited</w:t>
      </w:r>
    </w:p>
    <w:p w14:paraId="3E55085A" w14:textId="77777777" w:rsidR="00426F49" w:rsidRPr="00FE6AC6" w:rsidRDefault="00426F49" w:rsidP="0063575E">
      <w:pPr>
        <w:widowControl w:val="0"/>
        <w:tabs>
          <w:tab w:val="clear" w:pos="567"/>
        </w:tabs>
        <w:spacing w:line="240" w:lineRule="auto"/>
        <w:rPr>
          <w:noProof/>
          <w:color w:val="000000"/>
          <w:lang w:val="ru-RU"/>
        </w:rPr>
      </w:pPr>
    </w:p>
    <w:p w14:paraId="3E55085B" w14:textId="77777777" w:rsidR="00426F49" w:rsidRPr="00FE6AC6" w:rsidRDefault="00426F49" w:rsidP="0063575E">
      <w:pPr>
        <w:widowControl w:val="0"/>
        <w:tabs>
          <w:tab w:val="clear" w:pos="567"/>
        </w:tabs>
        <w:spacing w:line="240" w:lineRule="auto"/>
        <w:rPr>
          <w:noProof/>
          <w:color w:val="000000"/>
          <w:lang w:val="ru-RU"/>
        </w:rPr>
      </w:pPr>
    </w:p>
    <w:p w14:paraId="3E55085C"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3.</w:t>
      </w:r>
      <w:r w:rsidRPr="00FE6AC6">
        <w:rPr>
          <w:b/>
          <w:noProof/>
          <w:color w:val="000000"/>
          <w:lang w:val="ru-RU"/>
        </w:rPr>
        <w:tab/>
        <w:t>ДАТА НА ИЗТИЧАНЕ НА СРОКА НА ГОДНОСТ</w:t>
      </w:r>
    </w:p>
    <w:p w14:paraId="3E55085D" w14:textId="77777777" w:rsidR="00426F49" w:rsidRPr="00FE6AC6" w:rsidRDefault="00426F49" w:rsidP="0063575E">
      <w:pPr>
        <w:widowControl w:val="0"/>
        <w:tabs>
          <w:tab w:val="clear" w:pos="567"/>
        </w:tabs>
        <w:spacing w:line="240" w:lineRule="auto"/>
        <w:rPr>
          <w:noProof/>
          <w:color w:val="000000"/>
          <w:lang w:val="ru-RU"/>
        </w:rPr>
      </w:pPr>
    </w:p>
    <w:p w14:paraId="3E55085E" w14:textId="77777777" w:rsidR="00426F49" w:rsidRPr="00FE6AC6" w:rsidRDefault="00426F49" w:rsidP="0063575E">
      <w:pPr>
        <w:widowControl w:val="0"/>
        <w:tabs>
          <w:tab w:val="clear" w:pos="567"/>
        </w:tabs>
        <w:spacing w:line="240" w:lineRule="auto"/>
        <w:rPr>
          <w:noProof/>
          <w:color w:val="000000"/>
          <w:lang w:val="ru-RU"/>
        </w:rPr>
      </w:pPr>
      <w:r w:rsidRPr="00FE6AC6">
        <w:rPr>
          <w:noProof/>
          <w:color w:val="000000"/>
        </w:rPr>
        <w:t>EXP</w:t>
      </w:r>
    </w:p>
    <w:p w14:paraId="3E55085F" w14:textId="77777777" w:rsidR="00426F49" w:rsidRPr="00FE6AC6" w:rsidRDefault="00426F49" w:rsidP="0063575E">
      <w:pPr>
        <w:widowControl w:val="0"/>
        <w:tabs>
          <w:tab w:val="clear" w:pos="567"/>
        </w:tabs>
        <w:spacing w:line="240" w:lineRule="auto"/>
        <w:rPr>
          <w:noProof/>
          <w:color w:val="000000"/>
          <w:lang w:val="ru-RU"/>
        </w:rPr>
      </w:pPr>
    </w:p>
    <w:p w14:paraId="3E550860" w14:textId="77777777" w:rsidR="00426F49" w:rsidRPr="00FE6AC6" w:rsidRDefault="00426F49" w:rsidP="0063575E">
      <w:pPr>
        <w:widowControl w:val="0"/>
        <w:tabs>
          <w:tab w:val="clear" w:pos="567"/>
        </w:tabs>
        <w:spacing w:line="240" w:lineRule="auto"/>
        <w:rPr>
          <w:noProof/>
          <w:color w:val="000000"/>
          <w:lang w:val="ru-RU"/>
        </w:rPr>
      </w:pPr>
    </w:p>
    <w:p w14:paraId="3E55086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4.</w:t>
      </w:r>
      <w:r w:rsidRPr="00FE6AC6">
        <w:rPr>
          <w:b/>
          <w:noProof/>
          <w:color w:val="000000"/>
          <w:lang w:val="ru-RU"/>
        </w:rPr>
        <w:tab/>
        <w:t>ПАРТИДЕН НОМЕР</w:t>
      </w:r>
    </w:p>
    <w:p w14:paraId="3E550862" w14:textId="77777777" w:rsidR="00426F49" w:rsidRPr="00FE6AC6" w:rsidRDefault="00426F49" w:rsidP="0063575E">
      <w:pPr>
        <w:widowControl w:val="0"/>
        <w:tabs>
          <w:tab w:val="clear" w:pos="567"/>
        </w:tabs>
        <w:spacing w:line="240" w:lineRule="auto"/>
        <w:ind w:right="113"/>
        <w:rPr>
          <w:noProof/>
          <w:color w:val="000000"/>
          <w:lang w:val="ru-RU"/>
        </w:rPr>
      </w:pPr>
    </w:p>
    <w:p w14:paraId="3E550863" w14:textId="77777777" w:rsidR="00426F49" w:rsidRPr="00FE6AC6" w:rsidRDefault="00426F49" w:rsidP="0063575E">
      <w:pPr>
        <w:widowControl w:val="0"/>
        <w:tabs>
          <w:tab w:val="clear" w:pos="567"/>
        </w:tabs>
        <w:spacing w:line="240" w:lineRule="auto"/>
        <w:ind w:right="113"/>
        <w:rPr>
          <w:noProof/>
          <w:color w:val="000000"/>
          <w:lang w:val="ru-RU"/>
        </w:rPr>
      </w:pPr>
      <w:smartTag w:uri="urn:schemas-microsoft-com:office:smarttags" w:element="place">
        <w:r w:rsidRPr="00FE6AC6">
          <w:rPr>
            <w:noProof/>
            <w:color w:val="000000"/>
          </w:rPr>
          <w:t>Lot</w:t>
        </w:r>
      </w:smartTag>
    </w:p>
    <w:p w14:paraId="3E550864" w14:textId="77777777" w:rsidR="00426F49" w:rsidRPr="00FE6AC6" w:rsidRDefault="00426F49" w:rsidP="0063575E">
      <w:pPr>
        <w:widowControl w:val="0"/>
        <w:tabs>
          <w:tab w:val="clear" w:pos="567"/>
        </w:tabs>
        <w:spacing w:line="240" w:lineRule="auto"/>
        <w:ind w:right="113"/>
        <w:rPr>
          <w:noProof/>
          <w:color w:val="000000"/>
          <w:lang w:val="ru-RU"/>
        </w:rPr>
      </w:pPr>
    </w:p>
    <w:p w14:paraId="3E550865" w14:textId="77777777" w:rsidR="00426F49" w:rsidRPr="00FE6AC6" w:rsidRDefault="00426F49" w:rsidP="0063575E">
      <w:pPr>
        <w:widowControl w:val="0"/>
        <w:tabs>
          <w:tab w:val="clear" w:pos="567"/>
        </w:tabs>
        <w:spacing w:line="240" w:lineRule="auto"/>
        <w:ind w:right="113"/>
        <w:rPr>
          <w:color w:val="000000"/>
          <w:szCs w:val="22"/>
          <w:lang w:val="ru-RU"/>
        </w:rPr>
      </w:pPr>
    </w:p>
    <w:p w14:paraId="3E550866"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ru-RU"/>
        </w:rPr>
      </w:pPr>
      <w:r w:rsidRPr="00FE6AC6">
        <w:rPr>
          <w:b/>
          <w:color w:val="000000"/>
          <w:szCs w:val="22"/>
          <w:lang w:val="ru-RU"/>
        </w:rPr>
        <w:t>5.</w:t>
      </w:r>
      <w:r w:rsidRPr="00FE6AC6">
        <w:rPr>
          <w:b/>
          <w:color w:val="000000"/>
          <w:szCs w:val="22"/>
          <w:lang w:val="ru-RU"/>
        </w:rPr>
        <w:tab/>
        <w:t>ДРУГО</w:t>
      </w:r>
    </w:p>
    <w:p w14:paraId="3E550867" w14:textId="77777777" w:rsidR="00426F49" w:rsidRPr="00FE6AC6" w:rsidRDefault="00426F49" w:rsidP="0063575E">
      <w:pPr>
        <w:widowControl w:val="0"/>
        <w:tabs>
          <w:tab w:val="clear" w:pos="567"/>
        </w:tabs>
        <w:spacing w:line="240" w:lineRule="auto"/>
        <w:ind w:right="113"/>
        <w:rPr>
          <w:noProof/>
          <w:color w:val="000000"/>
          <w:lang w:val="ru-RU"/>
        </w:rPr>
      </w:pPr>
    </w:p>
    <w:p w14:paraId="3E550868" w14:textId="77777777" w:rsidR="00426F49" w:rsidRPr="00FE6AC6" w:rsidRDefault="00426F49" w:rsidP="0063575E">
      <w:pPr>
        <w:widowControl w:val="0"/>
        <w:shd w:val="clear" w:color="auto" w:fill="FFFFFF"/>
        <w:tabs>
          <w:tab w:val="clear" w:pos="567"/>
        </w:tabs>
        <w:spacing w:line="240" w:lineRule="auto"/>
        <w:rPr>
          <w:noProof/>
          <w:color w:val="000000"/>
          <w:lang w:val="ru-RU"/>
        </w:rPr>
      </w:pPr>
      <w:r w:rsidRPr="00FE6AC6">
        <w:rPr>
          <w:noProof/>
          <w:color w:val="000000"/>
          <w:lang w:val="ru-RU"/>
        </w:rPr>
        <w:br w:type="page"/>
      </w:r>
    </w:p>
    <w:p w14:paraId="3E550869" w14:textId="77777777" w:rsidR="00572F70" w:rsidRPr="00572F70" w:rsidRDefault="00572F70" w:rsidP="00572F70">
      <w:pPr>
        <w:widowControl w:val="0"/>
        <w:tabs>
          <w:tab w:val="clear" w:pos="567"/>
        </w:tabs>
        <w:spacing w:line="240" w:lineRule="auto"/>
        <w:rPr>
          <w:noProof/>
          <w:color w:val="000000"/>
          <w:lang w:val="ru-RU"/>
        </w:rPr>
      </w:pPr>
    </w:p>
    <w:p w14:paraId="3E55086A"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color w:val="000000"/>
          <w:lang w:val="ru-RU"/>
        </w:rPr>
      </w:pPr>
      <w:r w:rsidRPr="00FE6AC6">
        <w:rPr>
          <w:b/>
          <w:noProof/>
          <w:color w:val="000000"/>
          <w:lang w:val="ru-RU"/>
        </w:rPr>
        <w:t>ДАННИ, КОИТО ТРЯБВА ДА СЪДЪРЖА ВТОРИЧНАТА ОПАКОВКА</w:t>
      </w:r>
    </w:p>
    <w:p w14:paraId="3E55086B"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noProof/>
          <w:color w:val="000000"/>
          <w:lang w:val="ru-RU"/>
        </w:rPr>
      </w:pPr>
    </w:p>
    <w:p w14:paraId="3E55086C"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rPr>
          <w:noProof/>
          <w:color w:val="000000"/>
          <w:lang w:val="ru-RU"/>
        </w:rPr>
      </w:pPr>
      <w:r w:rsidRPr="00FE6AC6">
        <w:rPr>
          <w:b/>
          <w:noProof/>
          <w:color w:val="000000"/>
          <w:lang w:val="ru-RU"/>
        </w:rPr>
        <w:t>КАРТОНЕНА КУТИЯ</w:t>
      </w:r>
    </w:p>
    <w:p w14:paraId="3E55086D" w14:textId="77777777" w:rsidR="00426F49" w:rsidRPr="00FE6AC6" w:rsidRDefault="00426F49" w:rsidP="0063575E">
      <w:pPr>
        <w:widowControl w:val="0"/>
        <w:tabs>
          <w:tab w:val="clear" w:pos="567"/>
        </w:tabs>
        <w:spacing w:line="240" w:lineRule="auto"/>
        <w:rPr>
          <w:noProof/>
          <w:color w:val="000000"/>
          <w:lang w:val="ru-RU"/>
        </w:rPr>
      </w:pPr>
    </w:p>
    <w:p w14:paraId="3E55086E" w14:textId="77777777" w:rsidR="00426F49" w:rsidRPr="00FE6AC6" w:rsidRDefault="00426F49" w:rsidP="0063575E">
      <w:pPr>
        <w:widowControl w:val="0"/>
        <w:tabs>
          <w:tab w:val="clear" w:pos="567"/>
        </w:tabs>
        <w:spacing w:line="240" w:lineRule="auto"/>
        <w:rPr>
          <w:noProof/>
          <w:color w:val="000000"/>
          <w:lang w:val="ru-RU"/>
        </w:rPr>
      </w:pPr>
    </w:p>
    <w:p w14:paraId="3E55086F"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ru-RU"/>
        </w:rPr>
      </w:pPr>
      <w:r w:rsidRPr="00FE6AC6">
        <w:rPr>
          <w:b/>
          <w:noProof/>
          <w:color w:val="000000"/>
          <w:lang w:val="ru-RU"/>
        </w:rPr>
        <w:t>1.</w:t>
      </w:r>
      <w:r w:rsidRPr="00FE6AC6">
        <w:rPr>
          <w:b/>
          <w:noProof/>
          <w:color w:val="000000"/>
          <w:lang w:val="ru-RU"/>
        </w:rPr>
        <w:tab/>
        <w:t>ИМЕ НА ЛЕКАРСТВЕНИЯ ПРОДУКТ</w:t>
      </w:r>
    </w:p>
    <w:p w14:paraId="3E550870" w14:textId="77777777" w:rsidR="00426F49" w:rsidRPr="00FE6AC6" w:rsidRDefault="00426F49" w:rsidP="0063575E">
      <w:pPr>
        <w:widowControl w:val="0"/>
        <w:tabs>
          <w:tab w:val="clear" w:pos="567"/>
        </w:tabs>
        <w:spacing w:line="240" w:lineRule="auto"/>
        <w:rPr>
          <w:noProof/>
          <w:color w:val="000000"/>
          <w:lang w:val="ru-RU"/>
        </w:rPr>
      </w:pPr>
    </w:p>
    <w:p w14:paraId="3E550871" w14:textId="77777777" w:rsidR="00426F49" w:rsidRPr="00FE6AC6" w:rsidRDefault="00426F49" w:rsidP="0063575E">
      <w:pPr>
        <w:widowControl w:val="0"/>
        <w:spacing w:line="240" w:lineRule="auto"/>
        <w:rPr>
          <w:color w:val="000000"/>
          <w:lang w:val="bg-BG"/>
        </w:rPr>
      </w:pPr>
      <w:r w:rsidRPr="00FE6AC6">
        <w:rPr>
          <w:color w:val="000000"/>
        </w:rPr>
        <w:t>Glivec</w:t>
      </w:r>
      <w:r w:rsidRPr="00FE6AC6">
        <w:rPr>
          <w:color w:val="000000"/>
          <w:lang w:val="bg-BG"/>
        </w:rPr>
        <w:t xml:space="preserve"> 100</w:t>
      </w:r>
      <w:r w:rsidRPr="00FE6AC6">
        <w:rPr>
          <w:color w:val="000000"/>
        </w:rPr>
        <w:t> mg</w:t>
      </w:r>
      <w:r w:rsidRPr="00FE6AC6">
        <w:rPr>
          <w:color w:val="000000"/>
          <w:lang w:val="bg-BG"/>
        </w:rPr>
        <w:t xml:space="preserve"> филмирани таблетки</w:t>
      </w:r>
    </w:p>
    <w:p w14:paraId="3E550872" w14:textId="77777777" w:rsidR="00426F49" w:rsidRPr="00FE6AC6" w:rsidRDefault="00B5235D" w:rsidP="0063575E">
      <w:pPr>
        <w:widowControl w:val="0"/>
        <w:tabs>
          <w:tab w:val="clear" w:pos="567"/>
        </w:tabs>
        <w:spacing w:line="240" w:lineRule="auto"/>
        <w:rPr>
          <w:noProof/>
          <w:color w:val="000000"/>
          <w:lang w:val="bg-BG"/>
        </w:rPr>
      </w:pPr>
      <w:r w:rsidRPr="00FE6AC6">
        <w:rPr>
          <w:color w:val="000000"/>
          <w:lang w:val="bg-BG"/>
        </w:rPr>
        <w:t>и</w:t>
      </w:r>
      <w:r w:rsidR="00426F49" w:rsidRPr="00FE6AC6">
        <w:rPr>
          <w:color w:val="000000"/>
          <w:lang w:val="bg-BG"/>
        </w:rPr>
        <w:t>матиниб</w:t>
      </w:r>
    </w:p>
    <w:p w14:paraId="3E550873" w14:textId="77777777" w:rsidR="00426F49" w:rsidRPr="00FE6AC6" w:rsidRDefault="00426F49" w:rsidP="0063575E">
      <w:pPr>
        <w:widowControl w:val="0"/>
        <w:tabs>
          <w:tab w:val="clear" w:pos="567"/>
        </w:tabs>
        <w:spacing w:line="240" w:lineRule="auto"/>
        <w:rPr>
          <w:noProof/>
          <w:color w:val="000000"/>
          <w:lang w:val="bg-BG"/>
        </w:rPr>
      </w:pPr>
    </w:p>
    <w:p w14:paraId="3E550874" w14:textId="77777777" w:rsidR="00426F49" w:rsidRPr="00FE6AC6" w:rsidRDefault="00426F49" w:rsidP="0063575E">
      <w:pPr>
        <w:widowControl w:val="0"/>
        <w:tabs>
          <w:tab w:val="clear" w:pos="567"/>
        </w:tabs>
        <w:spacing w:line="240" w:lineRule="auto"/>
        <w:rPr>
          <w:noProof/>
          <w:color w:val="000000"/>
          <w:lang w:val="bg-BG"/>
        </w:rPr>
      </w:pPr>
    </w:p>
    <w:p w14:paraId="3E550875"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color w:val="000000"/>
          <w:lang w:val="bg-BG"/>
        </w:rPr>
      </w:pPr>
      <w:r w:rsidRPr="00FE6AC6">
        <w:rPr>
          <w:b/>
          <w:noProof/>
          <w:color w:val="000000"/>
          <w:lang w:val="bg-BG"/>
        </w:rPr>
        <w:t>2.</w:t>
      </w:r>
      <w:r w:rsidRPr="00FE6AC6">
        <w:rPr>
          <w:b/>
          <w:noProof/>
          <w:color w:val="000000"/>
          <w:lang w:val="bg-BG"/>
        </w:rPr>
        <w:tab/>
        <w:t>ОБЯВЯВАНЕ НА АКТИВНОТО</w:t>
      </w:r>
      <w:r w:rsidR="00092637" w:rsidRPr="00FE6AC6">
        <w:rPr>
          <w:b/>
          <w:noProof/>
          <w:color w:val="000000"/>
          <w:lang w:val="bg-BG"/>
        </w:rPr>
        <w:t>(</w:t>
      </w:r>
      <w:r w:rsidRPr="00FE6AC6">
        <w:rPr>
          <w:b/>
          <w:noProof/>
          <w:color w:val="000000"/>
          <w:lang w:val="bg-BG"/>
        </w:rPr>
        <w:t>ИТЕ</w:t>
      </w:r>
      <w:r w:rsidR="00092637" w:rsidRPr="00FE6AC6">
        <w:rPr>
          <w:b/>
          <w:noProof/>
          <w:color w:val="000000"/>
          <w:lang w:val="bg-BG"/>
        </w:rPr>
        <w:t>)</w:t>
      </w:r>
      <w:r w:rsidRPr="00FE6AC6">
        <w:rPr>
          <w:b/>
          <w:noProof/>
          <w:color w:val="000000"/>
          <w:lang w:val="bg-BG"/>
        </w:rPr>
        <w:t xml:space="preserve"> ВЕЩЕСТВ</w:t>
      </w:r>
      <w:r w:rsidR="00092637" w:rsidRPr="00FE6AC6">
        <w:rPr>
          <w:b/>
          <w:noProof/>
          <w:color w:val="000000"/>
          <w:lang w:val="bg-BG"/>
        </w:rPr>
        <w:t>О(</w:t>
      </w:r>
      <w:r w:rsidRPr="00FE6AC6">
        <w:rPr>
          <w:b/>
          <w:noProof/>
          <w:color w:val="000000"/>
          <w:lang w:val="bg-BG"/>
        </w:rPr>
        <w:t>А</w:t>
      </w:r>
      <w:r w:rsidR="00092637" w:rsidRPr="00FE6AC6">
        <w:rPr>
          <w:b/>
          <w:noProof/>
          <w:color w:val="000000"/>
          <w:lang w:val="bg-BG"/>
        </w:rPr>
        <w:t>)</w:t>
      </w:r>
    </w:p>
    <w:p w14:paraId="3E550876" w14:textId="77777777" w:rsidR="00426F49" w:rsidRPr="00FE6AC6" w:rsidRDefault="00426F49" w:rsidP="0063575E">
      <w:pPr>
        <w:widowControl w:val="0"/>
        <w:tabs>
          <w:tab w:val="clear" w:pos="567"/>
        </w:tabs>
        <w:spacing w:line="240" w:lineRule="auto"/>
        <w:rPr>
          <w:noProof/>
          <w:color w:val="000000"/>
          <w:lang w:val="bg-BG"/>
        </w:rPr>
      </w:pPr>
    </w:p>
    <w:p w14:paraId="3E550877" w14:textId="77777777" w:rsidR="00426F49" w:rsidRPr="00FE6AC6" w:rsidRDefault="00426F49" w:rsidP="0063575E">
      <w:pPr>
        <w:widowControl w:val="0"/>
        <w:spacing w:line="240" w:lineRule="auto"/>
        <w:rPr>
          <w:color w:val="000000"/>
          <w:lang w:val="bg-BG"/>
        </w:rPr>
      </w:pPr>
      <w:r w:rsidRPr="00FE6AC6">
        <w:rPr>
          <w:color w:val="000000"/>
          <w:lang w:val="bg-BG"/>
        </w:rPr>
        <w:t>Всяка филмирана таблетка съдържа 100</w:t>
      </w:r>
      <w:r w:rsidRPr="00FE6AC6">
        <w:rPr>
          <w:color w:val="000000"/>
        </w:rPr>
        <w:t> mg</w:t>
      </w:r>
      <w:r w:rsidRPr="00FE6AC6">
        <w:rPr>
          <w:color w:val="000000"/>
          <w:lang w:val="bg-BG"/>
        </w:rPr>
        <w:t xml:space="preserve"> иматиниб (под формата на мезилат).</w:t>
      </w:r>
    </w:p>
    <w:p w14:paraId="3E550878" w14:textId="77777777" w:rsidR="00426F49" w:rsidRPr="00FE6AC6" w:rsidRDefault="00426F49" w:rsidP="0063575E">
      <w:pPr>
        <w:widowControl w:val="0"/>
        <w:tabs>
          <w:tab w:val="clear" w:pos="567"/>
        </w:tabs>
        <w:spacing w:line="240" w:lineRule="auto"/>
        <w:rPr>
          <w:noProof/>
          <w:color w:val="000000"/>
          <w:lang w:val="bg-BG"/>
        </w:rPr>
      </w:pPr>
    </w:p>
    <w:p w14:paraId="3E550879" w14:textId="77777777" w:rsidR="00426F49" w:rsidRPr="00FE6AC6" w:rsidRDefault="00426F49" w:rsidP="0063575E">
      <w:pPr>
        <w:widowControl w:val="0"/>
        <w:tabs>
          <w:tab w:val="clear" w:pos="567"/>
        </w:tabs>
        <w:spacing w:line="240" w:lineRule="auto"/>
        <w:rPr>
          <w:noProof/>
          <w:color w:val="000000"/>
          <w:lang w:val="bg-BG"/>
        </w:rPr>
      </w:pPr>
    </w:p>
    <w:p w14:paraId="3E55087A"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3.</w:t>
      </w:r>
      <w:r w:rsidRPr="00FE6AC6">
        <w:rPr>
          <w:b/>
          <w:noProof/>
          <w:color w:val="000000"/>
          <w:lang w:val="bg-BG"/>
        </w:rPr>
        <w:tab/>
        <w:t>СПИСЪК НА ПОМОЩНИТЕ ВЕЩЕСТВА</w:t>
      </w:r>
    </w:p>
    <w:p w14:paraId="3E55087B" w14:textId="77777777" w:rsidR="00426F49" w:rsidRPr="00FE6AC6" w:rsidRDefault="00426F49" w:rsidP="0063575E">
      <w:pPr>
        <w:widowControl w:val="0"/>
        <w:tabs>
          <w:tab w:val="clear" w:pos="567"/>
        </w:tabs>
        <w:spacing w:line="240" w:lineRule="auto"/>
        <w:rPr>
          <w:noProof/>
          <w:color w:val="000000"/>
          <w:lang w:val="bg-BG"/>
        </w:rPr>
      </w:pPr>
    </w:p>
    <w:p w14:paraId="3E55087C" w14:textId="77777777" w:rsidR="00426F49" w:rsidRPr="00FE6AC6" w:rsidRDefault="00426F49" w:rsidP="0063575E">
      <w:pPr>
        <w:widowControl w:val="0"/>
        <w:tabs>
          <w:tab w:val="clear" w:pos="567"/>
        </w:tabs>
        <w:spacing w:line="240" w:lineRule="auto"/>
        <w:rPr>
          <w:noProof/>
          <w:color w:val="000000"/>
          <w:lang w:val="bg-BG"/>
        </w:rPr>
      </w:pPr>
    </w:p>
    <w:p w14:paraId="3E55087D"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4.</w:t>
      </w:r>
      <w:r w:rsidRPr="00FE6AC6">
        <w:rPr>
          <w:b/>
          <w:noProof/>
          <w:color w:val="000000"/>
          <w:lang w:val="bg-BG"/>
        </w:rPr>
        <w:tab/>
        <w:t>ЛЕКАРСТВЕНА ФОРМА И КОЛИЧЕСТВО В ЕДНА ОПАКОВКА</w:t>
      </w:r>
    </w:p>
    <w:p w14:paraId="3E55087E" w14:textId="77777777" w:rsidR="00426F49" w:rsidRPr="00FE6AC6" w:rsidRDefault="00426F49" w:rsidP="0063575E">
      <w:pPr>
        <w:widowControl w:val="0"/>
        <w:tabs>
          <w:tab w:val="clear" w:pos="567"/>
        </w:tabs>
        <w:spacing w:line="240" w:lineRule="auto"/>
        <w:rPr>
          <w:noProof/>
          <w:color w:val="000000"/>
          <w:lang w:val="bg-BG"/>
        </w:rPr>
      </w:pPr>
    </w:p>
    <w:p w14:paraId="3E55087F" w14:textId="77777777" w:rsidR="00426F49" w:rsidRPr="00FE6AC6" w:rsidRDefault="00426F49" w:rsidP="0063575E">
      <w:pPr>
        <w:pStyle w:val="EndnoteText"/>
        <w:widowControl w:val="0"/>
        <w:rPr>
          <w:color w:val="000000"/>
          <w:lang w:val="bg-BG"/>
        </w:rPr>
      </w:pPr>
      <w:r w:rsidRPr="00D75C11">
        <w:rPr>
          <w:color w:val="000000"/>
          <w:lang w:val="bg-BG"/>
        </w:rPr>
        <w:t>20</w:t>
      </w:r>
      <w:r w:rsidRPr="00D75C11">
        <w:rPr>
          <w:color w:val="000000"/>
        </w:rPr>
        <w:t> </w:t>
      </w:r>
      <w:r w:rsidRPr="00D75C11">
        <w:rPr>
          <w:color w:val="000000"/>
          <w:lang w:val="bg-BG"/>
        </w:rPr>
        <w:t>филмирани таблетки</w:t>
      </w:r>
    </w:p>
    <w:p w14:paraId="3E550880" w14:textId="77777777" w:rsidR="00426F49" w:rsidRPr="00FE6AC6" w:rsidRDefault="00426F49" w:rsidP="0063575E">
      <w:pPr>
        <w:widowControl w:val="0"/>
        <w:spacing w:line="240" w:lineRule="auto"/>
        <w:rPr>
          <w:color w:val="000000"/>
          <w:shd w:val="clear" w:color="auto" w:fill="D9D9D9"/>
          <w:lang w:val="bg-BG"/>
        </w:rPr>
      </w:pPr>
      <w:r w:rsidRPr="00FE6AC6">
        <w:rPr>
          <w:color w:val="000000"/>
          <w:shd w:val="clear" w:color="auto" w:fill="D9D9D9"/>
          <w:lang w:val="bg-BG"/>
        </w:rPr>
        <w:t>60</w:t>
      </w:r>
      <w:r w:rsidRPr="00FE6AC6">
        <w:rPr>
          <w:color w:val="000000"/>
          <w:shd w:val="clear" w:color="auto" w:fill="D9D9D9"/>
        </w:rPr>
        <w:t> </w:t>
      </w:r>
      <w:r w:rsidRPr="00FE6AC6">
        <w:rPr>
          <w:color w:val="000000"/>
          <w:shd w:val="clear" w:color="auto" w:fill="D9D9D9"/>
          <w:lang w:val="bg-BG"/>
        </w:rPr>
        <w:t>филмирани таблетки</w:t>
      </w:r>
    </w:p>
    <w:p w14:paraId="3E550881" w14:textId="77777777" w:rsidR="00426F49" w:rsidRPr="00FE6AC6" w:rsidRDefault="00426F49" w:rsidP="0063575E">
      <w:pPr>
        <w:widowControl w:val="0"/>
        <w:spacing w:line="240" w:lineRule="auto"/>
        <w:rPr>
          <w:color w:val="000000"/>
          <w:shd w:val="clear" w:color="auto" w:fill="D9D9D9"/>
          <w:lang w:val="bg-BG"/>
        </w:rPr>
      </w:pPr>
      <w:r w:rsidRPr="00FE6AC6">
        <w:rPr>
          <w:color w:val="000000"/>
          <w:shd w:val="clear" w:color="auto" w:fill="D9D9D9"/>
          <w:lang w:val="bg-BG"/>
        </w:rPr>
        <w:t>120</w:t>
      </w:r>
      <w:r w:rsidRPr="00FE6AC6">
        <w:rPr>
          <w:color w:val="000000"/>
          <w:shd w:val="clear" w:color="auto" w:fill="D9D9D9"/>
        </w:rPr>
        <w:t> </w:t>
      </w:r>
      <w:r w:rsidRPr="00FE6AC6">
        <w:rPr>
          <w:color w:val="000000"/>
          <w:shd w:val="clear" w:color="auto" w:fill="D9D9D9"/>
          <w:lang w:val="bg-BG"/>
        </w:rPr>
        <w:t>филмирани таблетки</w:t>
      </w:r>
    </w:p>
    <w:p w14:paraId="3E550882" w14:textId="77777777" w:rsidR="00426F49" w:rsidRPr="00FE6AC6" w:rsidRDefault="00426F49" w:rsidP="0063575E">
      <w:pPr>
        <w:widowControl w:val="0"/>
        <w:spacing w:line="240" w:lineRule="auto"/>
        <w:rPr>
          <w:color w:val="000000"/>
          <w:shd w:val="clear" w:color="auto" w:fill="C0C0C0"/>
          <w:lang w:val="bg-BG"/>
        </w:rPr>
      </w:pPr>
      <w:r w:rsidRPr="00FE6AC6">
        <w:rPr>
          <w:color w:val="000000"/>
          <w:shd w:val="clear" w:color="auto" w:fill="D9D9D9"/>
          <w:lang w:val="bg-BG"/>
        </w:rPr>
        <w:t>180</w:t>
      </w:r>
      <w:r w:rsidRPr="00FE6AC6">
        <w:rPr>
          <w:color w:val="000000"/>
          <w:shd w:val="clear" w:color="auto" w:fill="D9D9D9"/>
        </w:rPr>
        <w:t> </w:t>
      </w:r>
      <w:r w:rsidRPr="00FE6AC6">
        <w:rPr>
          <w:color w:val="000000"/>
          <w:shd w:val="clear" w:color="auto" w:fill="D9D9D9"/>
          <w:lang w:val="bg-BG"/>
        </w:rPr>
        <w:t>филмирани таблетки</w:t>
      </w:r>
    </w:p>
    <w:p w14:paraId="3E550883" w14:textId="77777777" w:rsidR="00426F49" w:rsidRPr="00FE6AC6" w:rsidRDefault="00426F49" w:rsidP="0063575E">
      <w:pPr>
        <w:widowControl w:val="0"/>
        <w:tabs>
          <w:tab w:val="clear" w:pos="567"/>
        </w:tabs>
        <w:spacing w:line="240" w:lineRule="auto"/>
        <w:rPr>
          <w:noProof/>
          <w:color w:val="000000"/>
          <w:lang w:val="bg-BG"/>
        </w:rPr>
      </w:pPr>
    </w:p>
    <w:p w14:paraId="3E550884" w14:textId="77777777" w:rsidR="00426F49" w:rsidRPr="00FE6AC6" w:rsidRDefault="00426F49" w:rsidP="0063575E">
      <w:pPr>
        <w:widowControl w:val="0"/>
        <w:tabs>
          <w:tab w:val="clear" w:pos="567"/>
        </w:tabs>
        <w:spacing w:line="240" w:lineRule="auto"/>
        <w:rPr>
          <w:noProof/>
          <w:color w:val="000000"/>
          <w:lang w:val="bg-BG"/>
        </w:rPr>
      </w:pPr>
    </w:p>
    <w:p w14:paraId="3E550885"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5.</w:t>
      </w:r>
      <w:r w:rsidRPr="00FE6AC6">
        <w:rPr>
          <w:b/>
          <w:noProof/>
          <w:color w:val="000000"/>
          <w:lang w:val="bg-BG"/>
        </w:rPr>
        <w:tab/>
        <w:t>НАЧИН НА ПРИЛ</w:t>
      </w:r>
      <w:r w:rsidR="00785719" w:rsidRPr="00FE6AC6">
        <w:rPr>
          <w:b/>
          <w:noProof/>
          <w:szCs w:val="22"/>
          <w:lang w:val="bg-BG"/>
        </w:rPr>
        <w:t>ОЖЕНИЕ</w:t>
      </w:r>
      <w:r w:rsidRPr="00FE6AC6">
        <w:rPr>
          <w:b/>
          <w:noProof/>
          <w:color w:val="000000"/>
          <w:lang w:val="bg-BG"/>
        </w:rPr>
        <w:t xml:space="preserve"> И ПЪТ</w:t>
      </w:r>
      <w:r w:rsidR="00092637" w:rsidRPr="00FE6AC6">
        <w:rPr>
          <w:b/>
          <w:noProof/>
          <w:color w:val="000000"/>
          <w:lang w:val="bg-BG"/>
        </w:rPr>
        <w:t>(</w:t>
      </w:r>
      <w:r w:rsidRPr="00FE6AC6">
        <w:rPr>
          <w:b/>
          <w:noProof/>
          <w:color w:val="000000"/>
          <w:lang w:val="bg-BG"/>
        </w:rPr>
        <w:t>ИЩА</w:t>
      </w:r>
      <w:r w:rsidR="00092637" w:rsidRPr="00FE6AC6">
        <w:rPr>
          <w:b/>
          <w:noProof/>
          <w:color w:val="000000"/>
          <w:lang w:val="bg-BG"/>
        </w:rPr>
        <w:t>)</w:t>
      </w:r>
      <w:r w:rsidRPr="00FE6AC6">
        <w:rPr>
          <w:b/>
          <w:noProof/>
          <w:color w:val="000000"/>
          <w:lang w:val="bg-BG"/>
        </w:rPr>
        <w:t xml:space="preserve"> НА ВЪВЕЖДАНЕ</w:t>
      </w:r>
    </w:p>
    <w:p w14:paraId="3E550886" w14:textId="77777777" w:rsidR="00426F49" w:rsidRPr="00FE6AC6" w:rsidRDefault="00426F49" w:rsidP="0063575E">
      <w:pPr>
        <w:widowControl w:val="0"/>
        <w:tabs>
          <w:tab w:val="clear" w:pos="567"/>
        </w:tabs>
        <w:spacing w:line="240" w:lineRule="auto"/>
        <w:rPr>
          <w:i/>
          <w:noProof/>
          <w:color w:val="000000"/>
          <w:lang w:val="bg-BG"/>
        </w:rPr>
      </w:pPr>
    </w:p>
    <w:p w14:paraId="3E550887"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Перорално приложение. Преди употреба прочетете листовката.</w:t>
      </w:r>
    </w:p>
    <w:p w14:paraId="3E550888" w14:textId="77777777" w:rsidR="00426F49" w:rsidRPr="00FE6AC6" w:rsidRDefault="00426F49" w:rsidP="0063575E">
      <w:pPr>
        <w:widowControl w:val="0"/>
        <w:tabs>
          <w:tab w:val="clear" w:pos="567"/>
        </w:tabs>
        <w:spacing w:line="240" w:lineRule="auto"/>
        <w:rPr>
          <w:noProof/>
          <w:color w:val="000000"/>
          <w:lang w:val="bg-BG"/>
        </w:rPr>
      </w:pPr>
    </w:p>
    <w:p w14:paraId="3E550889" w14:textId="77777777" w:rsidR="00426F49" w:rsidRPr="00FE6AC6" w:rsidRDefault="00426F49" w:rsidP="0063575E">
      <w:pPr>
        <w:widowControl w:val="0"/>
        <w:tabs>
          <w:tab w:val="clear" w:pos="567"/>
        </w:tabs>
        <w:spacing w:line="240" w:lineRule="auto"/>
        <w:rPr>
          <w:noProof/>
          <w:color w:val="000000"/>
          <w:lang w:val="bg-BG"/>
        </w:rPr>
      </w:pPr>
    </w:p>
    <w:p w14:paraId="3E55088A"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6.</w:t>
      </w:r>
      <w:r w:rsidRPr="00FE6AC6">
        <w:rPr>
          <w:b/>
          <w:noProof/>
          <w:color w:val="000000"/>
          <w:lang w:val="bg-BG"/>
        </w:rPr>
        <w:tab/>
        <w:t>СПЕЦИАЛНО ПРЕДУПРЕЖДЕНИЕ, ЧЕ ЛЕКАРСТВЕНИЯТ ПРОДУКТ ТРЯБВА ДА СЕ СЪХРАНЯВА НА МЯСТО ДАЛЕЧЕ ОТ ПОГЛЕДА И ДОСЕГА НА ДЕЦА</w:t>
      </w:r>
    </w:p>
    <w:p w14:paraId="3E55088B" w14:textId="77777777" w:rsidR="00426F49" w:rsidRPr="00FE6AC6" w:rsidRDefault="00426F49" w:rsidP="0063575E">
      <w:pPr>
        <w:widowControl w:val="0"/>
        <w:tabs>
          <w:tab w:val="clear" w:pos="567"/>
        </w:tabs>
        <w:spacing w:line="240" w:lineRule="auto"/>
        <w:rPr>
          <w:noProof/>
          <w:color w:val="000000"/>
          <w:lang w:val="bg-BG"/>
        </w:rPr>
      </w:pPr>
    </w:p>
    <w:p w14:paraId="3E55088C" w14:textId="77777777" w:rsidR="00426F49" w:rsidRPr="00FE6AC6" w:rsidRDefault="00426F49" w:rsidP="0063575E">
      <w:pPr>
        <w:widowControl w:val="0"/>
        <w:tabs>
          <w:tab w:val="clear" w:pos="567"/>
        </w:tabs>
        <w:spacing w:line="240" w:lineRule="auto"/>
        <w:outlineLvl w:val="0"/>
        <w:rPr>
          <w:noProof/>
          <w:color w:val="000000"/>
          <w:lang w:val="bg-BG"/>
        </w:rPr>
      </w:pPr>
      <w:r w:rsidRPr="00FE6AC6">
        <w:rPr>
          <w:noProof/>
          <w:color w:val="000000"/>
          <w:lang w:val="bg-BG"/>
        </w:rPr>
        <w:t>Да се съхранява на място, недостъпно за деца.</w:t>
      </w:r>
    </w:p>
    <w:p w14:paraId="3E55088D" w14:textId="77777777" w:rsidR="00426F49" w:rsidRPr="00FE6AC6" w:rsidRDefault="00426F49" w:rsidP="0063575E">
      <w:pPr>
        <w:widowControl w:val="0"/>
        <w:tabs>
          <w:tab w:val="clear" w:pos="567"/>
        </w:tabs>
        <w:spacing w:line="240" w:lineRule="auto"/>
        <w:rPr>
          <w:noProof/>
          <w:color w:val="000000"/>
          <w:lang w:val="bg-BG"/>
        </w:rPr>
      </w:pPr>
    </w:p>
    <w:p w14:paraId="3E55088E" w14:textId="77777777" w:rsidR="00426F49" w:rsidRPr="00FE6AC6" w:rsidRDefault="00426F49" w:rsidP="0063575E">
      <w:pPr>
        <w:widowControl w:val="0"/>
        <w:tabs>
          <w:tab w:val="clear" w:pos="567"/>
        </w:tabs>
        <w:spacing w:line="240" w:lineRule="auto"/>
        <w:rPr>
          <w:noProof/>
          <w:color w:val="000000"/>
          <w:lang w:val="bg-BG"/>
        </w:rPr>
      </w:pPr>
    </w:p>
    <w:p w14:paraId="3E55088F"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7.</w:t>
      </w:r>
      <w:r w:rsidRPr="00FE6AC6">
        <w:rPr>
          <w:b/>
          <w:noProof/>
          <w:color w:val="000000"/>
          <w:lang w:val="bg-BG"/>
        </w:rPr>
        <w:tab/>
        <w:t>ДРУГИ СПЕЦИАЛНИ ПРЕДУПРЕЖДЕНИЯ, АКО Е НЕОБХОДИМО</w:t>
      </w:r>
    </w:p>
    <w:p w14:paraId="3E550890" w14:textId="77777777" w:rsidR="00426F49" w:rsidRPr="00FE6AC6" w:rsidRDefault="00426F49" w:rsidP="0063575E">
      <w:pPr>
        <w:widowControl w:val="0"/>
        <w:tabs>
          <w:tab w:val="clear" w:pos="567"/>
        </w:tabs>
        <w:spacing w:line="240" w:lineRule="auto"/>
        <w:rPr>
          <w:noProof/>
          <w:color w:val="000000"/>
          <w:lang w:val="bg-BG"/>
        </w:rPr>
      </w:pPr>
    </w:p>
    <w:p w14:paraId="3E550891"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Да се използва само, както е указано от лекаря.</w:t>
      </w:r>
    </w:p>
    <w:p w14:paraId="3E550892" w14:textId="77777777" w:rsidR="00426F49" w:rsidRPr="00FE6AC6" w:rsidRDefault="00426F49" w:rsidP="0063575E">
      <w:pPr>
        <w:widowControl w:val="0"/>
        <w:tabs>
          <w:tab w:val="clear" w:pos="567"/>
        </w:tabs>
        <w:spacing w:line="240" w:lineRule="auto"/>
        <w:rPr>
          <w:noProof/>
          <w:color w:val="000000"/>
          <w:lang w:val="bg-BG"/>
        </w:rPr>
      </w:pPr>
    </w:p>
    <w:p w14:paraId="3E550893" w14:textId="77777777" w:rsidR="00426F49" w:rsidRPr="00FE6AC6" w:rsidRDefault="00426F49" w:rsidP="0063575E">
      <w:pPr>
        <w:widowControl w:val="0"/>
        <w:tabs>
          <w:tab w:val="clear" w:pos="567"/>
        </w:tabs>
        <w:spacing w:line="240" w:lineRule="auto"/>
        <w:rPr>
          <w:noProof/>
          <w:color w:val="000000"/>
          <w:lang w:val="bg-BG"/>
        </w:rPr>
      </w:pPr>
    </w:p>
    <w:p w14:paraId="3E550894"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8.</w:t>
      </w:r>
      <w:r w:rsidRPr="00FE6AC6">
        <w:rPr>
          <w:b/>
          <w:noProof/>
          <w:color w:val="000000"/>
          <w:lang w:val="bg-BG"/>
        </w:rPr>
        <w:tab/>
        <w:t>ДАТА НА ИЗТИЧАНЕ НА СРОКА НА ГОДНОСТ</w:t>
      </w:r>
    </w:p>
    <w:p w14:paraId="3E550895" w14:textId="77777777" w:rsidR="00426F49" w:rsidRPr="00FE6AC6" w:rsidRDefault="00426F49" w:rsidP="0063575E">
      <w:pPr>
        <w:widowControl w:val="0"/>
        <w:tabs>
          <w:tab w:val="clear" w:pos="567"/>
        </w:tabs>
        <w:spacing w:line="240" w:lineRule="auto"/>
        <w:rPr>
          <w:noProof/>
          <w:color w:val="000000"/>
          <w:lang w:val="bg-BG"/>
        </w:rPr>
      </w:pPr>
    </w:p>
    <w:p w14:paraId="3E550896"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Годен до:</w:t>
      </w:r>
    </w:p>
    <w:p w14:paraId="3E550897" w14:textId="77777777" w:rsidR="00426F49" w:rsidRPr="00FE6AC6" w:rsidRDefault="00426F49" w:rsidP="0063575E">
      <w:pPr>
        <w:widowControl w:val="0"/>
        <w:tabs>
          <w:tab w:val="clear" w:pos="567"/>
        </w:tabs>
        <w:spacing w:line="240" w:lineRule="auto"/>
        <w:rPr>
          <w:noProof/>
          <w:color w:val="000000"/>
          <w:lang w:val="bg-BG"/>
        </w:rPr>
      </w:pPr>
    </w:p>
    <w:p w14:paraId="3E550898" w14:textId="77777777" w:rsidR="00426F49" w:rsidRPr="00FE6AC6" w:rsidRDefault="00426F49" w:rsidP="0063575E">
      <w:pPr>
        <w:widowControl w:val="0"/>
        <w:tabs>
          <w:tab w:val="clear" w:pos="567"/>
        </w:tabs>
        <w:spacing w:line="240" w:lineRule="auto"/>
        <w:rPr>
          <w:noProof/>
          <w:color w:val="000000"/>
          <w:lang w:val="bg-BG"/>
        </w:rPr>
      </w:pPr>
    </w:p>
    <w:p w14:paraId="3E550899" w14:textId="77777777" w:rsidR="00426F49" w:rsidRPr="00FE6AC6" w:rsidRDefault="00426F49" w:rsidP="0063575E">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9.</w:t>
      </w:r>
      <w:r w:rsidRPr="00FE6AC6">
        <w:rPr>
          <w:b/>
          <w:noProof/>
          <w:color w:val="000000"/>
          <w:lang w:val="bg-BG"/>
        </w:rPr>
        <w:tab/>
        <w:t>СПЕЦИАЛНИ УСЛОВИЯ НА СЪХРАНЕНИЕ</w:t>
      </w:r>
    </w:p>
    <w:p w14:paraId="3E55089A" w14:textId="77777777" w:rsidR="00426F49" w:rsidRPr="00FE6AC6" w:rsidRDefault="00426F49" w:rsidP="0063575E">
      <w:pPr>
        <w:keepNext/>
        <w:keepLines/>
        <w:widowControl w:val="0"/>
        <w:tabs>
          <w:tab w:val="clear" w:pos="567"/>
        </w:tabs>
        <w:spacing w:line="240" w:lineRule="auto"/>
        <w:rPr>
          <w:noProof/>
          <w:color w:val="000000"/>
          <w:lang w:val="bg-BG"/>
        </w:rPr>
      </w:pPr>
    </w:p>
    <w:p w14:paraId="3E55089B" w14:textId="77777777" w:rsidR="00426F49" w:rsidRPr="00FE6AC6" w:rsidRDefault="00426F49" w:rsidP="0063575E">
      <w:pPr>
        <w:keepNext/>
        <w:keepLines/>
        <w:widowControl w:val="0"/>
        <w:tabs>
          <w:tab w:val="clear" w:pos="567"/>
        </w:tabs>
        <w:spacing w:line="240" w:lineRule="auto"/>
        <w:rPr>
          <w:noProof/>
          <w:color w:val="000000"/>
          <w:lang w:val="bg-BG"/>
        </w:rPr>
      </w:pPr>
      <w:r w:rsidRPr="00FE6AC6">
        <w:rPr>
          <w:noProof/>
          <w:color w:val="000000"/>
          <w:lang w:val="bg-BG"/>
        </w:rPr>
        <w:t xml:space="preserve">Да не се съхранява над </w:t>
      </w:r>
      <w:smartTag w:uri="urn:schemas-microsoft-com:office:smarttags" w:element="metricconverter">
        <w:smartTagPr>
          <w:attr w:name="ProductID" w:val="30ﾰC"/>
        </w:smartTagPr>
        <w:r w:rsidRPr="00FE6AC6">
          <w:rPr>
            <w:noProof/>
            <w:color w:val="000000"/>
            <w:lang w:val="bg-BG"/>
          </w:rPr>
          <w:t>30</w:t>
        </w:r>
        <w:r w:rsidRPr="00FE6AC6">
          <w:rPr>
            <w:color w:val="000000"/>
            <w:lang w:val="bg-BG"/>
          </w:rPr>
          <w:t>°</w:t>
        </w:r>
        <w:r w:rsidRPr="00FE6AC6">
          <w:rPr>
            <w:noProof/>
            <w:color w:val="000000"/>
          </w:rPr>
          <w:t>C</w:t>
        </w:r>
      </w:smartTag>
      <w:r w:rsidRPr="00FE6AC6">
        <w:rPr>
          <w:noProof/>
          <w:color w:val="000000"/>
          <w:lang w:val="bg-BG"/>
        </w:rPr>
        <w:t>. Да се съхранява в оригиналната опаковка, за да се предпази от влага.</w:t>
      </w:r>
    </w:p>
    <w:p w14:paraId="3E55089C" w14:textId="77777777" w:rsidR="00426F49" w:rsidRPr="00FE6AC6" w:rsidRDefault="00426F49" w:rsidP="0063575E">
      <w:pPr>
        <w:widowControl w:val="0"/>
        <w:tabs>
          <w:tab w:val="clear" w:pos="567"/>
        </w:tabs>
        <w:spacing w:line="240" w:lineRule="auto"/>
        <w:ind w:left="567" w:hanging="567"/>
        <w:rPr>
          <w:noProof/>
          <w:color w:val="000000"/>
          <w:lang w:val="bg-BG"/>
        </w:rPr>
      </w:pPr>
    </w:p>
    <w:p w14:paraId="3E55089D" w14:textId="77777777" w:rsidR="00426F49" w:rsidRPr="00FE6AC6" w:rsidRDefault="00426F49" w:rsidP="0063575E">
      <w:pPr>
        <w:widowControl w:val="0"/>
        <w:tabs>
          <w:tab w:val="clear" w:pos="567"/>
        </w:tabs>
        <w:spacing w:line="240" w:lineRule="auto"/>
        <w:ind w:left="567" w:hanging="567"/>
        <w:rPr>
          <w:noProof/>
          <w:color w:val="000000"/>
          <w:lang w:val="bg-BG"/>
        </w:rPr>
      </w:pPr>
    </w:p>
    <w:p w14:paraId="3E55089E"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color w:val="000000"/>
          <w:lang w:val="bg-BG"/>
        </w:rPr>
      </w:pPr>
      <w:r w:rsidRPr="00FE6AC6">
        <w:rPr>
          <w:b/>
          <w:noProof/>
          <w:color w:val="000000"/>
          <w:lang w:val="bg-BG"/>
        </w:rPr>
        <w:t>10.</w:t>
      </w:r>
      <w:r w:rsidRPr="00FE6AC6">
        <w:rPr>
          <w:b/>
          <w:noProof/>
          <w:color w:val="000000"/>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3E55089F" w14:textId="77777777" w:rsidR="00426F49" w:rsidRPr="00FE6AC6" w:rsidRDefault="00426F49" w:rsidP="0063575E">
      <w:pPr>
        <w:widowControl w:val="0"/>
        <w:tabs>
          <w:tab w:val="clear" w:pos="567"/>
        </w:tabs>
        <w:spacing w:line="240" w:lineRule="auto"/>
        <w:rPr>
          <w:noProof/>
          <w:color w:val="000000"/>
          <w:lang w:val="bg-BG"/>
        </w:rPr>
      </w:pPr>
    </w:p>
    <w:p w14:paraId="3E5508A0" w14:textId="77777777" w:rsidR="00426F49" w:rsidRPr="00FE6AC6" w:rsidRDefault="00426F49" w:rsidP="0063575E">
      <w:pPr>
        <w:widowControl w:val="0"/>
        <w:tabs>
          <w:tab w:val="clear" w:pos="567"/>
        </w:tabs>
        <w:spacing w:line="240" w:lineRule="auto"/>
        <w:rPr>
          <w:noProof/>
          <w:color w:val="000000"/>
          <w:lang w:val="bg-BG"/>
        </w:rPr>
      </w:pPr>
    </w:p>
    <w:p w14:paraId="3E5508A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color w:val="000000"/>
          <w:lang w:val="bg-BG"/>
        </w:rPr>
      </w:pPr>
      <w:r w:rsidRPr="00FE6AC6">
        <w:rPr>
          <w:b/>
          <w:noProof/>
          <w:color w:val="000000"/>
          <w:lang w:val="bg-BG"/>
        </w:rPr>
        <w:t>11.</w:t>
      </w:r>
      <w:r w:rsidRPr="00FE6AC6">
        <w:rPr>
          <w:b/>
          <w:noProof/>
          <w:color w:val="000000"/>
          <w:lang w:val="bg-BG"/>
        </w:rPr>
        <w:tab/>
        <w:t>ИМЕ И АДРЕС НА ПРИТЕЖАТЕЛЯ НА РАЗРЕШЕНИЕТО ЗА УПОТРЕБА</w:t>
      </w:r>
    </w:p>
    <w:p w14:paraId="3E5508A2" w14:textId="77777777" w:rsidR="00426F49" w:rsidRPr="00FE6AC6" w:rsidRDefault="00426F49" w:rsidP="0063575E">
      <w:pPr>
        <w:widowControl w:val="0"/>
        <w:tabs>
          <w:tab w:val="clear" w:pos="567"/>
        </w:tabs>
        <w:spacing w:line="240" w:lineRule="auto"/>
        <w:rPr>
          <w:noProof/>
          <w:color w:val="000000"/>
          <w:lang w:val="bg-BG"/>
        </w:rPr>
      </w:pPr>
    </w:p>
    <w:p w14:paraId="3E5508A3" w14:textId="77777777" w:rsidR="00426F49" w:rsidRPr="00FE6AC6" w:rsidRDefault="00426F49" w:rsidP="0063575E">
      <w:pPr>
        <w:pStyle w:val="EndnoteText"/>
        <w:widowControl w:val="0"/>
        <w:tabs>
          <w:tab w:val="clear" w:pos="567"/>
        </w:tabs>
        <w:rPr>
          <w:color w:val="000000"/>
        </w:rPr>
      </w:pPr>
      <w:r w:rsidRPr="00FE6AC6">
        <w:rPr>
          <w:color w:val="000000"/>
        </w:rPr>
        <w:t>Novartis Europharm Limited</w:t>
      </w:r>
    </w:p>
    <w:p w14:paraId="3E5508A4" w14:textId="77777777" w:rsidR="000B10A3" w:rsidRPr="00FE6AC6" w:rsidRDefault="000B10A3" w:rsidP="0063575E">
      <w:pPr>
        <w:keepNext/>
        <w:widowControl w:val="0"/>
        <w:spacing w:line="240" w:lineRule="auto"/>
        <w:rPr>
          <w:color w:val="000000"/>
        </w:rPr>
      </w:pPr>
      <w:r w:rsidRPr="00FE6AC6">
        <w:rPr>
          <w:color w:val="000000"/>
        </w:rPr>
        <w:t>Vista Building</w:t>
      </w:r>
    </w:p>
    <w:p w14:paraId="3E5508A5" w14:textId="77777777" w:rsidR="000B10A3" w:rsidRPr="00FE6AC6" w:rsidRDefault="000B10A3" w:rsidP="0063575E">
      <w:pPr>
        <w:keepNext/>
        <w:widowControl w:val="0"/>
        <w:spacing w:line="240" w:lineRule="auto"/>
        <w:rPr>
          <w:color w:val="000000"/>
        </w:rPr>
      </w:pPr>
      <w:r w:rsidRPr="00FE6AC6">
        <w:rPr>
          <w:color w:val="000000"/>
        </w:rPr>
        <w:t>Elm Park, Merrion Road</w:t>
      </w:r>
    </w:p>
    <w:p w14:paraId="3E5508A6" w14:textId="77777777" w:rsidR="000B10A3" w:rsidRPr="00FE6AC6" w:rsidRDefault="000B10A3" w:rsidP="0063575E">
      <w:pPr>
        <w:keepNext/>
        <w:widowControl w:val="0"/>
        <w:spacing w:line="240" w:lineRule="auto"/>
        <w:rPr>
          <w:color w:val="000000"/>
        </w:rPr>
      </w:pPr>
      <w:r w:rsidRPr="00FE6AC6">
        <w:rPr>
          <w:color w:val="000000"/>
        </w:rPr>
        <w:t>Dublin 4</w:t>
      </w:r>
    </w:p>
    <w:p w14:paraId="3E5508A7" w14:textId="77777777" w:rsidR="000B10A3" w:rsidRPr="00FE6AC6" w:rsidRDefault="000B10A3" w:rsidP="0063575E">
      <w:pPr>
        <w:spacing w:line="240" w:lineRule="auto"/>
        <w:rPr>
          <w:color w:val="000000"/>
        </w:rPr>
      </w:pPr>
      <w:r w:rsidRPr="00FE6AC6">
        <w:rPr>
          <w:color w:val="000000"/>
        </w:rPr>
        <w:t>Ирландия</w:t>
      </w:r>
    </w:p>
    <w:p w14:paraId="3E5508A8" w14:textId="77777777" w:rsidR="00426F49" w:rsidRPr="00FE6AC6" w:rsidRDefault="00426F49" w:rsidP="0063575E">
      <w:pPr>
        <w:widowControl w:val="0"/>
        <w:tabs>
          <w:tab w:val="clear" w:pos="567"/>
        </w:tabs>
        <w:spacing w:line="240" w:lineRule="auto"/>
        <w:rPr>
          <w:noProof/>
          <w:color w:val="000000"/>
          <w:lang w:val="ru-RU"/>
        </w:rPr>
      </w:pPr>
    </w:p>
    <w:p w14:paraId="3E5508A9" w14:textId="77777777" w:rsidR="00426F49" w:rsidRPr="00FE6AC6" w:rsidRDefault="00426F49" w:rsidP="0063575E">
      <w:pPr>
        <w:widowControl w:val="0"/>
        <w:tabs>
          <w:tab w:val="clear" w:pos="567"/>
        </w:tabs>
        <w:spacing w:line="240" w:lineRule="auto"/>
        <w:rPr>
          <w:noProof/>
          <w:color w:val="000000"/>
          <w:lang w:val="ru-RU"/>
        </w:rPr>
      </w:pPr>
    </w:p>
    <w:p w14:paraId="3E5508AA"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color w:val="000000"/>
          <w:lang w:val="ru-RU"/>
        </w:rPr>
      </w:pPr>
      <w:r w:rsidRPr="00FE6AC6">
        <w:rPr>
          <w:b/>
          <w:noProof/>
          <w:color w:val="000000"/>
          <w:lang w:val="ru-RU"/>
        </w:rPr>
        <w:t>12.</w:t>
      </w:r>
      <w:r w:rsidRPr="00FE6AC6">
        <w:rPr>
          <w:b/>
          <w:noProof/>
          <w:color w:val="000000"/>
          <w:lang w:val="ru-RU"/>
        </w:rPr>
        <w:tab/>
        <w:t>НОМЕР(А) НА РАЗРЕШЕНИЕТО ЗА УПОТРЕБА</w:t>
      </w:r>
    </w:p>
    <w:p w14:paraId="3E5508AB" w14:textId="77777777" w:rsidR="00426F49" w:rsidRPr="00FE6AC6" w:rsidRDefault="00426F49" w:rsidP="0063575E">
      <w:pPr>
        <w:widowControl w:val="0"/>
        <w:tabs>
          <w:tab w:val="clear" w:pos="567"/>
        </w:tabs>
        <w:spacing w:line="240" w:lineRule="auto"/>
        <w:rPr>
          <w:noProof/>
          <w:color w:val="000000"/>
          <w:lang w:val="ru-RU"/>
        </w:rPr>
      </w:pPr>
    </w:p>
    <w:p w14:paraId="3E5508AC" w14:textId="77777777" w:rsidR="00426F49" w:rsidRPr="00FE6AC6" w:rsidRDefault="00426F49" w:rsidP="0063575E">
      <w:pPr>
        <w:pStyle w:val="EndnoteText"/>
        <w:widowControl w:val="0"/>
        <w:tabs>
          <w:tab w:val="clear" w:pos="567"/>
          <w:tab w:val="left" w:pos="2268"/>
        </w:tabs>
        <w:rPr>
          <w:color w:val="000000"/>
          <w:shd w:val="clear" w:color="auto" w:fill="D9D9D9"/>
          <w:lang w:val="bg-BG"/>
        </w:rPr>
      </w:pPr>
      <w:r w:rsidRPr="00FE6AC6">
        <w:rPr>
          <w:color w:val="000000"/>
        </w:rPr>
        <w:t>EU</w:t>
      </w:r>
      <w:r w:rsidRPr="00FE6AC6">
        <w:rPr>
          <w:color w:val="000000"/>
          <w:lang w:val="ru-RU"/>
        </w:rPr>
        <w:t>/1/01/198/007</w:t>
      </w:r>
      <w:r w:rsidRPr="00FE6AC6">
        <w:rPr>
          <w:color w:val="000000"/>
          <w:lang w:val="ru-RU"/>
        </w:rPr>
        <w:tab/>
      </w:r>
      <w:r w:rsidRPr="00FE6AC6">
        <w:rPr>
          <w:color w:val="000000"/>
          <w:shd w:val="clear" w:color="auto" w:fill="D9D9D9"/>
          <w:lang w:val="ru-RU"/>
        </w:rPr>
        <w:t>20</w:t>
      </w:r>
      <w:r w:rsidRPr="00FE6AC6">
        <w:rPr>
          <w:color w:val="000000"/>
          <w:shd w:val="clear" w:color="auto" w:fill="D9D9D9"/>
        </w:rPr>
        <w:t> </w:t>
      </w:r>
      <w:r w:rsidRPr="00FE6AC6">
        <w:rPr>
          <w:color w:val="000000"/>
          <w:shd w:val="clear" w:color="auto" w:fill="D9D9D9"/>
          <w:lang w:val="bg-BG"/>
        </w:rPr>
        <w:t>таблетки</w:t>
      </w:r>
      <w:r w:rsidR="0028343C" w:rsidRPr="00ED510E">
        <w:rPr>
          <w:color w:val="000000"/>
          <w:shd w:val="clear" w:color="auto" w:fill="D9D9D9"/>
          <w:lang w:val="ru-RU"/>
        </w:rPr>
        <w:t xml:space="preserve"> </w:t>
      </w:r>
      <w:r w:rsidR="0028343C" w:rsidRPr="00ED510E">
        <w:rPr>
          <w:color w:val="000000"/>
          <w:shd w:val="pct15" w:color="auto" w:fill="auto"/>
          <w:lang w:val="ru-RU"/>
        </w:rPr>
        <w:t>(</w:t>
      </w:r>
      <w:r w:rsidR="0028343C" w:rsidRPr="00F212E9">
        <w:rPr>
          <w:color w:val="000000"/>
          <w:shd w:val="pct15" w:color="auto" w:fill="auto"/>
        </w:rPr>
        <w:t>PVC</w:t>
      </w:r>
      <w:r w:rsidR="0028343C" w:rsidRPr="00F212E9">
        <w:rPr>
          <w:color w:val="000000"/>
          <w:shd w:val="pct15" w:color="auto" w:fill="auto"/>
          <w:lang w:val="bg-BG"/>
        </w:rPr>
        <w:t>/алуминий блистери</w:t>
      </w:r>
      <w:r w:rsidR="0028343C" w:rsidRPr="00ED510E">
        <w:rPr>
          <w:color w:val="000000"/>
          <w:shd w:val="pct15" w:color="auto" w:fill="auto"/>
          <w:lang w:val="ru-RU"/>
        </w:rPr>
        <w:t>)</w:t>
      </w:r>
    </w:p>
    <w:p w14:paraId="3E5508AD" w14:textId="77777777" w:rsidR="00426F49" w:rsidRPr="00FE6AC6" w:rsidRDefault="00426F49" w:rsidP="0063575E">
      <w:pPr>
        <w:widowControl w:val="0"/>
        <w:tabs>
          <w:tab w:val="clear" w:pos="567"/>
          <w:tab w:val="left" w:pos="2268"/>
        </w:tabs>
        <w:spacing w:line="240" w:lineRule="auto"/>
        <w:rPr>
          <w:color w:val="000000"/>
          <w:shd w:val="clear" w:color="auto" w:fill="D9D9D9"/>
          <w:lang w:val="bg-BG"/>
        </w:rPr>
      </w:pPr>
      <w:r w:rsidRPr="00FE6AC6">
        <w:rPr>
          <w:color w:val="000000"/>
          <w:shd w:val="clear" w:color="auto" w:fill="D9D9D9"/>
        </w:rPr>
        <w:t>EU</w:t>
      </w:r>
      <w:r w:rsidRPr="00FE6AC6">
        <w:rPr>
          <w:color w:val="000000"/>
          <w:shd w:val="clear" w:color="auto" w:fill="D9D9D9"/>
          <w:lang w:val="bg-BG"/>
        </w:rPr>
        <w:t>/1/01/198/008</w:t>
      </w:r>
      <w:r w:rsidRPr="00FE6AC6">
        <w:rPr>
          <w:color w:val="000000"/>
          <w:shd w:val="clear" w:color="auto" w:fill="D9D9D9"/>
          <w:lang w:val="bg-BG"/>
        </w:rPr>
        <w:tab/>
        <w:t>60</w:t>
      </w:r>
      <w:r w:rsidRPr="00FE6AC6">
        <w:rPr>
          <w:color w:val="000000"/>
          <w:shd w:val="clear" w:color="auto" w:fill="D9D9D9"/>
        </w:rPr>
        <w:t> </w:t>
      </w:r>
      <w:r w:rsidRPr="00FE6AC6">
        <w:rPr>
          <w:color w:val="000000"/>
          <w:shd w:val="clear" w:color="auto" w:fill="D9D9D9"/>
          <w:lang w:val="bg-BG"/>
        </w:rPr>
        <w:t>таблетки</w:t>
      </w:r>
      <w:r w:rsidR="0028343C" w:rsidRPr="00ED510E">
        <w:rPr>
          <w:color w:val="000000"/>
          <w:shd w:val="clear" w:color="auto" w:fill="D9D9D9"/>
          <w:lang w:val="bg-BG"/>
        </w:rPr>
        <w:t xml:space="preserve"> </w:t>
      </w:r>
      <w:r w:rsidR="0028343C" w:rsidRPr="00ED510E">
        <w:rPr>
          <w:color w:val="000000"/>
          <w:shd w:val="pct15" w:color="auto" w:fill="auto"/>
          <w:lang w:val="bg-BG"/>
        </w:rPr>
        <w:t>(</w:t>
      </w:r>
      <w:r w:rsidR="0028343C" w:rsidRPr="00F212E9">
        <w:rPr>
          <w:color w:val="000000"/>
          <w:shd w:val="pct15" w:color="auto" w:fill="auto"/>
        </w:rPr>
        <w:t>PVC</w:t>
      </w:r>
      <w:r w:rsidR="0028343C" w:rsidRPr="00F212E9">
        <w:rPr>
          <w:color w:val="000000"/>
          <w:shd w:val="pct15" w:color="auto" w:fill="auto"/>
          <w:lang w:val="bg-BG"/>
        </w:rPr>
        <w:t>/алуминий блистери</w:t>
      </w:r>
      <w:r w:rsidR="0028343C" w:rsidRPr="00ED510E">
        <w:rPr>
          <w:color w:val="000000"/>
          <w:shd w:val="pct15" w:color="auto" w:fill="auto"/>
          <w:lang w:val="bg-BG"/>
        </w:rPr>
        <w:t>)</w:t>
      </w:r>
    </w:p>
    <w:p w14:paraId="3E5508AE" w14:textId="77777777" w:rsidR="00426F49" w:rsidRPr="00FE6AC6" w:rsidRDefault="00426F49" w:rsidP="0063575E">
      <w:pPr>
        <w:widowControl w:val="0"/>
        <w:tabs>
          <w:tab w:val="clear" w:pos="567"/>
          <w:tab w:val="left" w:pos="2268"/>
        </w:tabs>
        <w:spacing w:line="240" w:lineRule="auto"/>
        <w:rPr>
          <w:color w:val="000000"/>
          <w:shd w:val="clear" w:color="auto" w:fill="D9D9D9"/>
          <w:lang w:val="bg-BG"/>
        </w:rPr>
      </w:pPr>
      <w:r w:rsidRPr="00FE6AC6">
        <w:rPr>
          <w:color w:val="000000"/>
          <w:shd w:val="clear" w:color="auto" w:fill="D9D9D9"/>
        </w:rPr>
        <w:t>EU</w:t>
      </w:r>
      <w:r w:rsidRPr="00FE6AC6">
        <w:rPr>
          <w:color w:val="000000"/>
          <w:shd w:val="clear" w:color="auto" w:fill="D9D9D9"/>
          <w:lang w:val="bg-BG"/>
        </w:rPr>
        <w:t>/1/01/198/011</w:t>
      </w:r>
      <w:r w:rsidRPr="00FE6AC6">
        <w:rPr>
          <w:color w:val="000000"/>
          <w:shd w:val="clear" w:color="auto" w:fill="D9D9D9"/>
          <w:lang w:val="bg-BG"/>
        </w:rPr>
        <w:tab/>
        <w:t>120</w:t>
      </w:r>
      <w:r w:rsidRPr="00FE6AC6">
        <w:rPr>
          <w:color w:val="000000"/>
          <w:shd w:val="clear" w:color="auto" w:fill="D9D9D9"/>
        </w:rPr>
        <w:t> </w:t>
      </w:r>
      <w:r w:rsidRPr="00FE6AC6">
        <w:rPr>
          <w:color w:val="000000"/>
          <w:shd w:val="clear" w:color="auto" w:fill="D9D9D9"/>
          <w:lang w:val="bg-BG"/>
        </w:rPr>
        <w:t>таблетки</w:t>
      </w:r>
      <w:r w:rsidR="0028343C" w:rsidRPr="00ED510E">
        <w:rPr>
          <w:color w:val="000000"/>
          <w:shd w:val="clear" w:color="auto" w:fill="D9D9D9"/>
          <w:lang w:val="bg-BG"/>
        </w:rPr>
        <w:t xml:space="preserve"> </w:t>
      </w:r>
      <w:r w:rsidR="0028343C" w:rsidRPr="00ED510E">
        <w:rPr>
          <w:color w:val="000000"/>
          <w:shd w:val="pct15" w:color="auto" w:fill="auto"/>
          <w:lang w:val="bg-BG"/>
        </w:rPr>
        <w:t>(</w:t>
      </w:r>
      <w:r w:rsidR="0028343C" w:rsidRPr="00F212E9">
        <w:rPr>
          <w:color w:val="000000"/>
          <w:shd w:val="pct15" w:color="auto" w:fill="auto"/>
        </w:rPr>
        <w:t>PVC</w:t>
      </w:r>
      <w:r w:rsidR="0028343C" w:rsidRPr="00F212E9">
        <w:rPr>
          <w:color w:val="000000"/>
          <w:shd w:val="pct15" w:color="auto" w:fill="auto"/>
          <w:lang w:val="bg-BG"/>
        </w:rPr>
        <w:t>/алуминий блистери</w:t>
      </w:r>
      <w:r w:rsidR="0028343C" w:rsidRPr="00ED510E">
        <w:rPr>
          <w:color w:val="000000"/>
          <w:shd w:val="pct15" w:color="auto" w:fill="auto"/>
          <w:lang w:val="bg-BG"/>
        </w:rPr>
        <w:t>)</w:t>
      </w:r>
    </w:p>
    <w:p w14:paraId="3E5508AF" w14:textId="77777777" w:rsidR="00426F49" w:rsidRPr="00FE6AC6" w:rsidRDefault="00426F49" w:rsidP="0063575E">
      <w:pPr>
        <w:widowControl w:val="0"/>
        <w:tabs>
          <w:tab w:val="clear" w:pos="567"/>
          <w:tab w:val="left" w:pos="2268"/>
        </w:tabs>
        <w:spacing w:line="240" w:lineRule="auto"/>
        <w:rPr>
          <w:color w:val="000000"/>
          <w:shd w:val="clear" w:color="auto" w:fill="D9D9D9"/>
          <w:lang w:val="bg-BG"/>
        </w:rPr>
      </w:pPr>
      <w:r w:rsidRPr="00FE6AC6">
        <w:rPr>
          <w:color w:val="000000"/>
          <w:shd w:val="clear" w:color="auto" w:fill="D9D9D9"/>
        </w:rPr>
        <w:t>EU</w:t>
      </w:r>
      <w:r w:rsidRPr="00FE6AC6">
        <w:rPr>
          <w:color w:val="000000"/>
          <w:shd w:val="clear" w:color="auto" w:fill="D9D9D9"/>
          <w:lang w:val="bg-BG"/>
        </w:rPr>
        <w:t>/1/01/198/012</w:t>
      </w:r>
      <w:r w:rsidRPr="00FE6AC6">
        <w:rPr>
          <w:color w:val="000000"/>
          <w:shd w:val="clear" w:color="auto" w:fill="D9D9D9"/>
          <w:lang w:val="bg-BG"/>
        </w:rPr>
        <w:tab/>
        <w:t>180</w:t>
      </w:r>
      <w:r w:rsidRPr="00FE6AC6">
        <w:rPr>
          <w:color w:val="000000"/>
          <w:shd w:val="clear" w:color="auto" w:fill="D9D9D9"/>
        </w:rPr>
        <w:t> </w:t>
      </w:r>
      <w:r w:rsidRPr="00FE6AC6">
        <w:rPr>
          <w:color w:val="000000"/>
          <w:shd w:val="clear" w:color="auto" w:fill="D9D9D9"/>
          <w:lang w:val="bg-BG"/>
        </w:rPr>
        <w:t>таблетки</w:t>
      </w:r>
      <w:r w:rsidR="0028343C" w:rsidRPr="00ED510E">
        <w:rPr>
          <w:color w:val="000000"/>
          <w:shd w:val="clear" w:color="auto" w:fill="D9D9D9"/>
          <w:lang w:val="bg-BG"/>
        </w:rPr>
        <w:t xml:space="preserve"> </w:t>
      </w:r>
      <w:r w:rsidR="0028343C" w:rsidRPr="00ED510E">
        <w:rPr>
          <w:color w:val="000000"/>
          <w:shd w:val="pct15" w:color="auto" w:fill="auto"/>
          <w:lang w:val="bg-BG"/>
        </w:rPr>
        <w:t>(</w:t>
      </w:r>
      <w:r w:rsidR="0028343C" w:rsidRPr="00F212E9">
        <w:rPr>
          <w:color w:val="000000"/>
          <w:shd w:val="pct15" w:color="auto" w:fill="auto"/>
        </w:rPr>
        <w:t>PVC</w:t>
      </w:r>
      <w:r w:rsidR="0028343C" w:rsidRPr="00F212E9">
        <w:rPr>
          <w:color w:val="000000"/>
          <w:shd w:val="pct15" w:color="auto" w:fill="auto"/>
          <w:lang w:val="bg-BG"/>
        </w:rPr>
        <w:t>/алуминий блистери</w:t>
      </w:r>
      <w:r w:rsidR="0028343C" w:rsidRPr="00ED510E">
        <w:rPr>
          <w:color w:val="000000"/>
          <w:shd w:val="pct15" w:color="auto" w:fill="auto"/>
          <w:lang w:val="bg-BG"/>
        </w:rPr>
        <w:t>)</w:t>
      </w:r>
    </w:p>
    <w:p w14:paraId="3E5508B0" w14:textId="77777777" w:rsidR="0028343C" w:rsidRPr="00ED510E" w:rsidRDefault="0028343C" w:rsidP="0063575E">
      <w:pPr>
        <w:widowControl w:val="0"/>
        <w:tabs>
          <w:tab w:val="clear" w:pos="567"/>
        </w:tabs>
        <w:spacing w:line="240" w:lineRule="auto"/>
        <w:ind w:left="2268" w:hanging="2268"/>
        <w:rPr>
          <w:color w:val="000000"/>
          <w:shd w:val="clear" w:color="auto" w:fill="D9D9D9"/>
          <w:lang w:val="bg-BG"/>
        </w:rPr>
      </w:pPr>
      <w:r w:rsidRPr="00E90613">
        <w:rPr>
          <w:color w:val="000000"/>
          <w:shd w:val="clear" w:color="auto" w:fill="D9D9D9"/>
        </w:rPr>
        <w:t>EU</w:t>
      </w:r>
      <w:r w:rsidRPr="00E90613">
        <w:rPr>
          <w:color w:val="000000"/>
          <w:shd w:val="clear" w:color="auto" w:fill="D9D9D9"/>
          <w:lang w:val="bg-BG"/>
        </w:rPr>
        <w:t>/1/01/198/01</w:t>
      </w:r>
      <w:r w:rsidR="003B2B39" w:rsidRPr="00ED510E">
        <w:rPr>
          <w:color w:val="000000"/>
          <w:shd w:val="clear" w:color="auto" w:fill="D9D9D9"/>
          <w:lang w:val="bg-BG"/>
        </w:rPr>
        <w:t>4</w:t>
      </w:r>
      <w:r w:rsidRPr="00E90613">
        <w:rPr>
          <w:color w:val="000000"/>
          <w:shd w:val="clear" w:color="auto" w:fill="D9D9D9"/>
          <w:lang w:val="bg-BG"/>
        </w:rPr>
        <w:tab/>
      </w:r>
      <w:r w:rsidR="003B2B39" w:rsidRPr="00ED510E">
        <w:rPr>
          <w:color w:val="000000"/>
          <w:shd w:val="clear" w:color="auto" w:fill="D9D9D9"/>
          <w:lang w:val="bg-BG"/>
        </w:rPr>
        <w:t>6</w:t>
      </w:r>
      <w:r w:rsidRPr="00E90613">
        <w:rPr>
          <w:color w:val="000000"/>
          <w:shd w:val="clear" w:color="auto" w:fill="D9D9D9"/>
          <w:lang w:val="bg-BG"/>
        </w:rPr>
        <w:t>0</w:t>
      </w:r>
      <w:r w:rsidRPr="00E90613">
        <w:rPr>
          <w:color w:val="000000"/>
          <w:shd w:val="clear" w:color="auto" w:fill="D9D9D9"/>
        </w:rPr>
        <w:t> </w:t>
      </w:r>
      <w:r w:rsidRPr="00E90613">
        <w:rPr>
          <w:color w:val="000000"/>
          <w:shd w:val="clear" w:color="auto" w:fill="D9D9D9"/>
          <w:lang w:val="bg-BG"/>
        </w:rPr>
        <w:t>таблетки</w:t>
      </w:r>
      <w:r w:rsidRPr="00ED510E">
        <w:rPr>
          <w:color w:val="000000"/>
          <w:shd w:val="pct15" w:color="auto" w:fill="auto"/>
          <w:lang w:val="bg-BG"/>
        </w:rPr>
        <w:t xml:space="preserve"> (</w:t>
      </w:r>
      <w:r w:rsidRPr="00F212E9">
        <w:rPr>
          <w:color w:val="000000"/>
          <w:shd w:val="pct15" w:color="auto" w:fill="auto"/>
        </w:rPr>
        <w:t>PVDC</w:t>
      </w:r>
      <w:r w:rsidRPr="00F212E9">
        <w:rPr>
          <w:color w:val="000000"/>
          <w:shd w:val="pct15" w:color="auto" w:fill="auto"/>
          <w:lang w:val="ru-RU"/>
        </w:rPr>
        <w:t>/</w:t>
      </w:r>
      <w:r w:rsidRPr="00F212E9">
        <w:rPr>
          <w:color w:val="000000"/>
          <w:shd w:val="pct15" w:color="auto" w:fill="auto"/>
          <w:lang w:val="bg-BG"/>
        </w:rPr>
        <w:t>алуминий</w:t>
      </w:r>
      <w:r w:rsidRPr="00F212E9">
        <w:rPr>
          <w:color w:val="000000"/>
          <w:shd w:val="pct15" w:color="auto" w:fill="auto"/>
          <w:lang w:val="ru-RU"/>
        </w:rPr>
        <w:t xml:space="preserve"> </w:t>
      </w:r>
      <w:r w:rsidRPr="00F212E9">
        <w:rPr>
          <w:color w:val="000000"/>
          <w:shd w:val="pct15" w:color="auto" w:fill="auto"/>
          <w:lang w:val="bg-BG"/>
        </w:rPr>
        <w:t>блистери</w:t>
      </w:r>
      <w:r w:rsidRPr="00ED510E">
        <w:rPr>
          <w:color w:val="000000"/>
          <w:shd w:val="pct15" w:color="auto" w:fill="auto"/>
          <w:lang w:val="bg-BG"/>
        </w:rPr>
        <w:t>)</w:t>
      </w:r>
    </w:p>
    <w:p w14:paraId="3E5508B1" w14:textId="77777777" w:rsidR="0028343C" w:rsidRDefault="0028343C" w:rsidP="0063575E">
      <w:pPr>
        <w:widowControl w:val="0"/>
        <w:tabs>
          <w:tab w:val="clear" w:pos="567"/>
        </w:tabs>
        <w:spacing w:line="240" w:lineRule="auto"/>
        <w:ind w:left="2268" w:hanging="2268"/>
        <w:rPr>
          <w:color w:val="000000"/>
          <w:shd w:val="clear" w:color="auto" w:fill="D9D9D9"/>
          <w:lang w:val="bg-BG"/>
        </w:rPr>
      </w:pPr>
      <w:r w:rsidRPr="00E90613">
        <w:rPr>
          <w:color w:val="000000"/>
          <w:shd w:val="clear" w:color="auto" w:fill="D9D9D9"/>
        </w:rPr>
        <w:t>EU</w:t>
      </w:r>
      <w:r w:rsidRPr="00E90613">
        <w:rPr>
          <w:color w:val="000000"/>
          <w:shd w:val="clear" w:color="auto" w:fill="D9D9D9"/>
          <w:lang w:val="bg-BG"/>
        </w:rPr>
        <w:t>/1/01/198/01</w:t>
      </w:r>
      <w:r w:rsidR="003B2B39" w:rsidRPr="00ED510E">
        <w:rPr>
          <w:color w:val="000000"/>
          <w:shd w:val="clear" w:color="auto" w:fill="D9D9D9"/>
          <w:lang w:val="bg-BG"/>
        </w:rPr>
        <w:t>5</w:t>
      </w:r>
      <w:r w:rsidRPr="00E90613">
        <w:rPr>
          <w:color w:val="000000"/>
          <w:shd w:val="clear" w:color="auto" w:fill="D9D9D9"/>
          <w:lang w:val="bg-BG"/>
        </w:rPr>
        <w:tab/>
        <w:t>1</w:t>
      </w:r>
      <w:r w:rsidR="003B2B39" w:rsidRPr="00ED510E">
        <w:rPr>
          <w:color w:val="000000"/>
          <w:shd w:val="clear" w:color="auto" w:fill="D9D9D9"/>
          <w:lang w:val="bg-BG"/>
        </w:rPr>
        <w:t>2</w:t>
      </w:r>
      <w:r w:rsidRPr="00E90613">
        <w:rPr>
          <w:color w:val="000000"/>
          <w:shd w:val="clear" w:color="auto" w:fill="D9D9D9"/>
          <w:lang w:val="bg-BG"/>
        </w:rPr>
        <w:t>0</w:t>
      </w:r>
      <w:r w:rsidRPr="00E90613">
        <w:rPr>
          <w:color w:val="000000"/>
          <w:shd w:val="clear" w:color="auto" w:fill="D9D9D9"/>
        </w:rPr>
        <w:t> </w:t>
      </w:r>
      <w:r w:rsidRPr="00E90613">
        <w:rPr>
          <w:color w:val="000000"/>
          <w:shd w:val="clear" w:color="auto" w:fill="D9D9D9"/>
          <w:lang w:val="bg-BG"/>
        </w:rPr>
        <w:t>таблетки</w:t>
      </w:r>
      <w:r w:rsidRPr="00ED510E">
        <w:rPr>
          <w:color w:val="000000"/>
          <w:shd w:val="pct15" w:color="auto" w:fill="auto"/>
          <w:lang w:val="bg-BG"/>
        </w:rPr>
        <w:t xml:space="preserve"> (</w:t>
      </w:r>
      <w:r w:rsidRPr="00F212E9">
        <w:rPr>
          <w:color w:val="000000"/>
          <w:shd w:val="pct15" w:color="auto" w:fill="auto"/>
        </w:rPr>
        <w:t>PVDC</w:t>
      </w:r>
      <w:r w:rsidRPr="00F212E9">
        <w:rPr>
          <w:color w:val="000000"/>
          <w:shd w:val="pct15" w:color="auto" w:fill="auto"/>
          <w:lang w:val="ru-RU"/>
        </w:rPr>
        <w:t>/</w:t>
      </w:r>
      <w:r w:rsidRPr="00F212E9">
        <w:rPr>
          <w:color w:val="000000"/>
          <w:shd w:val="pct15" w:color="auto" w:fill="auto"/>
          <w:lang w:val="bg-BG"/>
        </w:rPr>
        <w:t>алуминий</w:t>
      </w:r>
      <w:r w:rsidRPr="00F212E9">
        <w:rPr>
          <w:color w:val="000000"/>
          <w:shd w:val="pct15" w:color="auto" w:fill="auto"/>
          <w:lang w:val="ru-RU"/>
        </w:rPr>
        <w:t xml:space="preserve"> </w:t>
      </w:r>
      <w:r w:rsidRPr="00F212E9">
        <w:rPr>
          <w:color w:val="000000"/>
          <w:shd w:val="pct15" w:color="auto" w:fill="auto"/>
          <w:lang w:val="bg-BG"/>
        </w:rPr>
        <w:t>блистери</w:t>
      </w:r>
      <w:r w:rsidRPr="00ED510E">
        <w:rPr>
          <w:color w:val="000000"/>
          <w:shd w:val="pct15" w:color="auto" w:fill="auto"/>
          <w:lang w:val="bg-BG"/>
        </w:rPr>
        <w:t>)</w:t>
      </w:r>
    </w:p>
    <w:p w14:paraId="3E5508B2" w14:textId="77777777" w:rsidR="00D75C11" w:rsidRPr="00FE6AC6" w:rsidRDefault="00D75C11" w:rsidP="0063575E">
      <w:pPr>
        <w:widowControl w:val="0"/>
        <w:tabs>
          <w:tab w:val="clear" w:pos="567"/>
          <w:tab w:val="left" w:pos="2268"/>
        </w:tabs>
        <w:spacing w:line="240" w:lineRule="auto"/>
        <w:rPr>
          <w:color w:val="000000"/>
          <w:shd w:val="clear" w:color="auto" w:fill="D9D9D9"/>
          <w:lang w:val="bg-BG"/>
        </w:rPr>
      </w:pPr>
      <w:r w:rsidRPr="00FE6AC6">
        <w:rPr>
          <w:color w:val="000000"/>
          <w:shd w:val="clear" w:color="auto" w:fill="D9D9D9"/>
        </w:rPr>
        <w:t>EU</w:t>
      </w:r>
      <w:r w:rsidRPr="00FE6AC6">
        <w:rPr>
          <w:color w:val="000000"/>
          <w:shd w:val="clear" w:color="auto" w:fill="D9D9D9"/>
          <w:lang w:val="bg-BG"/>
        </w:rPr>
        <w:t>/1/01/198/0</w:t>
      </w:r>
      <w:r w:rsidR="006B47C7" w:rsidRPr="00ED510E">
        <w:rPr>
          <w:color w:val="000000"/>
          <w:shd w:val="clear" w:color="auto" w:fill="D9D9D9"/>
          <w:lang w:val="bg-BG"/>
        </w:rPr>
        <w:t>1</w:t>
      </w:r>
      <w:r w:rsidR="003B2B39" w:rsidRPr="00ED510E">
        <w:rPr>
          <w:color w:val="000000"/>
          <w:shd w:val="clear" w:color="auto" w:fill="D9D9D9"/>
          <w:lang w:val="bg-BG"/>
        </w:rPr>
        <w:t>6</w:t>
      </w:r>
      <w:r w:rsidRPr="00FE6AC6">
        <w:rPr>
          <w:color w:val="000000"/>
          <w:shd w:val="clear" w:color="auto" w:fill="D9D9D9"/>
          <w:lang w:val="bg-BG"/>
        </w:rPr>
        <w:tab/>
      </w:r>
      <w:r w:rsidR="003B2B39" w:rsidRPr="00ED510E">
        <w:rPr>
          <w:color w:val="000000"/>
          <w:shd w:val="clear" w:color="auto" w:fill="D9D9D9"/>
          <w:lang w:val="bg-BG"/>
        </w:rPr>
        <w:t>18</w:t>
      </w:r>
      <w:r w:rsidRPr="00FE6AC6">
        <w:rPr>
          <w:color w:val="000000"/>
          <w:shd w:val="clear" w:color="auto" w:fill="D9D9D9"/>
          <w:lang w:val="bg-BG"/>
        </w:rPr>
        <w:t>0</w:t>
      </w:r>
      <w:r w:rsidRPr="00FE6AC6">
        <w:rPr>
          <w:color w:val="000000"/>
          <w:shd w:val="clear" w:color="auto" w:fill="D9D9D9"/>
        </w:rPr>
        <w:t> </w:t>
      </w:r>
      <w:r w:rsidRPr="00FE6AC6">
        <w:rPr>
          <w:color w:val="000000"/>
          <w:shd w:val="clear" w:color="auto" w:fill="D9D9D9"/>
          <w:lang w:val="bg-BG"/>
        </w:rPr>
        <w:t>таблетки</w:t>
      </w:r>
      <w:r w:rsidRPr="00ED510E">
        <w:rPr>
          <w:color w:val="000000"/>
          <w:shd w:val="clear" w:color="auto" w:fill="D9D9D9"/>
          <w:lang w:val="bg-BG"/>
        </w:rPr>
        <w:t xml:space="preserve"> </w:t>
      </w:r>
      <w:r w:rsidRPr="00ED510E">
        <w:rPr>
          <w:color w:val="000000"/>
          <w:shd w:val="pct15" w:color="auto" w:fill="auto"/>
          <w:lang w:val="bg-BG"/>
        </w:rPr>
        <w:t>(</w:t>
      </w:r>
      <w:r w:rsidRPr="00F212E9">
        <w:rPr>
          <w:color w:val="000000"/>
          <w:shd w:val="pct15" w:color="auto" w:fill="auto"/>
        </w:rPr>
        <w:t>PV</w:t>
      </w:r>
      <w:r>
        <w:rPr>
          <w:color w:val="000000"/>
          <w:shd w:val="pct15" w:color="auto" w:fill="auto"/>
        </w:rPr>
        <w:t>D</w:t>
      </w:r>
      <w:r w:rsidRPr="00F212E9">
        <w:rPr>
          <w:color w:val="000000"/>
          <w:shd w:val="pct15" w:color="auto" w:fill="auto"/>
        </w:rPr>
        <w:t>C</w:t>
      </w:r>
      <w:r w:rsidRPr="00F212E9">
        <w:rPr>
          <w:color w:val="000000"/>
          <w:shd w:val="pct15" w:color="auto" w:fill="auto"/>
          <w:lang w:val="bg-BG"/>
        </w:rPr>
        <w:t>/алуминий блистери</w:t>
      </w:r>
      <w:r w:rsidRPr="00ED510E">
        <w:rPr>
          <w:color w:val="000000"/>
          <w:shd w:val="pct15" w:color="auto" w:fill="auto"/>
          <w:lang w:val="bg-BG"/>
        </w:rPr>
        <w:t>)</w:t>
      </w:r>
    </w:p>
    <w:p w14:paraId="3E5508B3" w14:textId="77777777" w:rsidR="00426F49" w:rsidRPr="00FE6AC6" w:rsidRDefault="00426F49" w:rsidP="0063575E">
      <w:pPr>
        <w:widowControl w:val="0"/>
        <w:tabs>
          <w:tab w:val="clear" w:pos="567"/>
        </w:tabs>
        <w:spacing w:line="240" w:lineRule="auto"/>
        <w:rPr>
          <w:noProof/>
          <w:color w:val="000000"/>
          <w:lang w:val="bg-BG"/>
        </w:rPr>
      </w:pPr>
    </w:p>
    <w:p w14:paraId="3E5508B4" w14:textId="77777777" w:rsidR="00426F49" w:rsidRPr="00FE6AC6" w:rsidRDefault="00426F49" w:rsidP="0063575E">
      <w:pPr>
        <w:widowControl w:val="0"/>
        <w:tabs>
          <w:tab w:val="clear" w:pos="567"/>
        </w:tabs>
        <w:spacing w:line="240" w:lineRule="auto"/>
        <w:rPr>
          <w:noProof/>
          <w:color w:val="000000"/>
          <w:lang w:val="bg-BG"/>
        </w:rPr>
      </w:pPr>
    </w:p>
    <w:p w14:paraId="3E5508B5"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13.</w:t>
      </w:r>
      <w:r w:rsidRPr="00FE6AC6">
        <w:rPr>
          <w:b/>
          <w:noProof/>
          <w:color w:val="000000"/>
          <w:lang w:val="bg-BG"/>
        </w:rPr>
        <w:tab/>
        <w:t>ПАРТИДЕН НОМЕР</w:t>
      </w:r>
    </w:p>
    <w:p w14:paraId="3E5508B6" w14:textId="77777777" w:rsidR="00426F49" w:rsidRPr="00FE6AC6" w:rsidRDefault="00426F49" w:rsidP="0063575E">
      <w:pPr>
        <w:widowControl w:val="0"/>
        <w:tabs>
          <w:tab w:val="clear" w:pos="567"/>
        </w:tabs>
        <w:spacing w:line="240" w:lineRule="auto"/>
        <w:rPr>
          <w:noProof/>
          <w:color w:val="000000"/>
          <w:lang w:val="bg-BG"/>
        </w:rPr>
      </w:pPr>
    </w:p>
    <w:p w14:paraId="3E5508B7"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Партиден №</w:t>
      </w:r>
    </w:p>
    <w:p w14:paraId="3E5508B8" w14:textId="77777777" w:rsidR="00426F49" w:rsidRPr="00FE6AC6" w:rsidRDefault="00426F49" w:rsidP="0063575E">
      <w:pPr>
        <w:widowControl w:val="0"/>
        <w:tabs>
          <w:tab w:val="clear" w:pos="567"/>
        </w:tabs>
        <w:spacing w:line="240" w:lineRule="auto"/>
        <w:rPr>
          <w:noProof/>
          <w:color w:val="000000"/>
          <w:lang w:val="bg-BG"/>
        </w:rPr>
      </w:pPr>
    </w:p>
    <w:p w14:paraId="3E5508B9" w14:textId="77777777" w:rsidR="00426F49" w:rsidRPr="00FE6AC6" w:rsidRDefault="00426F49" w:rsidP="0063575E">
      <w:pPr>
        <w:widowControl w:val="0"/>
        <w:tabs>
          <w:tab w:val="clear" w:pos="567"/>
        </w:tabs>
        <w:spacing w:line="240" w:lineRule="auto"/>
        <w:rPr>
          <w:noProof/>
          <w:color w:val="000000"/>
          <w:lang w:val="bg-BG"/>
        </w:rPr>
      </w:pPr>
    </w:p>
    <w:p w14:paraId="3E5508BA"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14.</w:t>
      </w:r>
      <w:r w:rsidRPr="00FE6AC6">
        <w:rPr>
          <w:b/>
          <w:noProof/>
          <w:color w:val="000000"/>
          <w:lang w:val="bg-BG"/>
        </w:rPr>
        <w:tab/>
        <w:t>НАЧИН НА ОТПУСКАНЕ</w:t>
      </w:r>
    </w:p>
    <w:p w14:paraId="3E5508BB" w14:textId="77777777" w:rsidR="00426F49" w:rsidRPr="00FE6AC6" w:rsidRDefault="00426F49" w:rsidP="0063575E">
      <w:pPr>
        <w:widowControl w:val="0"/>
        <w:tabs>
          <w:tab w:val="clear" w:pos="567"/>
        </w:tabs>
        <w:spacing w:line="240" w:lineRule="auto"/>
        <w:rPr>
          <w:noProof/>
          <w:color w:val="000000"/>
          <w:lang w:val="bg-BG"/>
        </w:rPr>
      </w:pPr>
    </w:p>
    <w:p w14:paraId="3E5508BC" w14:textId="77777777" w:rsidR="00426F49" w:rsidRPr="00FE6AC6" w:rsidRDefault="00426F49" w:rsidP="0063575E">
      <w:pPr>
        <w:widowControl w:val="0"/>
        <w:tabs>
          <w:tab w:val="clear" w:pos="567"/>
        </w:tabs>
        <w:spacing w:line="240" w:lineRule="auto"/>
        <w:rPr>
          <w:noProof/>
          <w:color w:val="000000"/>
          <w:lang w:val="bg-BG"/>
        </w:rPr>
      </w:pPr>
    </w:p>
    <w:p w14:paraId="3E5508BD"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15.</w:t>
      </w:r>
      <w:r w:rsidRPr="00FE6AC6">
        <w:rPr>
          <w:b/>
          <w:noProof/>
          <w:color w:val="000000"/>
          <w:lang w:val="bg-BG"/>
        </w:rPr>
        <w:tab/>
        <w:t>УКАЗАНИЯ ЗА УПОТРЕБА</w:t>
      </w:r>
    </w:p>
    <w:p w14:paraId="3E5508BE" w14:textId="77777777" w:rsidR="00426F49" w:rsidRPr="00FE6AC6" w:rsidRDefault="00426F49" w:rsidP="0063575E">
      <w:pPr>
        <w:widowControl w:val="0"/>
        <w:tabs>
          <w:tab w:val="clear" w:pos="567"/>
        </w:tabs>
        <w:spacing w:line="240" w:lineRule="auto"/>
        <w:rPr>
          <w:noProof/>
          <w:color w:val="000000"/>
          <w:lang w:val="bg-BG"/>
        </w:rPr>
      </w:pPr>
    </w:p>
    <w:p w14:paraId="3E5508BF" w14:textId="77777777" w:rsidR="00426F49" w:rsidRPr="00FE6AC6" w:rsidRDefault="00426F49" w:rsidP="0063575E">
      <w:pPr>
        <w:widowControl w:val="0"/>
        <w:tabs>
          <w:tab w:val="clear" w:pos="567"/>
        </w:tabs>
        <w:spacing w:line="240" w:lineRule="auto"/>
        <w:rPr>
          <w:noProof/>
          <w:color w:val="000000"/>
          <w:lang w:val="bg-BG"/>
        </w:rPr>
      </w:pPr>
    </w:p>
    <w:p w14:paraId="3E5508C0"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16.</w:t>
      </w:r>
      <w:r w:rsidRPr="00FE6AC6">
        <w:rPr>
          <w:b/>
          <w:noProof/>
          <w:color w:val="000000"/>
          <w:lang w:val="bg-BG"/>
        </w:rPr>
        <w:tab/>
        <w:t>ИНФОРМАЦИЯ НА БРАЙЛОВА АЗБУКА</w:t>
      </w:r>
    </w:p>
    <w:p w14:paraId="3E5508C1" w14:textId="77777777" w:rsidR="00426F49" w:rsidRPr="00FE6AC6" w:rsidRDefault="00426F49" w:rsidP="0063575E">
      <w:pPr>
        <w:widowControl w:val="0"/>
        <w:tabs>
          <w:tab w:val="clear" w:pos="567"/>
        </w:tabs>
        <w:spacing w:line="240" w:lineRule="auto"/>
        <w:rPr>
          <w:noProof/>
          <w:color w:val="000000"/>
          <w:lang w:val="bg-BG"/>
        </w:rPr>
      </w:pPr>
    </w:p>
    <w:p w14:paraId="3E5508C2" w14:textId="77777777" w:rsidR="00426F49" w:rsidRPr="00FE6AC6" w:rsidRDefault="00426F49" w:rsidP="0063575E">
      <w:pPr>
        <w:widowControl w:val="0"/>
        <w:spacing w:line="240" w:lineRule="auto"/>
        <w:rPr>
          <w:color w:val="000000"/>
          <w:lang w:val="ru-RU"/>
        </w:rPr>
      </w:pPr>
      <w:r w:rsidRPr="00FE6AC6">
        <w:rPr>
          <w:color w:val="000000"/>
        </w:rPr>
        <w:t>Glivec</w:t>
      </w:r>
      <w:r w:rsidRPr="00FE6AC6">
        <w:rPr>
          <w:color w:val="000000"/>
          <w:lang w:val="ru-RU"/>
        </w:rPr>
        <w:t xml:space="preserve"> 100</w:t>
      </w:r>
      <w:r w:rsidRPr="00FE6AC6">
        <w:rPr>
          <w:color w:val="000000"/>
        </w:rPr>
        <w:t> mg</w:t>
      </w:r>
    </w:p>
    <w:p w14:paraId="3E5508C3" w14:textId="77777777" w:rsidR="00426F49" w:rsidRPr="00FE6AC6" w:rsidRDefault="00426F49" w:rsidP="0063575E">
      <w:pPr>
        <w:widowControl w:val="0"/>
        <w:tabs>
          <w:tab w:val="clear" w:pos="567"/>
        </w:tabs>
        <w:spacing w:line="240" w:lineRule="auto"/>
        <w:rPr>
          <w:noProof/>
          <w:color w:val="000000"/>
          <w:lang w:val="bg-BG"/>
        </w:rPr>
      </w:pPr>
    </w:p>
    <w:p w14:paraId="3E5508C4" w14:textId="77777777" w:rsidR="00785719" w:rsidRPr="00FE6AC6" w:rsidRDefault="00785719" w:rsidP="0063575E">
      <w:pPr>
        <w:widowControl w:val="0"/>
        <w:tabs>
          <w:tab w:val="clear" w:pos="567"/>
        </w:tabs>
        <w:spacing w:line="240" w:lineRule="auto"/>
        <w:rPr>
          <w:szCs w:val="22"/>
          <w:lang w:val="bg-BG"/>
        </w:rPr>
      </w:pPr>
    </w:p>
    <w:p w14:paraId="3E5508C5" w14:textId="77777777" w:rsidR="00785719" w:rsidRPr="00FE6AC6" w:rsidRDefault="0078571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bg-BG"/>
        </w:rPr>
      </w:pPr>
      <w:r w:rsidRPr="00FE6AC6">
        <w:rPr>
          <w:b/>
          <w:noProof/>
          <w:lang w:val="bg-BG"/>
        </w:rPr>
        <w:t>17.</w:t>
      </w:r>
      <w:r w:rsidRPr="00FE6AC6">
        <w:rPr>
          <w:b/>
          <w:noProof/>
          <w:lang w:val="bg-BG"/>
        </w:rPr>
        <w:tab/>
        <w:t>УНИКАЛЕН ИДЕНТИФИКАТОР — ДВУИЗМЕРЕН БАРКОД</w:t>
      </w:r>
    </w:p>
    <w:p w14:paraId="3E5508C6" w14:textId="77777777" w:rsidR="00785719" w:rsidRPr="00FE6AC6" w:rsidRDefault="00785719" w:rsidP="0063575E">
      <w:pPr>
        <w:widowControl w:val="0"/>
        <w:tabs>
          <w:tab w:val="clear" w:pos="567"/>
        </w:tabs>
        <w:spacing w:line="240" w:lineRule="auto"/>
        <w:rPr>
          <w:noProof/>
          <w:lang w:val="bg-BG"/>
        </w:rPr>
      </w:pPr>
    </w:p>
    <w:p w14:paraId="3E5508C7" w14:textId="77777777" w:rsidR="00785719" w:rsidRPr="00FE6AC6" w:rsidRDefault="00785719" w:rsidP="0063575E">
      <w:pPr>
        <w:widowControl w:val="0"/>
        <w:tabs>
          <w:tab w:val="clear" w:pos="567"/>
        </w:tabs>
        <w:spacing w:line="240" w:lineRule="auto"/>
        <w:rPr>
          <w:noProof/>
          <w:szCs w:val="22"/>
          <w:shd w:val="clear" w:color="auto" w:fill="CCCCCC"/>
          <w:lang w:val="bg-BG"/>
        </w:rPr>
      </w:pPr>
      <w:r w:rsidRPr="00FE6AC6">
        <w:rPr>
          <w:noProof/>
          <w:shd w:val="pct15" w:color="auto" w:fill="auto"/>
          <w:lang w:val="bg-BG"/>
        </w:rPr>
        <w:t>Двуизмерен баркод с включен уникален идентификатор</w:t>
      </w:r>
    </w:p>
    <w:p w14:paraId="3E5508C8" w14:textId="77777777" w:rsidR="00785719" w:rsidRPr="00FE6AC6" w:rsidRDefault="00785719" w:rsidP="0063575E">
      <w:pPr>
        <w:widowControl w:val="0"/>
        <w:tabs>
          <w:tab w:val="clear" w:pos="567"/>
        </w:tabs>
        <w:spacing w:line="240" w:lineRule="auto"/>
        <w:rPr>
          <w:noProof/>
          <w:szCs w:val="22"/>
          <w:shd w:val="clear" w:color="auto" w:fill="CCCCCC"/>
          <w:lang w:val="bg-BG"/>
        </w:rPr>
      </w:pPr>
    </w:p>
    <w:p w14:paraId="3E5508C9" w14:textId="77777777" w:rsidR="00785719" w:rsidRPr="00FE6AC6" w:rsidRDefault="00785719" w:rsidP="0063575E">
      <w:pPr>
        <w:widowControl w:val="0"/>
        <w:tabs>
          <w:tab w:val="clear" w:pos="567"/>
        </w:tabs>
        <w:spacing w:line="240" w:lineRule="auto"/>
        <w:rPr>
          <w:noProof/>
          <w:lang w:val="bg-BG"/>
        </w:rPr>
      </w:pPr>
    </w:p>
    <w:p w14:paraId="3E5508CA" w14:textId="77777777" w:rsidR="00785719" w:rsidRPr="00FE6AC6" w:rsidRDefault="00785719" w:rsidP="0063575E">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bg-BG"/>
        </w:rPr>
      </w:pPr>
      <w:r w:rsidRPr="00FE6AC6">
        <w:rPr>
          <w:b/>
          <w:noProof/>
          <w:lang w:val="bg-BG"/>
        </w:rPr>
        <w:t>18.</w:t>
      </w:r>
      <w:r w:rsidRPr="00FE6AC6">
        <w:rPr>
          <w:b/>
          <w:noProof/>
          <w:lang w:val="bg-BG"/>
        </w:rPr>
        <w:tab/>
        <w:t>УНИКАЛЕН ИДЕНТИФИКАТОР — ДАННИ ЗА ЧЕТЕНЕ ОТ ХОРА</w:t>
      </w:r>
    </w:p>
    <w:p w14:paraId="3E5508CB" w14:textId="77777777" w:rsidR="00785719" w:rsidRPr="00FE6AC6" w:rsidRDefault="00785719" w:rsidP="0063575E">
      <w:pPr>
        <w:keepNext/>
        <w:keepLines/>
        <w:widowControl w:val="0"/>
        <w:tabs>
          <w:tab w:val="clear" w:pos="567"/>
        </w:tabs>
        <w:spacing w:line="240" w:lineRule="auto"/>
        <w:rPr>
          <w:noProof/>
          <w:lang w:val="bg-BG"/>
        </w:rPr>
      </w:pPr>
    </w:p>
    <w:p w14:paraId="3E5508CC" w14:textId="77777777" w:rsidR="00785719" w:rsidRPr="00FE6AC6" w:rsidRDefault="00785719" w:rsidP="0063575E">
      <w:pPr>
        <w:keepNext/>
        <w:keepLines/>
        <w:widowControl w:val="0"/>
        <w:tabs>
          <w:tab w:val="clear" w:pos="567"/>
        </w:tabs>
        <w:spacing w:line="240" w:lineRule="auto"/>
        <w:rPr>
          <w:szCs w:val="22"/>
          <w:lang w:val="bg-BG"/>
        </w:rPr>
      </w:pPr>
      <w:r w:rsidRPr="00FE6AC6">
        <w:t>PC</w:t>
      </w:r>
      <w:r w:rsidRPr="00FE6AC6">
        <w:rPr>
          <w:lang w:val="bg-BG"/>
        </w:rPr>
        <w:t>:</w:t>
      </w:r>
    </w:p>
    <w:p w14:paraId="3E5508CD" w14:textId="77777777" w:rsidR="00785719" w:rsidRPr="00FE6AC6" w:rsidRDefault="00785719" w:rsidP="0063575E">
      <w:pPr>
        <w:keepNext/>
        <w:keepLines/>
        <w:widowControl w:val="0"/>
        <w:tabs>
          <w:tab w:val="clear" w:pos="567"/>
        </w:tabs>
        <w:spacing w:line="240" w:lineRule="auto"/>
        <w:rPr>
          <w:szCs w:val="22"/>
          <w:lang w:val="bg-BG"/>
        </w:rPr>
      </w:pPr>
      <w:r w:rsidRPr="00FE6AC6">
        <w:t>SN</w:t>
      </w:r>
      <w:r w:rsidRPr="00FE6AC6">
        <w:rPr>
          <w:lang w:val="bg-BG"/>
        </w:rPr>
        <w:t>:</w:t>
      </w:r>
    </w:p>
    <w:p w14:paraId="3E5508CE" w14:textId="77777777" w:rsidR="00426F49" w:rsidRPr="00FE6AC6" w:rsidRDefault="00785719" w:rsidP="0063575E">
      <w:pPr>
        <w:keepNext/>
        <w:keepLines/>
        <w:widowControl w:val="0"/>
        <w:tabs>
          <w:tab w:val="clear" w:pos="567"/>
        </w:tabs>
        <w:spacing w:line="240" w:lineRule="auto"/>
        <w:rPr>
          <w:noProof/>
          <w:color w:val="000000"/>
          <w:lang w:val="bg-BG"/>
        </w:rPr>
      </w:pPr>
      <w:r w:rsidRPr="00FE6AC6">
        <w:t>NN</w:t>
      </w:r>
      <w:r w:rsidRPr="00FE6AC6">
        <w:rPr>
          <w:lang w:val="bg-BG"/>
        </w:rPr>
        <w:t>:</w:t>
      </w:r>
    </w:p>
    <w:p w14:paraId="3E5508CF" w14:textId="77777777" w:rsidR="00426F49" w:rsidRPr="00FE6AC6" w:rsidRDefault="00426F49" w:rsidP="0063575E">
      <w:pPr>
        <w:widowControl w:val="0"/>
        <w:spacing w:line="240" w:lineRule="auto"/>
        <w:rPr>
          <w:noProof/>
          <w:color w:val="000000"/>
          <w:lang w:val="bg-BG"/>
        </w:rPr>
      </w:pPr>
      <w:r w:rsidRPr="00FE6AC6">
        <w:rPr>
          <w:b/>
          <w:noProof/>
          <w:color w:val="000000"/>
          <w:lang w:val="bg-BG"/>
        </w:rPr>
        <w:br w:type="page"/>
      </w:r>
    </w:p>
    <w:p w14:paraId="3E5508D0" w14:textId="77777777" w:rsidR="00572F70" w:rsidRPr="00572F70" w:rsidRDefault="00572F70" w:rsidP="00572F70">
      <w:pPr>
        <w:widowControl w:val="0"/>
        <w:spacing w:line="240" w:lineRule="auto"/>
        <w:rPr>
          <w:noProof/>
          <w:color w:val="000000"/>
          <w:lang w:val="ru-RU"/>
        </w:rPr>
      </w:pPr>
    </w:p>
    <w:p w14:paraId="3E5508D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b/>
          <w:noProof/>
          <w:color w:val="000000"/>
          <w:lang w:val="ru-RU"/>
        </w:rPr>
      </w:pPr>
      <w:r w:rsidRPr="00FE6AC6">
        <w:rPr>
          <w:b/>
          <w:noProof/>
          <w:color w:val="000000"/>
          <w:lang w:val="ru-RU"/>
        </w:rPr>
        <w:t>МИНИМУМ ДАННИ, КОИТО ТРЯБВА ДА СЪДЪРЖАТ БЛИСТЕРИТЕ И ЛЕНТИТЕ</w:t>
      </w:r>
    </w:p>
    <w:p w14:paraId="3E5508D2"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noProof/>
          <w:color w:val="000000"/>
          <w:lang w:val="ru-RU"/>
        </w:rPr>
      </w:pPr>
    </w:p>
    <w:p w14:paraId="3E5508D3"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b/>
          <w:noProof/>
          <w:color w:val="000000"/>
          <w:lang w:val="ru-RU"/>
        </w:rPr>
      </w:pPr>
      <w:r w:rsidRPr="00FE6AC6">
        <w:rPr>
          <w:b/>
          <w:noProof/>
          <w:color w:val="000000"/>
          <w:lang w:val="ru-RU"/>
        </w:rPr>
        <w:t>БЛИСТЕРИ</w:t>
      </w:r>
    </w:p>
    <w:p w14:paraId="3E5508D4" w14:textId="77777777" w:rsidR="00426F49" w:rsidRPr="00FE6AC6" w:rsidRDefault="00426F49" w:rsidP="0063575E">
      <w:pPr>
        <w:widowControl w:val="0"/>
        <w:tabs>
          <w:tab w:val="clear" w:pos="567"/>
        </w:tabs>
        <w:spacing w:line="240" w:lineRule="auto"/>
        <w:rPr>
          <w:noProof/>
          <w:color w:val="000000"/>
          <w:lang w:val="ru-RU"/>
        </w:rPr>
      </w:pPr>
    </w:p>
    <w:p w14:paraId="3E5508D5" w14:textId="77777777" w:rsidR="00426F49" w:rsidRPr="00FE6AC6" w:rsidRDefault="00426F49" w:rsidP="0063575E">
      <w:pPr>
        <w:widowControl w:val="0"/>
        <w:tabs>
          <w:tab w:val="clear" w:pos="567"/>
        </w:tabs>
        <w:spacing w:line="240" w:lineRule="auto"/>
        <w:rPr>
          <w:noProof/>
          <w:color w:val="000000"/>
          <w:lang w:val="ru-RU"/>
        </w:rPr>
      </w:pPr>
    </w:p>
    <w:p w14:paraId="3E5508D6"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1.</w:t>
      </w:r>
      <w:r w:rsidRPr="00FE6AC6">
        <w:rPr>
          <w:b/>
          <w:noProof/>
          <w:color w:val="000000"/>
          <w:lang w:val="ru-RU"/>
        </w:rPr>
        <w:tab/>
        <w:t>ИМЕ НА ЛЕКАРСТВЕНИЯ ПРОДУКТ</w:t>
      </w:r>
    </w:p>
    <w:p w14:paraId="3E5508D7" w14:textId="77777777" w:rsidR="00426F49" w:rsidRPr="00FE6AC6" w:rsidRDefault="00426F49" w:rsidP="0063575E">
      <w:pPr>
        <w:widowControl w:val="0"/>
        <w:tabs>
          <w:tab w:val="clear" w:pos="567"/>
        </w:tabs>
        <w:spacing w:line="240" w:lineRule="auto"/>
        <w:ind w:left="567" w:hanging="567"/>
        <w:rPr>
          <w:noProof/>
          <w:color w:val="000000"/>
          <w:lang w:val="ru-RU"/>
        </w:rPr>
      </w:pPr>
    </w:p>
    <w:p w14:paraId="3E5508D8" w14:textId="77777777" w:rsidR="00426F49" w:rsidRPr="00FE6AC6" w:rsidRDefault="00426F49" w:rsidP="0063575E">
      <w:pPr>
        <w:widowControl w:val="0"/>
        <w:spacing w:line="240" w:lineRule="auto"/>
        <w:rPr>
          <w:color w:val="000000"/>
          <w:lang w:val="bg-BG"/>
        </w:rPr>
      </w:pPr>
      <w:r w:rsidRPr="00FE6AC6">
        <w:rPr>
          <w:color w:val="000000"/>
        </w:rPr>
        <w:t>Glivec</w:t>
      </w:r>
      <w:r w:rsidRPr="00FE6AC6">
        <w:rPr>
          <w:color w:val="000000"/>
          <w:lang w:val="ru-RU"/>
        </w:rPr>
        <w:t xml:space="preserve"> 100</w:t>
      </w:r>
      <w:r w:rsidRPr="00FE6AC6">
        <w:rPr>
          <w:color w:val="000000"/>
        </w:rPr>
        <w:t> mg</w:t>
      </w:r>
      <w:r w:rsidRPr="00FE6AC6">
        <w:rPr>
          <w:color w:val="000000"/>
          <w:lang w:val="ru-RU"/>
        </w:rPr>
        <w:t xml:space="preserve"> </w:t>
      </w:r>
      <w:r w:rsidRPr="00FE6AC6">
        <w:rPr>
          <w:color w:val="000000"/>
          <w:lang w:val="bg-BG"/>
        </w:rPr>
        <w:t>таблетки</w:t>
      </w:r>
    </w:p>
    <w:p w14:paraId="3E5508D9" w14:textId="77777777" w:rsidR="00426F49" w:rsidRPr="00FE6AC6" w:rsidRDefault="00B5235D" w:rsidP="0063575E">
      <w:pPr>
        <w:widowControl w:val="0"/>
        <w:tabs>
          <w:tab w:val="clear" w:pos="567"/>
        </w:tabs>
        <w:spacing w:line="240" w:lineRule="auto"/>
        <w:rPr>
          <w:noProof/>
          <w:color w:val="000000"/>
          <w:lang w:val="bg-BG"/>
        </w:rPr>
      </w:pPr>
      <w:r w:rsidRPr="00FE6AC6">
        <w:rPr>
          <w:color w:val="000000"/>
          <w:lang w:val="bg-BG"/>
        </w:rPr>
        <w:t>и</w:t>
      </w:r>
      <w:r w:rsidR="00426F49" w:rsidRPr="00FE6AC6">
        <w:rPr>
          <w:color w:val="000000"/>
          <w:lang w:val="bg-BG"/>
        </w:rPr>
        <w:t>матиниб</w:t>
      </w:r>
    </w:p>
    <w:p w14:paraId="3E5508DA" w14:textId="77777777" w:rsidR="00426F49" w:rsidRPr="00FE6AC6" w:rsidRDefault="00426F49" w:rsidP="0063575E">
      <w:pPr>
        <w:widowControl w:val="0"/>
        <w:tabs>
          <w:tab w:val="clear" w:pos="567"/>
        </w:tabs>
        <w:spacing w:line="240" w:lineRule="auto"/>
        <w:rPr>
          <w:noProof/>
          <w:color w:val="000000"/>
          <w:lang w:val="bg-BG"/>
        </w:rPr>
      </w:pPr>
    </w:p>
    <w:p w14:paraId="3E5508DB" w14:textId="77777777" w:rsidR="00426F49" w:rsidRPr="00FE6AC6" w:rsidRDefault="00426F49" w:rsidP="0063575E">
      <w:pPr>
        <w:widowControl w:val="0"/>
        <w:tabs>
          <w:tab w:val="clear" w:pos="567"/>
        </w:tabs>
        <w:spacing w:line="240" w:lineRule="auto"/>
        <w:rPr>
          <w:noProof/>
          <w:color w:val="000000"/>
          <w:lang w:val="bg-BG"/>
        </w:rPr>
      </w:pPr>
    </w:p>
    <w:p w14:paraId="3E5508DC"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2.</w:t>
      </w:r>
      <w:r w:rsidRPr="00FE6AC6">
        <w:rPr>
          <w:b/>
          <w:noProof/>
          <w:color w:val="000000"/>
          <w:lang w:val="ru-RU"/>
        </w:rPr>
        <w:tab/>
        <w:t>ИМЕ НА ПРИТЕЖАТЕЛЯ НА РАЗРЕШЕНИЕТО ЗА УПОТРЕБА</w:t>
      </w:r>
    </w:p>
    <w:p w14:paraId="3E5508DD" w14:textId="77777777" w:rsidR="00426F49" w:rsidRPr="00FE6AC6" w:rsidRDefault="00426F49" w:rsidP="0063575E">
      <w:pPr>
        <w:widowControl w:val="0"/>
        <w:tabs>
          <w:tab w:val="clear" w:pos="567"/>
        </w:tabs>
        <w:spacing w:line="240" w:lineRule="auto"/>
        <w:rPr>
          <w:noProof/>
          <w:color w:val="000000"/>
          <w:lang w:val="ru-RU"/>
        </w:rPr>
      </w:pPr>
    </w:p>
    <w:p w14:paraId="3E5508DE" w14:textId="77777777" w:rsidR="00426F49" w:rsidRPr="00FE6AC6" w:rsidRDefault="00426F49" w:rsidP="0063575E">
      <w:pPr>
        <w:widowControl w:val="0"/>
        <w:tabs>
          <w:tab w:val="clear" w:pos="567"/>
        </w:tabs>
        <w:spacing w:line="240" w:lineRule="auto"/>
        <w:rPr>
          <w:noProof/>
          <w:color w:val="000000"/>
          <w:lang w:val="ru-RU"/>
        </w:rPr>
      </w:pPr>
      <w:r w:rsidRPr="00FE6AC6">
        <w:rPr>
          <w:noProof/>
          <w:color w:val="000000"/>
        </w:rPr>
        <w:t>Novartis</w:t>
      </w:r>
      <w:r w:rsidRPr="00FE6AC6">
        <w:rPr>
          <w:noProof/>
          <w:color w:val="000000"/>
          <w:lang w:val="ru-RU"/>
        </w:rPr>
        <w:t xml:space="preserve"> </w:t>
      </w:r>
      <w:r w:rsidRPr="00FE6AC6">
        <w:rPr>
          <w:noProof/>
          <w:color w:val="000000"/>
        </w:rPr>
        <w:t>Europharm</w:t>
      </w:r>
      <w:r w:rsidRPr="00FE6AC6">
        <w:rPr>
          <w:noProof/>
          <w:color w:val="000000"/>
          <w:lang w:val="ru-RU"/>
        </w:rPr>
        <w:t xml:space="preserve"> </w:t>
      </w:r>
      <w:r w:rsidRPr="00FE6AC6">
        <w:rPr>
          <w:noProof/>
          <w:color w:val="000000"/>
        </w:rPr>
        <w:t>Limited</w:t>
      </w:r>
    </w:p>
    <w:p w14:paraId="3E5508DF" w14:textId="77777777" w:rsidR="00426F49" w:rsidRPr="00FE6AC6" w:rsidRDefault="00426F49" w:rsidP="0063575E">
      <w:pPr>
        <w:widowControl w:val="0"/>
        <w:tabs>
          <w:tab w:val="clear" w:pos="567"/>
        </w:tabs>
        <w:spacing w:line="240" w:lineRule="auto"/>
        <w:rPr>
          <w:noProof/>
          <w:color w:val="000000"/>
          <w:lang w:val="ru-RU"/>
        </w:rPr>
      </w:pPr>
    </w:p>
    <w:p w14:paraId="3E5508E0" w14:textId="77777777" w:rsidR="00426F49" w:rsidRPr="00FE6AC6" w:rsidRDefault="00426F49" w:rsidP="0063575E">
      <w:pPr>
        <w:widowControl w:val="0"/>
        <w:tabs>
          <w:tab w:val="clear" w:pos="567"/>
        </w:tabs>
        <w:spacing w:line="240" w:lineRule="auto"/>
        <w:rPr>
          <w:noProof/>
          <w:color w:val="000000"/>
          <w:lang w:val="ru-RU"/>
        </w:rPr>
      </w:pPr>
    </w:p>
    <w:p w14:paraId="3E5508E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3.</w:t>
      </w:r>
      <w:r w:rsidRPr="00FE6AC6">
        <w:rPr>
          <w:b/>
          <w:noProof/>
          <w:color w:val="000000"/>
          <w:lang w:val="ru-RU"/>
        </w:rPr>
        <w:tab/>
        <w:t>ДАТА НА ИЗТИЧАНЕ НА СРОКА НА ГОДНОСТ</w:t>
      </w:r>
    </w:p>
    <w:p w14:paraId="3E5508E2" w14:textId="77777777" w:rsidR="00426F49" w:rsidRPr="00FE6AC6" w:rsidRDefault="00426F49" w:rsidP="0063575E">
      <w:pPr>
        <w:widowControl w:val="0"/>
        <w:tabs>
          <w:tab w:val="clear" w:pos="567"/>
        </w:tabs>
        <w:spacing w:line="240" w:lineRule="auto"/>
        <w:rPr>
          <w:noProof/>
          <w:color w:val="000000"/>
          <w:lang w:val="ru-RU"/>
        </w:rPr>
      </w:pPr>
    </w:p>
    <w:p w14:paraId="3E5508E3" w14:textId="77777777" w:rsidR="00426F49" w:rsidRPr="00FE6AC6" w:rsidRDefault="00426F49" w:rsidP="0063575E">
      <w:pPr>
        <w:widowControl w:val="0"/>
        <w:tabs>
          <w:tab w:val="clear" w:pos="567"/>
        </w:tabs>
        <w:spacing w:line="240" w:lineRule="auto"/>
        <w:rPr>
          <w:noProof/>
          <w:color w:val="000000"/>
          <w:lang w:val="ru-RU"/>
        </w:rPr>
      </w:pPr>
      <w:r w:rsidRPr="00FE6AC6">
        <w:rPr>
          <w:noProof/>
          <w:color w:val="000000"/>
        </w:rPr>
        <w:t>EXP</w:t>
      </w:r>
    </w:p>
    <w:p w14:paraId="3E5508E4" w14:textId="77777777" w:rsidR="00426F49" w:rsidRPr="00FE6AC6" w:rsidRDefault="00426F49" w:rsidP="0063575E">
      <w:pPr>
        <w:widowControl w:val="0"/>
        <w:tabs>
          <w:tab w:val="clear" w:pos="567"/>
        </w:tabs>
        <w:spacing w:line="240" w:lineRule="auto"/>
        <w:rPr>
          <w:noProof/>
          <w:color w:val="000000"/>
          <w:lang w:val="ru-RU"/>
        </w:rPr>
      </w:pPr>
    </w:p>
    <w:p w14:paraId="3E5508E5" w14:textId="77777777" w:rsidR="00426F49" w:rsidRPr="00FE6AC6" w:rsidRDefault="00426F49" w:rsidP="0063575E">
      <w:pPr>
        <w:widowControl w:val="0"/>
        <w:tabs>
          <w:tab w:val="clear" w:pos="567"/>
        </w:tabs>
        <w:spacing w:line="240" w:lineRule="auto"/>
        <w:rPr>
          <w:noProof/>
          <w:color w:val="000000"/>
          <w:lang w:val="ru-RU"/>
        </w:rPr>
      </w:pPr>
    </w:p>
    <w:p w14:paraId="3E5508E6"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4.</w:t>
      </w:r>
      <w:r w:rsidRPr="00FE6AC6">
        <w:rPr>
          <w:b/>
          <w:noProof/>
          <w:color w:val="000000"/>
          <w:lang w:val="ru-RU"/>
        </w:rPr>
        <w:tab/>
        <w:t>ПАРТИДЕН НОМЕР</w:t>
      </w:r>
    </w:p>
    <w:p w14:paraId="3E5508E7" w14:textId="77777777" w:rsidR="00426F49" w:rsidRPr="00FE6AC6" w:rsidRDefault="00426F49" w:rsidP="0063575E">
      <w:pPr>
        <w:widowControl w:val="0"/>
        <w:tabs>
          <w:tab w:val="clear" w:pos="567"/>
        </w:tabs>
        <w:spacing w:line="240" w:lineRule="auto"/>
        <w:ind w:right="113"/>
        <w:rPr>
          <w:noProof/>
          <w:color w:val="000000"/>
          <w:lang w:val="ru-RU"/>
        </w:rPr>
      </w:pPr>
    </w:p>
    <w:p w14:paraId="3E5508E8" w14:textId="77777777" w:rsidR="00426F49" w:rsidRPr="00FE6AC6" w:rsidRDefault="00426F49" w:rsidP="0063575E">
      <w:pPr>
        <w:widowControl w:val="0"/>
        <w:tabs>
          <w:tab w:val="clear" w:pos="567"/>
        </w:tabs>
        <w:spacing w:line="240" w:lineRule="auto"/>
        <w:ind w:right="113"/>
        <w:rPr>
          <w:noProof/>
          <w:color w:val="000000"/>
          <w:lang w:val="ru-RU"/>
        </w:rPr>
      </w:pPr>
      <w:smartTag w:uri="urn:schemas-microsoft-com:office:smarttags" w:element="place">
        <w:r w:rsidRPr="00FE6AC6">
          <w:rPr>
            <w:noProof/>
            <w:color w:val="000000"/>
          </w:rPr>
          <w:t>Lot</w:t>
        </w:r>
      </w:smartTag>
    </w:p>
    <w:p w14:paraId="3E5508E9" w14:textId="77777777" w:rsidR="00426F49" w:rsidRPr="00FE6AC6" w:rsidRDefault="00426F49" w:rsidP="0063575E">
      <w:pPr>
        <w:widowControl w:val="0"/>
        <w:tabs>
          <w:tab w:val="clear" w:pos="567"/>
        </w:tabs>
        <w:spacing w:line="240" w:lineRule="auto"/>
        <w:ind w:right="113"/>
        <w:rPr>
          <w:noProof/>
          <w:color w:val="000000"/>
          <w:lang w:val="ru-RU"/>
        </w:rPr>
      </w:pPr>
    </w:p>
    <w:p w14:paraId="3E5508EA" w14:textId="77777777" w:rsidR="00426F49" w:rsidRPr="00FE6AC6" w:rsidRDefault="00426F49" w:rsidP="0063575E">
      <w:pPr>
        <w:widowControl w:val="0"/>
        <w:tabs>
          <w:tab w:val="clear" w:pos="567"/>
        </w:tabs>
        <w:spacing w:line="240" w:lineRule="auto"/>
        <w:ind w:right="113"/>
        <w:rPr>
          <w:color w:val="000000"/>
          <w:szCs w:val="22"/>
          <w:lang w:val="ru-RU"/>
        </w:rPr>
      </w:pPr>
    </w:p>
    <w:p w14:paraId="3E5508EB"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ru-RU"/>
        </w:rPr>
      </w:pPr>
      <w:r w:rsidRPr="00FE6AC6">
        <w:rPr>
          <w:b/>
          <w:color w:val="000000"/>
          <w:szCs w:val="22"/>
          <w:lang w:val="ru-RU"/>
        </w:rPr>
        <w:t>5.</w:t>
      </w:r>
      <w:r w:rsidRPr="00FE6AC6">
        <w:rPr>
          <w:b/>
          <w:color w:val="000000"/>
          <w:szCs w:val="22"/>
          <w:lang w:val="ru-RU"/>
        </w:rPr>
        <w:tab/>
        <w:t>ДРУГО</w:t>
      </w:r>
    </w:p>
    <w:p w14:paraId="3E5508EC" w14:textId="77777777" w:rsidR="00426F49" w:rsidRPr="00FE6AC6" w:rsidRDefault="00426F49" w:rsidP="0063575E">
      <w:pPr>
        <w:widowControl w:val="0"/>
        <w:tabs>
          <w:tab w:val="clear" w:pos="567"/>
        </w:tabs>
        <w:spacing w:line="240" w:lineRule="auto"/>
        <w:ind w:right="113"/>
        <w:rPr>
          <w:noProof/>
          <w:color w:val="000000"/>
          <w:lang w:val="ru-RU"/>
        </w:rPr>
      </w:pPr>
    </w:p>
    <w:p w14:paraId="3E5508ED" w14:textId="77777777" w:rsidR="00426F49" w:rsidRPr="00FE6AC6" w:rsidRDefault="00426F49" w:rsidP="0063575E">
      <w:pPr>
        <w:widowControl w:val="0"/>
        <w:shd w:val="clear" w:color="auto" w:fill="FFFFFF"/>
        <w:tabs>
          <w:tab w:val="clear" w:pos="567"/>
        </w:tabs>
        <w:spacing w:line="240" w:lineRule="auto"/>
        <w:rPr>
          <w:noProof/>
          <w:color w:val="000000"/>
          <w:lang w:val="ru-RU"/>
        </w:rPr>
      </w:pPr>
      <w:r w:rsidRPr="00FE6AC6">
        <w:rPr>
          <w:noProof/>
          <w:color w:val="000000"/>
          <w:lang w:val="ru-RU"/>
        </w:rPr>
        <w:br w:type="page"/>
      </w:r>
    </w:p>
    <w:p w14:paraId="3E5508EE" w14:textId="77777777" w:rsidR="00572F70" w:rsidRPr="00572F70" w:rsidRDefault="00572F70" w:rsidP="00572F70">
      <w:pPr>
        <w:widowControl w:val="0"/>
        <w:tabs>
          <w:tab w:val="clear" w:pos="567"/>
        </w:tabs>
        <w:spacing w:line="240" w:lineRule="auto"/>
        <w:rPr>
          <w:noProof/>
          <w:color w:val="000000"/>
          <w:lang w:val="ru-RU"/>
        </w:rPr>
      </w:pPr>
    </w:p>
    <w:p w14:paraId="3E5508EF"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color w:val="000000"/>
          <w:lang w:val="ru-RU"/>
        </w:rPr>
      </w:pPr>
      <w:r w:rsidRPr="00FE6AC6">
        <w:rPr>
          <w:b/>
          <w:noProof/>
          <w:color w:val="000000"/>
          <w:lang w:val="ru-RU"/>
        </w:rPr>
        <w:t>ДАННИ, КОИТО ТРЯБВА ДА СЪДЪРЖА ВТОРИЧНАТА ОПАКОВКА</w:t>
      </w:r>
    </w:p>
    <w:p w14:paraId="3E5508F0"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noProof/>
          <w:color w:val="000000"/>
          <w:lang w:val="ru-RU"/>
        </w:rPr>
      </w:pPr>
    </w:p>
    <w:p w14:paraId="3E5508F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rPr>
          <w:noProof/>
          <w:color w:val="000000"/>
          <w:lang w:val="ru-RU"/>
        </w:rPr>
      </w:pPr>
      <w:r w:rsidRPr="00FE6AC6">
        <w:rPr>
          <w:b/>
          <w:noProof/>
          <w:color w:val="000000"/>
          <w:lang w:val="ru-RU"/>
        </w:rPr>
        <w:t>КАРТОНЕНА КУТИЯ</w:t>
      </w:r>
    </w:p>
    <w:p w14:paraId="3E5508F2" w14:textId="77777777" w:rsidR="00426F49" w:rsidRPr="00FE6AC6" w:rsidRDefault="00426F49" w:rsidP="0063575E">
      <w:pPr>
        <w:widowControl w:val="0"/>
        <w:tabs>
          <w:tab w:val="clear" w:pos="567"/>
        </w:tabs>
        <w:spacing w:line="240" w:lineRule="auto"/>
        <w:rPr>
          <w:noProof/>
          <w:color w:val="000000"/>
          <w:lang w:val="ru-RU"/>
        </w:rPr>
      </w:pPr>
    </w:p>
    <w:p w14:paraId="3E5508F3" w14:textId="77777777" w:rsidR="00426F49" w:rsidRPr="00FE6AC6" w:rsidRDefault="00426F49" w:rsidP="0063575E">
      <w:pPr>
        <w:widowControl w:val="0"/>
        <w:tabs>
          <w:tab w:val="clear" w:pos="567"/>
        </w:tabs>
        <w:spacing w:line="240" w:lineRule="auto"/>
        <w:rPr>
          <w:noProof/>
          <w:color w:val="000000"/>
          <w:lang w:val="ru-RU"/>
        </w:rPr>
      </w:pPr>
    </w:p>
    <w:p w14:paraId="3E5508F4"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ru-RU"/>
        </w:rPr>
      </w:pPr>
      <w:r w:rsidRPr="00FE6AC6">
        <w:rPr>
          <w:b/>
          <w:noProof/>
          <w:color w:val="000000"/>
          <w:lang w:val="ru-RU"/>
        </w:rPr>
        <w:t>1.</w:t>
      </w:r>
      <w:r w:rsidRPr="00FE6AC6">
        <w:rPr>
          <w:b/>
          <w:noProof/>
          <w:color w:val="000000"/>
          <w:lang w:val="ru-RU"/>
        </w:rPr>
        <w:tab/>
        <w:t>ИМЕ НА ЛЕКАРСТВЕНИЯ ПРОДУКТ</w:t>
      </w:r>
    </w:p>
    <w:p w14:paraId="3E5508F5" w14:textId="77777777" w:rsidR="00426F49" w:rsidRPr="00FE6AC6" w:rsidRDefault="00426F49" w:rsidP="0063575E">
      <w:pPr>
        <w:widowControl w:val="0"/>
        <w:tabs>
          <w:tab w:val="clear" w:pos="567"/>
        </w:tabs>
        <w:spacing w:line="240" w:lineRule="auto"/>
        <w:rPr>
          <w:noProof/>
          <w:color w:val="000000"/>
          <w:lang w:val="ru-RU"/>
        </w:rPr>
      </w:pPr>
    </w:p>
    <w:p w14:paraId="3E5508F6" w14:textId="77777777" w:rsidR="00426F49" w:rsidRPr="00FE6AC6" w:rsidRDefault="00426F49" w:rsidP="0063575E">
      <w:pPr>
        <w:widowControl w:val="0"/>
        <w:spacing w:line="240" w:lineRule="auto"/>
        <w:rPr>
          <w:color w:val="000000"/>
          <w:lang w:val="bg-BG"/>
        </w:rPr>
      </w:pPr>
      <w:r w:rsidRPr="00FE6AC6">
        <w:rPr>
          <w:color w:val="000000"/>
        </w:rPr>
        <w:t>Glivec</w:t>
      </w:r>
      <w:r w:rsidRPr="00FE6AC6">
        <w:rPr>
          <w:color w:val="000000"/>
          <w:lang w:val="bg-BG"/>
        </w:rPr>
        <w:t xml:space="preserve"> 400</w:t>
      </w:r>
      <w:r w:rsidRPr="00FE6AC6">
        <w:rPr>
          <w:color w:val="000000"/>
        </w:rPr>
        <w:t> mg</w:t>
      </w:r>
      <w:r w:rsidRPr="00FE6AC6">
        <w:rPr>
          <w:color w:val="000000"/>
          <w:lang w:val="bg-BG"/>
        </w:rPr>
        <w:t xml:space="preserve"> филмирани таблетки</w:t>
      </w:r>
    </w:p>
    <w:p w14:paraId="3E5508F7" w14:textId="77777777" w:rsidR="00426F49" w:rsidRPr="00FE6AC6" w:rsidRDefault="00B5235D" w:rsidP="0063575E">
      <w:pPr>
        <w:widowControl w:val="0"/>
        <w:tabs>
          <w:tab w:val="clear" w:pos="567"/>
        </w:tabs>
        <w:spacing w:line="240" w:lineRule="auto"/>
        <w:rPr>
          <w:noProof/>
          <w:color w:val="000000"/>
          <w:lang w:val="bg-BG"/>
        </w:rPr>
      </w:pPr>
      <w:r w:rsidRPr="00FE6AC6">
        <w:rPr>
          <w:color w:val="000000"/>
          <w:lang w:val="bg-BG"/>
        </w:rPr>
        <w:t>и</w:t>
      </w:r>
      <w:r w:rsidR="00426F49" w:rsidRPr="00FE6AC6">
        <w:rPr>
          <w:color w:val="000000"/>
          <w:lang w:val="bg-BG"/>
        </w:rPr>
        <w:t>матиниб</w:t>
      </w:r>
    </w:p>
    <w:p w14:paraId="3E5508F8" w14:textId="77777777" w:rsidR="00426F49" w:rsidRPr="00FE6AC6" w:rsidRDefault="00426F49" w:rsidP="0063575E">
      <w:pPr>
        <w:widowControl w:val="0"/>
        <w:tabs>
          <w:tab w:val="clear" w:pos="567"/>
        </w:tabs>
        <w:spacing w:line="240" w:lineRule="auto"/>
        <w:rPr>
          <w:noProof/>
          <w:color w:val="000000"/>
          <w:lang w:val="bg-BG"/>
        </w:rPr>
      </w:pPr>
    </w:p>
    <w:p w14:paraId="3E5508F9" w14:textId="77777777" w:rsidR="00426F49" w:rsidRPr="00FE6AC6" w:rsidRDefault="00426F49" w:rsidP="0063575E">
      <w:pPr>
        <w:widowControl w:val="0"/>
        <w:tabs>
          <w:tab w:val="clear" w:pos="567"/>
        </w:tabs>
        <w:spacing w:line="240" w:lineRule="auto"/>
        <w:rPr>
          <w:noProof/>
          <w:color w:val="000000"/>
          <w:lang w:val="bg-BG"/>
        </w:rPr>
      </w:pPr>
    </w:p>
    <w:p w14:paraId="3E5508FA"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color w:val="000000"/>
          <w:lang w:val="bg-BG"/>
        </w:rPr>
      </w:pPr>
      <w:r w:rsidRPr="00FE6AC6">
        <w:rPr>
          <w:b/>
          <w:noProof/>
          <w:color w:val="000000"/>
          <w:lang w:val="bg-BG"/>
        </w:rPr>
        <w:t>2.</w:t>
      </w:r>
      <w:r w:rsidRPr="00FE6AC6">
        <w:rPr>
          <w:b/>
          <w:noProof/>
          <w:color w:val="000000"/>
          <w:lang w:val="bg-BG"/>
        </w:rPr>
        <w:tab/>
        <w:t>ОБЯВЯВАНЕ НА АКТИВНОТО</w:t>
      </w:r>
      <w:r w:rsidR="001600E0" w:rsidRPr="00FE6AC6">
        <w:rPr>
          <w:b/>
          <w:noProof/>
          <w:color w:val="000000"/>
          <w:lang w:val="bg-BG"/>
        </w:rPr>
        <w:t>(</w:t>
      </w:r>
      <w:r w:rsidRPr="00FE6AC6">
        <w:rPr>
          <w:b/>
          <w:noProof/>
          <w:color w:val="000000"/>
          <w:lang w:val="bg-BG"/>
        </w:rPr>
        <w:t>ИТЕ</w:t>
      </w:r>
      <w:r w:rsidR="001600E0" w:rsidRPr="00FE6AC6">
        <w:rPr>
          <w:b/>
          <w:noProof/>
          <w:color w:val="000000"/>
          <w:lang w:val="bg-BG"/>
        </w:rPr>
        <w:t>)</w:t>
      </w:r>
      <w:r w:rsidRPr="00FE6AC6">
        <w:rPr>
          <w:b/>
          <w:noProof/>
          <w:color w:val="000000"/>
          <w:lang w:val="bg-BG"/>
        </w:rPr>
        <w:t xml:space="preserve"> ВЕЩЕСТВ</w:t>
      </w:r>
      <w:r w:rsidR="001600E0" w:rsidRPr="00FE6AC6">
        <w:rPr>
          <w:b/>
          <w:noProof/>
          <w:color w:val="000000"/>
          <w:lang w:val="bg-BG"/>
        </w:rPr>
        <w:t>О(</w:t>
      </w:r>
      <w:r w:rsidRPr="00FE6AC6">
        <w:rPr>
          <w:b/>
          <w:noProof/>
          <w:color w:val="000000"/>
          <w:lang w:val="bg-BG"/>
        </w:rPr>
        <w:t>А</w:t>
      </w:r>
      <w:r w:rsidR="001600E0" w:rsidRPr="00FE6AC6">
        <w:rPr>
          <w:b/>
          <w:noProof/>
          <w:color w:val="000000"/>
          <w:lang w:val="bg-BG"/>
        </w:rPr>
        <w:t>)</w:t>
      </w:r>
    </w:p>
    <w:p w14:paraId="3E5508FB" w14:textId="77777777" w:rsidR="00426F49" w:rsidRPr="00FE6AC6" w:rsidRDefault="00426F49" w:rsidP="0063575E">
      <w:pPr>
        <w:widowControl w:val="0"/>
        <w:tabs>
          <w:tab w:val="clear" w:pos="567"/>
        </w:tabs>
        <w:spacing w:line="240" w:lineRule="auto"/>
        <w:rPr>
          <w:noProof/>
          <w:color w:val="000000"/>
          <w:lang w:val="bg-BG"/>
        </w:rPr>
      </w:pPr>
    </w:p>
    <w:p w14:paraId="3E5508FC" w14:textId="77777777" w:rsidR="00426F49" w:rsidRPr="00FE6AC6" w:rsidRDefault="00426F49" w:rsidP="0063575E">
      <w:pPr>
        <w:widowControl w:val="0"/>
        <w:spacing w:line="240" w:lineRule="auto"/>
        <w:rPr>
          <w:color w:val="000000"/>
          <w:lang w:val="bg-BG"/>
        </w:rPr>
      </w:pPr>
      <w:r w:rsidRPr="00FE6AC6">
        <w:rPr>
          <w:color w:val="000000"/>
          <w:lang w:val="bg-BG"/>
        </w:rPr>
        <w:t>Всяка филмирана таблетка съдържа 400</w:t>
      </w:r>
      <w:r w:rsidRPr="00FE6AC6">
        <w:rPr>
          <w:color w:val="000000"/>
        </w:rPr>
        <w:t> mg</w:t>
      </w:r>
      <w:r w:rsidRPr="00FE6AC6">
        <w:rPr>
          <w:color w:val="000000"/>
          <w:lang w:val="bg-BG"/>
        </w:rPr>
        <w:t xml:space="preserve"> иматиниб (под формата на мезилат).</w:t>
      </w:r>
    </w:p>
    <w:p w14:paraId="3E5508FD" w14:textId="77777777" w:rsidR="00426F49" w:rsidRPr="00FE6AC6" w:rsidRDefault="00426F49" w:rsidP="0063575E">
      <w:pPr>
        <w:widowControl w:val="0"/>
        <w:tabs>
          <w:tab w:val="clear" w:pos="567"/>
        </w:tabs>
        <w:spacing w:line="240" w:lineRule="auto"/>
        <w:rPr>
          <w:noProof/>
          <w:color w:val="000000"/>
          <w:lang w:val="bg-BG"/>
        </w:rPr>
      </w:pPr>
    </w:p>
    <w:p w14:paraId="3E5508FE" w14:textId="77777777" w:rsidR="00426F49" w:rsidRPr="00FE6AC6" w:rsidRDefault="00426F49" w:rsidP="0063575E">
      <w:pPr>
        <w:widowControl w:val="0"/>
        <w:tabs>
          <w:tab w:val="clear" w:pos="567"/>
        </w:tabs>
        <w:spacing w:line="240" w:lineRule="auto"/>
        <w:rPr>
          <w:noProof/>
          <w:color w:val="000000"/>
          <w:lang w:val="bg-BG"/>
        </w:rPr>
      </w:pPr>
    </w:p>
    <w:p w14:paraId="3E5508FF"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3.</w:t>
      </w:r>
      <w:r w:rsidRPr="00FE6AC6">
        <w:rPr>
          <w:b/>
          <w:noProof/>
          <w:color w:val="000000"/>
          <w:lang w:val="bg-BG"/>
        </w:rPr>
        <w:tab/>
        <w:t>СПИСЪК НА ПОМОЩНИТЕ ВЕЩЕСТВА</w:t>
      </w:r>
    </w:p>
    <w:p w14:paraId="3E550900" w14:textId="77777777" w:rsidR="00426F49" w:rsidRPr="00FE6AC6" w:rsidRDefault="00426F49" w:rsidP="0063575E">
      <w:pPr>
        <w:widowControl w:val="0"/>
        <w:tabs>
          <w:tab w:val="clear" w:pos="567"/>
        </w:tabs>
        <w:spacing w:line="240" w:lineRule="auto"/>
        <w:rPr>
          <w:noProof/>
          <w:color w:val="000000"/>
          <w:lang w:val="bg-BG"/>
        </w:rPr>
      </w:pPr>
    </w:p>
    <w:p w14:paraId="3E550901" w14:textId="77777777" w:rsidR="00426F49" w:rsidRPr="00FE6AC6" w:rsidRDefault="00426F49" w:rsidP="0063575E">
      <w:pPr>
        <w:widowControl w:val="0"/>
        <w:tabs>
          <w:tab w:val="clear" w:pos="567"/>
        </w:tabs>
        <w:spacing w:line="240" w:lineRule="auto"/>
        <w:rPr>
          <w:noProof/>
          <w:color w:val="000000"/>
          <w:lang w:val="bg-BG"/>
        </w:rPr>
      </w:pPr>
    </w:p>
    <w:p w14:paraId="3E550902"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4.</w:t>
      </w:r>
      <w:r w:rsidRPr="00FE6AC6">
        <w:rPr>
          <w:b/>
          <w:noProof/>
          <w:color w:val="000000"/>
          <w:lang w:val="bg-BG"/>
        </w:rPr>
        <w:tab/>
        <w:t>ЛЕКАРСТВЕНА ФОРМА И КОЛИЧЕСТВО В ЕДНА ОПАКОВКА</w:t>
      </w:r>
    </w:p>
    <w:p w14:paraId="3E550903" w14:textId="77777777" w:rsidR="00426F49" w:rsidRPr="00FE6AC6" w:rsidRDefault="00426F49" w:rsidP="0063575E">
      <w:pPr>
        <w:widowControl w:val="0"/>
        <w:tabs>
          <w:tab w:val="clear" w:pos="567"/>
        </w:tabs>
        <w:spacing w:line="240" w:lineRule="auto"/>
        <w:rPr>
          <w:noProof/>
          <w:color w:val="000000"/>
          <w:lang w:val="bg-BG"/>
        </w:rPr>
      </w:pPr>
    </w:p>
    <w:p w14:paraId="3E550904" w14:textId="77777777" w:rsidR="00426F49" w:rsidRPr="00FE6AC6" w:rsidRDefault="00426F49" w:rsidP="0063575E">
      <w:pPr>
        <w:pStyle w:val="EndnoteText"/>
        <w:widowControl w:val="0"/>
        <w:rPr>
          <w:color w:val="000000"/>
          <w:lang w:val="bg-BG"/>
        </w:rPr>
      </w:pPr>
      <w:r w:rsidRPr="00FE6AC6">
        <w:rPr>
          <w:color w:val="000000"/>
          <w:lang w:val="bg-BG"/>
        </w:rPr>
        <w:t>10</w:t>
      </w:r>
      <w:r w:rsidRPr="00FE6AC6">
        <w:rPr>
          <w:color w:val="000000"/>
        </w:rPr>
        <w:t> </w:t>
      </w:r>
      <w:r w:rsidRPr="00FE6AC6">
        <w:rPr>
          <w:color w:val="000000"/>
          <w:lang w:val="bg-BG"/>
        </w:rPr>
        <w:t>филмирани таблетки</w:t>
      </w:r>
    </w:p>
    <w:p w14:paraId="3E550905" w14:textId="77777777" w:rsidR="00426F49" w:rsidRPr="00FE6AC6" w:rsidRDefault="00426F49" w:rsidP="0063575E">
      <w:pPr>
        <w:pStyle w:val="EndnoteText"/>
        <w:widowControl w:val="0"/>
        <w:rPr>
          <w:color w:val="000000"/>
          <w:shd w:val="clear" w:color="auto" w:fill="D9D9D9"/>
          <w:lang w:val="bg-BG"/>
        </w:rPr>
      </w:pPr>
      <w:r w:rsidRPr="00FE6AC6">
        <w:rPr>
          <w:color w:val="000000"/>
          <w:shd w:val="clear" w:color="auto" w:fill="D9D9D9"/>
          <w:lang w:val="bg-BG"/>
        </w:rPr>
        <w:t>30</w:t>
      </w:r>
      <w:r w:rsidRPr="00FE6AC6">
        <w:rPr>
          <w:color w:val="000000"/>
          <w:shd w:val="clear" w:color="auto" w:fill="D9D9D9"/>
          <w:lang w:val="de-CH"/>
        </w:rPr>
        <w:t> </w:t>
      </w:r>
      <w:r w:rsidRPr="00FE6AC6">
        <w:rPr>
          <w:color w:val="000000"/>
          <w:shd w:val="clear" w:color="auto" w:fill="D9D9D9"/>
          <w:lang w:val="bg-BG"/>
        </w:rPr>
        <w:t>филмирани таблетки</w:t>
      </w:r>
    </w:p>
    <w:p w14:paraId="3E550906" w14:textId="77777777" w:rsidR="00426F49" w:rsidRPr="00FE6AC6" w:rsidRDefault="00426F49" w:rsidP="0063575E">
      <w:pPr>
        <w:pStyle w:val="EndnoteText"/>
        <w:widowControl w:val="0"/>
        <w:rPr>
          <w:color w:val="000000"/>
          <w:shd w:val="clear" w:color="auto" w:fill="C0C0C0"/>
          <w:lang w:val="bg-BG"/>
        </w:rPr>
      </w:pPr>
      <w:r w:rsidRPr="00FE6AC6">
        <w:rPr>
          <w:color w:val="000000"/>
          <w:shd w:val="clear" w:color="auto" w:fill="D9D9D9"/>
          <w:lang w:val="bg-BG"/>
        </w:rPr>
        <w:t>90</w:t>
      </w:r>
      <w:r w:rsidRPr="00FE6AC6">
        <w:rPr>
          <w:color w:val="000000"/>
          <w:shd w:val="clear" w:color="auto" w:fill="D9D9D9"/>
          <w:lang w:val="de-CH"/>
        </w:rPr>
        <w:t> </w:t>
      </w:r>
      <w:r w:rsidRPr="00FE6AC6">
        <w:rPr>
          <w:color w:val="000000"/>
          <w:shd w:val="clear" w:color="auto" w:fill="D9D9D9"/>
          <w:lang w:val="bg-BG"/>
        </w:rPr>
        <w:t>филмирани таблетки</w:t>
      </w:r>
    </w:p>
    <w:p w14:paraId="3E550907" w14:textId="77777777" w:rsidR="00426F49" w:rsidRPr="00FE6AC6" w:rsidRDefault="00426F49" w:rsidP="0063575E">
      <w:pPr>
        <w:widowControl w:val="0"/>
        <w:tabs>
          <w:tab w:val="clear" w:pos="567"/>
        </w:tabs>
        <w:spacing w:line="240" w:lineRule="auto"/>
        <w:rPr>
          <w:noProof/>
          <w:color w:val="000000"/>
          <w:lang w:val="bg-BG"/>
        </w:rPr>
      </w:pPr>
    </w:p>
    <w:p w14:paraId="3E550908" w14:textId="77777777" w:rsidR="00426F49" w:rsidRPr="00FE6AC6" w:rsidRDefault="00426F49" w:rsidP="0063575E">
      <w:pPr>
        <w:widowControl w:val="0"/>
        <w:tabs>
          <w:tab w:val="clear" w:pos="567"/>
        </w:tabs>
        <w:spacing w:line="240" w:lineRule="auto"/>
        <w:rPr>
          <w:noProof/>
          <w:color w:val="000000"/>
          <w:lang w:val="bg-BG"/>
        </w:rPr>
      </w:pPr>
    </w:p>
    <w:p w14:paraId="3E550909"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5.</w:t>
      </w:r>
      <w:r w:rsidRPr="00FE6AC6">
        <w:rPr>
          <w:b/>
          <w:noProof/>
          <w:color w:val="000000"/>
          <w:lang w:val="bg-BG"/>
        </w:rPr>
        <w:tab/>
        <w:t>НАЧИН НА ПРИЛ</w:t>
      </w:r>
      <w:r w:rsidR="003D2302" w:rsidRPr="00FE6AC6">
        <w:rPr>
          <w:b/>
          <w:noProof/>
          <w:szCs w:val="22"/>
          <w:lang w:val="bg-BG"/>
        </w:rPr>
        <w:t>ОЖЕНИЕ</w:t>
      </w:r>
      <w:r w:rsidRPr="00FE6AC6">
        <w:rPr>
          <w:b/>
          <w:noProof/>
          <w:color w:val="000000"/>
          <w:lang w:val="bg-BG"/>
        </w:rPr>
        <w:t xml:space="preserve"> И ПЪТ</w:t>
      </w:r>
      <w:r w:rsidR="00E87489" w:rsidRPr="00FE6AC6">
        <w:rPr>
          <w:b/>
          <w:noProof/>
          <w:color w:val="000000"/>
          <w:lang w:val="bg-BG"/>
        </w:rPr>
        <w:t>(</w:t>
      </w:r>
      <w:r w:rsidRPr="00FE6AC6">
        <w:rPr>
          <w:b/>
          <w:noProof/>
          <w:color w:val="000000"/>
          <w:lang w:val="bg-BG"/>
        </w:rPr>
        <w:t>ИЩА</w:t>
      </w:r>
      <w:r w:rsidR="00E87489" w:rsidRPr="00FE6AC6">
        <w:rPr>
          <w:b/>
          <w:noProof/>
          <w:color w:val="000000"/>
          <w:lang w:val="bg-BG"/>
        </w:rPr>
        <w:t>)</w:t>
      </w:r>
      <w:r w:rsidRPr="00FE6AC6">
        <w:rPr>
          <w:b/>
          <w:noProof/>
          <w:color w:val="000000"/>
          <w:lang w:val="bg-BG"/>
        </w:rPr>
        <w:t xml:space="preserve"> НА ВЪВЕЖДАНЕ</w:t>
      </w:r>
    </w:p>
    <w:p w14:paraId="3E55090A" w14:textId="77777777" w:rsidR="00426F49" w:rsidRPr="00FE6AC6" w:rsidRDefault="00426F49" w:rsidP="0063575E">
      <w:pPr>
        <w:widowControl w:val="0"/>
        <w:tabs>
          <w:tab w:val="clear" w:pos="567"/>
        </w:tabs>
        <w:spacing w:line="240" w:lineRule="auto"/>
        <w:rPr>
          <w:i/>
          <w:noProof/>
          <w:color w:val="000000"/>
          <w:lang w:val="bg-BG"/>
        </w:rPr>
      </w:pPr>
    </w:p>
    <w:p w14:paraId="3E55090B"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Перорално приложение. Преди употреба прочетете листовката.</w:t>
      </w:r>
    </w:p>
    <w:p w14:paraId="3E55090C" w14:textId="77777777" w:rsidR="00426F49" w:rsidRPr="00FE6AC6" w:rsidRDefault="00426F49" w:rsidP="0063575E">
      <w:pPr>
        <w:widowControl w:val="0"/>
        <w:tabs>
          <w:tab w:val="clear" w:pos="567"/>
        </w:tabs>
        <w:spacing w:line="240" w:lineRule="auto"/>
        <w:rPr>
          <w:noProof/>
          <w:color w:val="000000"/>
          <w:lang w:val="bg-BG"/>
        </w:rPr>
      </w:pPr>
    </w:p>
    <w:p w14:paraId="3E55090D" w14:textId="77777777" w:rsidR="00426F49" w:rsidRPr="00FE6AC6" w:rsidRDefault="00426F49" w:rsidP="0063575E">
      <w:pPr>
        <w:widowControl w:val="0"/>
        <w:tabs>
          <w:tab w:val="clear" w:pos="567"/>
        </w:tabs>
        <w:spacing w:line="240" w:lineRule="auto"/>
        <w:rPr>
          <w:noProof/>
          <w:color w:val="000000"/>
          <w:lang w:val="bg-BG"/>
        </w:rPr>
      </w:pPr>
    </w:p>
    <w:p w14:paraId="3E55090E"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6.</w:t>
      </w:r>
      <w:r w:rsidRPr="00FE6AC6">
        <w:rPr>
          <w:b/>
          <w:noProof/>
          <w:color w:val="000000"/>
          <w:lang w:val="bg-BG"/>
        </w:rPr>
        <w:tab/>
        <w:t>СПЕЦИАЛНО ПРЕДУПРЕЖДЕНИЕ, ЧЕ ЛЕКАРСТВЕНИЯТ ПРОДУКТ ТРЯБВА ДА СЕ СЪХРАНЯВА НА МЯСТО ДАЛЕЧЕ ОТ ПОГЛЕДА И ДОСЕГА НА ДЕЦА</w:t>
      </w:r>
    </w:p>
    <w:p w14:paraId="3E55090F" w14:textId="77777777" w:rsidR="00426F49" w:rsidRPr="00FE6AC6" w:rsidRDefault="00426F49" w:rsidP="0063575E">
      <w:pPr>
        <w:widowControl w:val="0"/>
        <w:tabs>
          <w:tab w:val="clear" w:pos="567"/>
        </w:tabs>
        <w:spacing w:line="240" w:lineRule="auto"/>
        <w:rPr>
          <w:noProof/>
          <w:color w:val="000000"/>
          <w:lang w:val="bg-BG"/>
        </w:rPr>
      </w:pPr>
    </w:p>
    <w:p w14:paraId="3E550910" w14:textId="77777777" w:rsidR="00426F49" w:rsidRPr="00FE6AC6" w:rsidRDefault="00426F49" w:rsidP="0063575E">
      <w:pPr>
        <w:widowControl w:val="0"/>
        <w:tabs>
          <w:tab w:val="clear" w:pos="567"/>
        </w:tabs>
        <w:spacing w:line="240" w:lineRule="auto"/>
        <w:outlineLvl w:val="0"/>
        <w:rPr>
          <w:noProof/>
          <w:color w:val="000000"/>
          <w:lang w:val="bg-BG"/>
        </w:rPr>
      </w:pPr>
      <w:r w:rsidRPr="00FE6AC6">
        <w:rPr>
          <w:noProof/>
          <w:color w:val="000000"/>
          <w:lang w:val="bg-BG"/>
        </w:rPr>
        <w:t>Да се съхранява на място, недостъпно за деца.</w:t>
      </w:r>
    </w:p>
    <w:p w14:paraId="3E550911" w14:textId="77777777" w:rsidR="00426F49" w:rsidRPr="00FE6AC6" w:rsidRDefault="00426F49" w:rsidP="0063575E">
      <w:pPr>
        <w:widowControl w:val="0"/>
        <w:tabs>
          <w:tab w:val="clear" w:pos="567"/>
        </w:tabs>
        <w:spacing w:line="240" w:lineRule="auto"/>
        <w:rPr>
          <w:noProof/>
          <w:color w:val="000000"/>
          <w:lang w:val="bg-BG"/>
        </w:rPr>
      </w:pPr>
    </w:p>
    <w:p w14:paraId="3E550912" w14:textId="77777777" w:rsidR="00426F49" w:rsidRPr="00FE6AC6" w:rsidRDefault="00426F49" w:rsidP="0063575E">
      <w:pPr>
        <w:widowControl w:val="0"/>
        <w:tabs>
          <w:tab w:val="clear" w:pos="567"/>
        </w:tabs>
        <w:spacing w:line="240" w:lineRule="auto"/>
        <w:rPr>
          <w:noProof/>
          <w:color w:val="000000"/>
          <w:lang w:val="bg-BG"/>
        </w:rPr>
      </w:pPr>
    </w:p>
    <w:p w14:paraId="3E550913"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7.</w:t>
      </w:r>
      <w:r w:rsidRPr="00FE6AC6">
        <w:rPr>
          <w:b/>
          <w:noProof/>
          <w:color w:val="000000"/>
          <w:lang w:val="bg-BG"/>
        </w:rPr>
        <w:tab/>
        <w:t>ДРУГИ СПЕЦИАЛНИ ПРЕДУПРЕЖДЕНИЯ, АКО Е НЕОБХОДИМО</w:t>
      </w:r>
    </w:p>
    <w:p w14:paraId="3E550914" w14:textId="77777777" w:rsidR="00426F49" w:rsidRPr="00FE6AC6" w:rsidRDefault="00426F49" w:rsidP="0063575E">
      <w:pPr>
        <w:widowControl w:val="0"/>
        <w:tabs>
          <w:tab w:val="clear" w:pos="567"/>
        </w:tabs>
        <w:spacing w:line="240" w:lineRule="auto"/>
        <w:rPr>
          <w:noProof/>
          <w:color w:val="000000"/>
          <w:lang w:val="bg-BG"/>
        </w:rPr>
      </w:pPr>
    </w:p>
    <w:p w14:paraId="3E550915"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Да се използва само, както е указано от лекаря.</w:t>
      </w:r>
    </w:p>
    <w:p w14:paraId="3E550916" w14:textId="77777777" w:rsidR="00426F49" w:rsidRPr="00FE6AC6" w:rsidRDefault="00426F49" w:rsidP="0063575E">
      <w:pPr>
        <w:widowControl w:val="0"/>
        <w:tabs>
          <w:tab w:val="clear" w:pos="567"/>
        </w:tabs>
        <w:spacing w:line="240" w:lineRule="auto"/>
        <w:rPr>
          <w:noProof/>
          <w:color w:val="000000"/>
          <w:lang w:val="bg-BG"/>
        </w:rPr>
      </w:pPr>
    </w:p>
    <w:p w14:paraId="3E550917" w14:textId="77777777" w:rsidR="00426F49" w:rsidRPr="00FE6AC6" w:rsidRDefault="00426F49" w:rsidP="0063575E">
      <w:pPr>
        <w:widowControl w:val="0"/>
        <w:tabs>
          <w:tab w:val="clear" w:pos="567"/>
        </w:tabs>
        <w:spacing w:line="240" w:lineRule="auto"/>
        <w:rPr>
          <w:noProof/>
          <w:color w:val="000000"/>
          <w:lang w:val="bg-BG"/>
        </w:rPr>
      </w:pPr>
    </w:p>
    <w:p w14:paraId="3E550918"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8.</w:t>
      </w:r>
      <w:r w:rsidRPr="00FE6AC6">
        <w:rPr>
          <w:b/>
          <w:noProof/>
          <w:color w:val="000000"/>
          <w:lang w:val="bg-BG"/>
        </w:rPr>
        <w:tab/>
        <w:t>ДАТА НА ИЗТИЧАНЕ НА СРОКА НА ГОДНОСТ</w:t>
      </w:r>
    </w:p>
    <w:p w14:paraId="3E550919" w14:textId="77777777" w:rsidR="00426F49" w:rsidRPr="00FE6AC6" w:rsidRDefault="00426F49" w:rsidP="0063575E">
      <w:pPr>
        <w:widowControl w:val="0"/>
        <w:tabs>
          <w:tab w:val="clear" w:pos="567"/>
        </w:tabs>
        <w:spacing w:line="240" w:lineRule="auto"/>
        <w:rPr>
          <w:noProof/>
          <w:color w:val="000000"/>
          <w:lang w:val="bg-BG"/>
        </w:rPr>
      </w:pPr>
    </w:p>
    <w:p w14:paraId="3E55091A"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Годен до:</w:t>
      </w:r>
    </w:p>
    <w:p w14:paraId="3E55091B" w14:textId="77777777" w:rsidR="00426F49" w:rsidRPr="00FE6AC6" w:rsidRDefault="00426F49" w:rsidP="0063575E">
      <w:pPr>
        <w:widowControl w:val="0"/>
        <w:tabs>
          <w:tab w:val="clear" w:pos="567"/>
        </w:tabs>
        <w:spacing w:line="240" w:lineRule="auto"/>
        <w:rPr>
          <w:noProof/>
          <w:color w:val="000000"/>
          <w:lang w:val="bg-BG"/>
        </w:rPr>
      </w:pPr>
    </w:p>
    <w:p w14:paraId="3E55091C" w14:textId="77777777" w:rsidR="00426F49" w:rsidRPr="00FE6AC6" w:rsidRDefault="00426F49" w:rsidP="0063575E">
      <w:pPr>
        <w:widowControl w:val="0"/>
        <w:tabs>
          <w:tab w:val="clear" w:pos="567"/>
        </w:tabs>
        <w:spacing w:line="240" w:lineRule="auto"/>
        <w:rPr>
          <w:noProof/>
          <w:color w:val="000000"/>
          <w:lang w:val="bg-BG"/>
        </w:rPr>
      </w:pPr>
    </w:p>
    <w:p w14:paraId="3E55091D" w14:textId="77777777" w:rsidR="00426F49" w:rsidRPr="00FE6AC6" w:rsidRDefault="00426F49" w:rsidP="0063575E">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color w:val="000000"/>
          <w:lang w:val="bg-BG"/>
        </w:rPr>
      </w:pPr>
      <w:r w:rsidRPr="00FE6AC6">
        <w:rPr>
          <w:b/>
          <w:noProof/>
          <w:color w:val="000000"/>
          <w:lang w:val="bg-BG"/>
        </w:rPr>
        <w:t>9.</w:t>
      </w:r>
      <w:r w:rsidRPr="00FE6AC6">
        <w:rPr>
          <w:b/>
          <w:noProof/>
          <w:color w:val="000000"/>
          <w:lang w:val="bg-BG"/>
        </w:rPr>
        <w:tab/>
        <w:t>СПЕЦИАЛНИ УСЛОВИЯ НА СЪХРАНЕНИЕ</w:t>
      </w:r>
    </w:p>
    <w:p w14:paraId="3E55091E" w14:textId="77777777" w:rsidR="00426F49" w:rsidRPr="00FE6AC6" w:rsidRDefault="00426F49" w:rsidP="0063575E">
      <w:pPr>
        <w:keepNext/>
        <w:keepLines/>
        <w:widowControl w:val="0"/>
        <w:tabs>
          <w:tab w:val="clear" w:pos="567"/>
        </w:tabs>
        <w:spacing w:line="240" w:lineRule="auto"/>
        <w:rPr>
          <w:noProof/>
          <w:color w:val="000000"/>
          <w:lang w:val="bg-BG"/>
        </w:rPr>
      </w:pPr>
    </w:p>
    <w:p w14:paraId="3E55091F" w14:textId="77777777" w:rsidR="00426F49" w:rsidRPr="00FE6AC6" w:rsidRDefault="00426F49" w:rsidP="0063575E">
      <w:pPr>
        <w:keepNext/>
        <w:keepLines/>
        <w:widowControl w:val="0"/>
        <w:tabs>
          <w:tab w:val="clear" w:pos="567"/>
        </w:tabs>
        <w:spacing w:line="240" w:lineRule="auto"/>
        <w:rPr>
          <w:noProof/>
          <w:color w:val="000000"/>
          <w:lang w:val="bg-BG"/>
        </w:rPr>
      </w:pPr>
      <w:r w:rsidRPr="00FE6AC6">
        <w:rPr>
          <w:noProof/>
          <w:color w:val="000000"/>
          <w:lang w:val="bg-BG"/>
        </w:rPr>
        <w:t>Да не се съхр</w:t>
      </w:r>
      <w:r w:rsidR="00F93359" w:rsidRPr="00FE6AC6">
        <w:rPr>
          <w:noProof/>
          <w:color w:val="000000"/>
          <w:lang w:val="bg-BG"/>
        </w:rPr>
        <w:t>а</w:t>
      </w:r>
      <w:r w:rsidRPr="00FE6AC6">
        <w:rPr>
          <w:noProof/>
          <w:color w:val="000000"/>
          <w:lang w:val="bg-BG"/>
        </w:rPr>
        <w:t xml:space="preserve">нява над </w:t>
      </w:r>
      <w:smartTag w:uri="urn:schemas-microsoft-com:office:smarttags" w:element="metricconverter">
        <w:smartTagPr>
          <w:attr w:name="ProductID" w:val="30ﾰC"/>
        </w:smartTagPr>
        <w:r w:rsidRPr="00FE6AC6">
          <w:rPr>
            <w:noProof/>
            <w:color w:val="000000"/>
            <w:lang w:val="bg-BG"/>
          </w:rPr>
          <w:t>30</w:t>
        </w:r>
        <w:r w:rsidRPr="00FE6AC6">
          <w:rPr>
            <w:color w:val="000000"/>
            <w:lang w:val="bg-BG"/>
          </w:rPr>
          <w:t>°</w:t>
        </w:r>
        <w:r w:rsidRPr="00FE6AC6">
          <w:rPr>
            <w:noProof/>
            <w:color w:val="000000"/>
          </w:rPr>
          <w:t>C</w:t>
        </w:r>
      </w:smartTag>
      <w:r w:rsidRPr="00FE6AC6">
        <w:rPr>
          <w:noProof/>
          <w:color w:val="000000"/>
          <w:lang w:val="bg-BG"/>
        </w:rPr>
        <w:t>. Да се съхранява в оригиналната опаковка, за да се предпази от влага.</w:t>
      </w:r>
    </w:p>
    <w:p w14:paraId="3E550920" w14:textId="77777777" w:rsidR="00426F49" w:rsidRPr="00FE6AC6" w:rsidRDefault="00426F49" w:rsidP="0063575E">
      <w:pPr>
        <w:widowControl w:val="0"/>
        <w:tabs>
          <w:tab w:val="clear" w:pos="567"/>
        </w:tabs>
        <w:spacing w:line="240" w:lineRule="auto"/>
        <w:ind w:left="567" w:hanging="567"/>
        <w:rPr>
          <w:noProof/>
          <w:color w:val="000000"/>
          <w:lang w:val="bg-BG"/>
        </w:rPr>
      </w:pPr>
    </w:p>
    <w:p w14:paraId="3E550921" w14:textId="77777777" w:rsidR="00426F49" w:rsidRPr="00FE6AC6" w:rsidRDefault="00426F49" w:rsidP="0063575E">
      <w:pPr>
        <w:widowControl w:val="0"/>
        <w:tabs>
          <w:tab w:val="clear" w:pos="567"/>
        </w:tabs>
        <w:spacing w:line="240" w:lineRule="auto"/>
        <w:ind w:left="567" w:hanging="567"/>
        <w:rPr>
          <w:noProof/>
          <w:color w:val="000000"/>
          <w:lang w:val="bg-BG"/>
        </w:rPr>
      </w:pPr>
    </w:p>
    <w:p w14:paraId="3E550922" w14:textId="77777777" w:rsidR="00426F49" w:rsidRPr="00FE6AC6" w:rsidRDefault="00426F49" w:rsidP="0063575E">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color w:val="000000"/>
          <w:lang w:val="bg-BG"/>
        </w:rPr>
      </w:pPr>
      <w:r w:rsidRPr="00FE6AC6">
        <w:rPr>
          <w:b/>
          <w:noProof/>
          <w:color w:val="000000"/>
          <w:lang w:val="bg-BG"/>
        </w:rPr>
        <w:t>10.</w:t>
      </w:r>
      <w:r w:rsidRPr="00FE6AC6">
        <w:rPr>
          <w:b/>
          <w:noProof/>
          <w:color w:val="000000"/>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3E550923" w14:textId="77777777" w:rsidR="00426F49" w:rsidRPr="00FE6AC6" w:rsidRDefault="00426F49" w:rsidP="0063575E">
      <w:pPr>
        <w:keepNext/>
        <w:keepLines/>
        <w:widowControl w:val="0"/>
        <w:tabs>
          <w:tab w:val="clear" w:pos="567"/>
        </w:tabs>
        <w:spacing w:line="240" w:lineRule="auto"/>
        <w:rPr>
          <w:noProof/>
          <w:color w:val="000000"/>
          <w:lang w:val="bg-BG"/>
        </w:rPr>
      </w:pPr>
    </w:p>
    <w:p w14:paraId="3E550924" w14:textId="77777777" w:rsidR="00426F49" w:rsidRPr="00FE6AC6" w:rsidRDefault="00426F49" w:rsidP="0063575E">
      <w:pPr>
        <w:widowControl w:val="0"/>
        <w:tabs>
          <w:tab w:val="clear" w:pos="567"/>
        </w:tabs>
        <w:spacing w:line="240" w:lineRule="auto"/>
        <w:rPr>
          <w:noProof/>
          <w:color w:val="000000"/>
          <w:lang w:val="bg-BG"/>
        </w:rPr>
      </w:pPr>
    </w:p>
    <w:p w14:paraId="3E550925"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color w:val="000000"/>
          <w:lang w:val="bg-BG"/>
        </w:rPr>
      </w:pPr>
      <w:r w:rsidRPr="00FE6AC6">
        <w:rPr>
          <w:b/>
          <w:noProof/>
          <w:color w:val="000000"/>
          <w:lang w:val="bg-BG"/>
        </w:rPr>
        <w:t>11.</w:t>
      </w:r>
      <w:r w:rsidRPr="00FE6AC6">
        <w:rPr>
          <w:b/>
          <w:noProof/>
          <w:color w:val="000000"/>
          <w:lang w:val="bg-BG"/>
        </w:rPr>
        <w:tab/>
        <w:t>ИМЕ И АДРЕС НА ПРИТЕЖАТЕЛЯ НА РАЗРЕШЕНИЕТО ЗА УПОТРЕБА</w:t>
      </w:r>
    </w:p>
    <w:p w14:paraId="3E550926" w14:textId="77777777" w:rsidR="00426F49" w:rsidRPr="00FE6AC6" w:rsidRDefault="00426F49" w:rsidP="0063575E">
      <w:pPr>
        <w:widowControl w:val="0"/>
        <w:tabs>
          <w:tab w:val="clear" w:pos="567"/>
        </w:tabs>
        <w:spacing w:line="240" w:lineRule="auto"/>
        <w:rPr>
          <w:noProof/>
          <w:color w:val="000000"/>
          <w:lang w:val="bg-BG"/>
        </w:rPr>
      </w:pPr>
    </w:p>
    <w:p w14:paraId="3E550927" w14:textId="77777777" w:rsidR="00426F49" w:rsidRPr="00FE6AC6" w:rsidRDefault="00426F49" w:rsidP="0063575E">
      <w:pPr>
        <w:pStyle w:val="EndnoteText"/>
        <w:widowControl w:val="0"/>
        <w:tabs>
          <w:tab w:val="clear" w:pos="567"/>
        </w:tabs>
        <w:rPr>
          <w:color w:val="000000"/>
        </w:rPr>
      </w:pPr>
      <w:r w:rsidRPr="00FE6AC6">
        <w:rPr>
          <w:color w:val="000000"/>
        </w:rPr>
        <w:t>Novartis Europharm Limited</w:t>
      </w:r>
    </w:p>
    <w:p w14:paraId="3E550928" w14:textId="77777777" w:rsidR="000B10A3" w:rsidRPr="00FE6AC6" w:rsidRDefault="000B10A3" w:rsidP="0063575E">
      <w:pPr>
        <w:keepNext/>
        <w:widowControl w:val="0"/>
        <w:spacing w:line="240" w:lineRule="auto"/>
        <w:rPr>
          <w:color w:val="000000"/>
        </w:rPr>
      </w:pPr>
      <w:r w:rsidRPr="00FE6AC6">
        <w:rPr>
          <w:color w:val="000000"/>
        </w:rPr>
        <w:t>Vista Building</w:t>
      </w:r>
    </w:p>
    <w:p w14:paraId="3E550929" w14:textId="77777777" w:rsidR="000B10A3" w:rsidRPr="00FE6AC6" w:rsidRDefault="000B10A3" w:rsidP="0063575E">
      <w:pPr>
        <w:keepNext/>
        <w:widowControl w:val="0"/>
        <w:spacing w:line="240" w:lineRule="auto"/>
        <w:rPr>
          <w:color w:val="000000"/>
        </w:rPr>
      </w:pPr>
      <w:r w:rsidRPr="00FE6AC6">
        <w:rPr>
          <w:color w:val="000000"/>
        </w:rPr>
        <w:t>Elm Park, Merrion Road</w:t>
      </w:r>
    </w:p>
    <w:p w14:paraId="3E55092A" w14:textId="77777777" w:rsidR="000B10A3" w:rsidRPr="00FE6AC6" w:rsidRDefault="000B10A3" w:rsidP="0063575E">
      <w:pPr>
        <w:keepNext/>
        <w:widowControl w:val="0"/>
        <w:spacing w:line="240" w:lineRule="auto"/>
        <w:rPr>
          <w:color w:val="000000"/>
        </w:rPr>
      </w:pPr>
      <w:r w:rsidRPr="00FE6AC6">
        <w:rPr>
          <w:color w:val="000000"/>
        </w:rPr>
        <w:t>Dublin 4</w:t>
      </w:r>
    </w:p>
    <w:p w14:paraId="3E55092B" w14:textId="77777777" w:rsidR="000B10A3" w:rsidRPr="00FE6AC6" w:rsidRDefault="000B10A3" w:rsidP="0063575E">
      <w:pPr>
        <w:spacing w:line="240" w:lineRule="auto"/>
        <w:rPr>
          <w:color w:val="000000"/>
        </w:rPr>
      </w:pPr>
      <w:r w:rsidRPr="00FE6AC6">
        <w:rPr>
          <w:color w:val="000000"/>
        </w:rPr>
        <w:t>Ирландия</w:t>
      </w:r>
    </w:p>
    <w:p w14:paraId="3E55092C" w14:textId="77777777" w:rsidR="00426F49" w:rsidRPr="00FE6AC6" w:rsidRDefault="00426F49" w:rsidP="0063575E">
      <w:pPr>
        <w:widowControl w:val="0"/>
        <w:tabs>
          <w:tab w:val="clear" w:pos="567"/>
        </w:tabs>
        <w:spacing w:line="240" w:lineRule="auto"/>
        <w:rPr>
          <w:noProof/>
          <w:color w:val="000000"/>
          <w:lang w:val="ru-RU"/>
        </w:rPr>
      </w:pPr>
    </w:p>
    <w:p w14:paraId="3E55092D" w14:textId="77777777" w:rsidR="00426F49" w:rsidRPr="00FE6AC6" w:rsidRDefault="00426F49" w:rsidP="0063575E">
      <w:pPr>
        <w:widowControl w:val="0"/>
        <w:tabs>
          <w:tab w:val="clear" w:pos="567"/>
        </w:tabs>
        <w:spacing w:line="240" w:lineRule="auto"/>
        <w:rPr>
          <w:noProof/>
          <w:color w:val="000000"/>
          <w:lang w:val="ru-RU"/>
        </w:rPr>
      </w:pPr>
    </w:p>
    <w:p w14:paraId="3E55092E"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color w:val="000000"/>
          <w:lang w:val="ru-RU"/>
        </w:rPr>
      </w:pPr>
      <w:r w:rsidRPr="00FE6AC6">
        <w:rPr>
          <w:b/>
          <w:noProof/>
          <w:color w:val="000000"/>
          <w:lang w:val="ru-RU"/>
        </w:rPr>
        <w:t>12.</w:t>
      </w:r>
      <w:r w:rsidRPr="00FE6AC6">
        <w:rPr>
          <w:b/>
          <w:noProof/>
          <w:color w:val="000000"/>
          <w:lang w:val="ru-RU"/>
        </w:rPr>
        <w:tab/>
        <w:t>НОМЕР(А) НА РАЗРЕШЕНИЕТО ЗА УПОТРЕБА</w:t>
      </w:r>
    </w:p>
    <w:p w14:paraId="3E55092F" w14:textId="77777777" w:rsidR="00426F49" w:rsidRPr="00FE6AC6" w:rsidRDefault="00426F49" w:rsidP="0063575E">
      <w:pPr>
        <w:widowControl w:val="0"/>
        <w:tabs>
          <w:tab w:val="clear" w:pos="567"/>
        </w:tabs>
        <w:spacing w:line="240" w:lineRule="auto"/>
        <w:rPr>
          <w:noProof/>
          <w:color w:val="000000"/>
          <w:lang w:val="ru-RU"/>
        </w:rPr>
      </w:pPr>
    </w:p>
    <w:p w14:paraId="3E550930" w14:textId="77777777" w:rsidR="00426F49" w:rsidRPr="00FE6AC6" w:rsidRDefault="00426F49" w:rsidP="0063575E">
      <w:pPr>
        <w:pStyle w:val="EndnoteText"/>
        <w:widowControl w:val="0"/>
        <w:tabs>
          <w:tab w:val="clear" w:pos="567"/>
          <w:tab w:val="left" w:pos="2268"/>
        </w:tabs>
        <w:rPr>
          <w:color w:val="000000"/>
          <w:shd w:val="clear" w:color="auto" w:fill="D9D9D9"/>
          <w:lang w:val="bg-BG"/>
        </w:rPr>
      </w:pPr>
      <w:r w:rsidRPr="00FE6AC6">
        <w:rPr>
          <w:color w:val="000000"/>
        </w:rPr>
        <w:t>EU</w:t>
      </w:r>
      <w:r w:rsidRPr="00FE6AC6">
        <w:rPr>
          <w:color w:val="000000"/>
          <w:lang w:val="bg-BG"/>
        </w:rPr>
        <w:t>/1/01/198/009</w:t>
      </w:r>
      <w:r w:rsidRPr="00FE6AC6">
        <w:rPr>
          <w:color w:val="000000"/>
          <w:lang w:val="bg-BG"/>
        </w:rPr>
        <w:tab/>
      </w:r>
      <w:r w:rsidRPr="00FE6AC6">
        <w:rPr>
          <w:color w:val="000000"/>
          <w:shd w:val="clear" w:color="auto" w:fill="D9D9D9"/>
          <w:lang w:val="bg-BG"/>
        </w:rPr>
        <w:t>10</w:t>
      </w:r>
      <w:r w:rsidRPr="00FE6AC6">
        <w:rPr>
          <w:color w:val="000000"/>
          <w:shd w:val="clear" w:color="auto" w:fill="D9D9D9"/>
        </w:rPr>
        <w:t> </w:t>
      </w:r>
      <w:r w:rsidRPr="00FE6AC6">
        <w:rPr>
          <w:color w:val="000000"/>
          <w:shd w:val="clear" w:color="auto" w:fill="D9D9D9"/>
          <w:lang w:val="bg-BG"/>
        </w:rPr>
        <w:t>таблетки</w:t>
      </w:r>
    </w:p>
    <w:p w14:paraId="3E550931" w14:textId="77777777" w:rsidR="00426F49" w:rsidRPr="00FE6AC6" w:rsidRDefault="00426F49" w:rsidP="0063575E">
      <w:pPr>
        <w:pStyle w:val="EndnoteText"/>
        <w:widowControl w:val="0"/>
        <w:tabs>
          <w:tab w:val="clear" w:pos="567"/>
          <w:tab w:val="left" w:pos="2268"/>
        </w:tabs>
        <w:rPr>
          <w:color w:val="000000"/>
          <w:shd w:val="clear" w:color="auto" w:fill="D9D9D9"/>
          <w:lang w:val="bg-BG"/>
        </w:rPr>
      </w:pPr>
      <w:r w:rsidRPr="00FE6AC6">
        <w:rPr>
          <w:color w:val="000000"/>
          <w:shd w:val="clear" w:color="auto" w:fill="D9D9D9"/>
        </w:rPr>
        <w:t>EU</w:t>
      </w:r>
      <w:r w:rsidRPr="00FE6AC6">
        <w:rPr>
          <w:color w:val="000000"/>
          <w:shd w:val="clear" w:color="auto" w:fill="D9D9D9"/>
          <w:lang w:val="bg-BG"/>
        </w:rPr>
        <w:t>/1/01/198/010</w:t>
      </w:r>
      <w:r w:rsidRPr="00FE6AC6">
        <w:rPr>
          <w:color w:val="000000"/>
          <w:shd w:val="clear" w:color="auto" w:fill="D9D9D9"/>
          <w:lang w:val="bg-BG"/>
        </w:rPr>
        <w:tab/>
        <w:t>30</w:t>
      </w:r>
      <w:r w:rsidRPr="00FE6AC6">
        <w:rPr>
          <w:color w:val="000000"/>
          <w:shd w:val="clear" w:color="auto" w:fill="D9D9D9"/>
        </w:rPr>
        <w:t> </w:t>
      </w:r>
      <w:r w:rsidRPr="00FE6AC6">
        <w:rPr>
          <w:color w:val="000000"/>
          <w:shd w:val="clear" w:color="auto" w:fill="D9D9D9"/>
          <w:lang w:val="bg-BG"/>
        </w:rPr>
        <w:t>таблетки</w:t>
      </w:r>
    </w:p>
    <w:p w14:paraId="3E550932" w14:textId="77777777" w:rsidR="00426F49" w:rsidRPr="00FE6AC6" w:rsidRDefault="00426F49" w:rsidP="0063575E">
      <w:pPr>
        <w:pStyle w:val="EndnoteText"/>
        <w:widowControl w:val="0"/>
        <w:tabs>
          <w:tab w:val="clear" w:pos="567"/>
          <w:tab w:val="left" w:pos="2268"/>
        </w:tabs>
        <w:rPr>
          <w:color w:val="000000"/>
          <w:shd w:val="clear" w:color="auto" w:fill="D9D9D9"/>
          <w:lang w:val="ru-RU"/>
        </w:rPr>
      </w:pPr>
      <w:r w:rsidRPr="00FE6AC6">
        <w:rPr>
          <w:color w:val="000000"/>
          <w:shd w:val="clear" w:color="auto" w:fill="D9D9D9"/>
          <w:lang w:val="fr-FR"/>
        </w:rPr>
        <w:t>EU</w:t>
      </w:r>
      <w:r w:rsidRPr="00FE6AC6">
        <w:rPr>
          <w:color w:val="000000"/>
          <w:shd w:val="clear" w:color="auto" w:fill="D9D9D9"/>
          <w:lang w:val="ru-RU"/>
        </w:rPr>
        <w:t>/1/01/198/013</w:t>
      </w:r>
      <w:r w:rsidRPr="00FE6AC6">
        <w:rPr>
          <w:color w:val="000000"/>
          <w:shd w:val="clear" w:color="auto" w:fill="D9D9D9"/>
          <w:lang w:val="ru-RU"/>
        </w:rPr>
        <w:tab/>
        <w:t>90</w:t>
      </w:r>
      <w:r w:rsidRPr="00FE6AC6">
        <w:rPr>
          <w:color w:val="000000"/>
          <w:shd w:val="clear" w:color="auto" w:fill="D9D9D9"/>
          <w:lang w:val="fr-FR"/>
        </w:rPr>
        <w:t> </w:t>
      </w:r>
      <w:r w:rsidRPr="00FE6AC6">
        <w:rPr>
          <w:color w:val="000000"/>
          <w:shd w:val="clear" w:color="auto" w:fill="D9D9D9"/>
          <w:lang w:val="bg-BG"/>
        </w:rPr>
        <w:t>таблетки</w:t>
      </w:r>
    </w:p>
    <w:p w14:paraId="3E550933" w14:textId="77777777" w:rsidR="00426F49" w:rsidRPr="00FE6AC6" w:rsidRDefault="00426F49" w:rsidP="0063575E">
      <w:pPr>
        <w:widowControl w:val="0"/>
        <w:tabs>
          <w:tab w:val="clear" w:pos="567"/>
        </w:tabs>
        <w:spacing w:line="240" w:lineRule="auto"/>
        <w:rPr>
          <w:noProof/>
          <w:color w:val="000000"/>
          <w:lang w:val="bg-BG"/>
        </w:rPr>
      </w:pPr>
    </w:p>
    <w:p w14:paraId="3E550934" w14:textId="77777777" w:rsidR="00426F49" w:rsidRPr="00FE6AC6" w:rsidRDefault="00426F49" w:rsidP="0063575E">
      <w:pPr>
        <w:widowControl w:val="0"/>
        <w:tabs>
          <w:tab w:val="clear" w:pos="567"/>
        </w:tabs>
        <w:spacing w:line="240" w:lineRule="auto"/>
        <w:rPr>
          <w:noProof/>
          <w:color w:val="000000"/>
          <w:lang w:val="bg-BG"/>
        </w:rPr>
      </w:pPr>
    </w:p>
    <w:p w14:paraId="3E550935"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13.</w:t>
      </w:r>
      <w:r w:rsidRPr="00FE6AC6">
        <w:rPr>
          <w:b/>
          <w:noProof/>
          <w:color w:val="000000"/>
          <w:lang w:val="bg-BG"/>
        </w:rPr>
        <w:tab/>
        <w:t>ПАРТИДЕН НОМЕР</w:t>
      </w:r>
    </w:p>
    <w:p w14:paraId="3E550936" w14:textId="77777777" w:rsidR="00426F49" w:rsidRPr="00FE6AC6" w:rsidRDefault="00426F49" w:rsidP="0063575E">
      <w:pPr>
        <w:widowControl w:val="0"/>
        <w:tabs>
          <w:tab w:val="clear" w:pos="567"/>
        </w:tabs>
        <w:spacing w:line="240" w:lineRule="auto"/>
        <w:rPr>
          <w:noProof/>
          <w:color w:val="000000"/>
          <w:lang w:val="bg-BG"/>
        </w:rPr>
      </w:pPr>
    </w:p>
    <w:p w14:paraId="3E550937" w14:textId="77777777" w:rsidR="00426F49" w:rsidRPr="00FE6AC6" w:rsidRDefault="00426F49" w:rsidP="0063575E">
      <w:pPr>
        <w:widowControl w:val="0"/>
        <w:tabs>
          <w:tab w:val="clear" w:pos="567"/>
        </w:tabs>
        <w:spacing w:line="240" w:lineRule="auto"/>
        <w:rPr>
          <w:noProof/>
          <w:color w:val="000000"/>
          <w:lang w:val="bg-BG"/>
        </w:rPr>
      </w:pPr>
      <w:r w:rsidRPr="00FE6AC6">
        <w:rPr>
          <w:noProof/>
          <w:color w:val="000000"/>
          <w:lang w:val="bg-BG"/>
        </w:rPr>
        <w:t>Партиден №</w:t>
      </w:r>
    </w:p>
    <w:p w14:paraId="3E550938" w14:textId="77777777" w:rsidR="00426F49" w:rsidRPr="00FE6AC6" w:rsidRDefault="00426F49" w:rsidP="0063575E">
      <w:pPr>
        <w:widowControl w:val="0"/>
        <w:tabs>
          <w:tab w:val="clear" w:pos="567"/>
        </w:tabs>
        <w:spacing w:line="240" w:lineRule="auto"/>
        <w:rPr>
          <w:noProof/>
          <w:color w:val="000000"/>
          <w:lang w:val="bg-BG"/>
        </w:rPr>
      </w:pPr>
    </w:p>
    <w:p w14:paraId="3E550939" w14:textId="77777777" w:rsidR="00426F49" w:rsidRPr="00FE6AC6" w:rsidRDefault="00426F49" w:rsidP="0063575E">
      <w:pPr>
        <w:widowControl w:val="0"/>
        <w:tabs>
          <w:tab w:val="clear" w:pos="567"/>
        </w:tabs>
        <w:spacing w:line="240" w:lineRule="auto"/>
        <w:rPr>
          <w:noProof/>
          <w:color w:val="000000"/>
          <w:lang w:val="bg-BG"/>
        </w:rPr>
      </w:pPr>
    </w:p>
    <w:p w14:paraId="3E55093A"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14.</w:t>
      </w:r>
      <w:r w:rsidRPr="00FE6AC6">
        <w:rPr>
          <w:b/>
          <w:noProof/>
          <w:color w:val="000000"/>
          <w:lang w:val="bg-BG"/>
        </w:rPr>
        <w:tab/>
        <w:t>НАЧИН НА ОТПУСКАНЕ</w:t>
      </w:r>
    </w:p>
    <w:p w14:paraId="3E55093B" w14:textId="77777777" w:rsidR="00426F49" w:rsidRPr="00FE6AC6" w:rsidRDefault="00426F49" w:rsidP="0063575E">
      <w:pPr>
        <w:widowControl w:val="0"/>
        <w:tabs>
          <w:tab w:val="clear" w:pos="567"/>
        </w:tabs>
        <w:spacing w:line="240" w:lineRule="auto"/>
        <w:rPr>
          <w:noProof/>
          <w:color w:val="000000"/>
          <w:lang w:val="bg-BG"/>
        </w:rPr>
      </w:pPr>
    </w:p>
    <w:p w14:paraId="3E55093C" w14:textId="77777777" w:rsidR="00426F49" w:rsidRPr="00FE6AC6" w:rsidRDefault="00426F49" w:rsidP="0063575E">
      <w:pPr>
        <w:widowControl w:val="0"/>
        <w:tabs>
          <w:tab w:val="clear" w:pos="567"/>
        </w:tabs>
        <w:spacing w:line="240" w:lineRule="auto"/>
        <w:rPr>
          <w:noProof/>
          <w:color w:val="000000"/>
          <w:lang w:val="bg-BG"/>
        </w:rPr>
      </w:pPr>
    </w:p>
    <w:p w14:paraId="3E55093D"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15.</w:t>
      </w:r>
      <w:r w:rsidRPr="00FE6AC6">
        <w:rPr>
          <w:b/>
          <w:noProof/>
          <w:color w:val="000000"/>
          <w:lang w:val="bg-BG"/>
        </w:rPr>
        <w:tab/>
        <w:t>УКАЗАНИЯ ЗА УПОТРЕБА</w:t>
      </w:r>
    </w:p>
    <w:p w14:paraId="3E55093E" w14:textId="77777777" w:rsidR="00426F49" w:rsidRPr="00FE6AC6" w:rsidRDefault="00426F49" w:rsidP="0063575E">
      <w:pPr>
        <w:widowControl w:val="0"/>
        <w:tabs>
          <w:tab w:val="clear" w:pos="567"/>
        </w:tabs>
        <w:spacing w:line="240" w:lineRule="auto"/>
        <w:rPr>
          <w:noProof/>
          <w:color w:val="000000"/>
          <w:lang w:val="bg-BG"/>
        </w:rPr>
      </w:pPr>
    </w:p>
    <w:p w14:paraId="3E55093F" w14:textId="77777777" w:rsidR="00426F49" w:rsidRPr="00FE6AC6" w:rsidRDefault="00426F49" w:rsidP="0063575E">
      <w:pPr>
        <w:widowControl w:val="0"/>
        <w:tabs>
          <w:tab w:val="clear" w:pos="567"/>
        </w:tabs>
        <w:spacing w:line="240" w:lineRule="auto"/>
        <w:rPr>
          <w:noProof/>
          <w:color w:val="000000"/>
          <w:lang w:val="bg-BG"/>
        </w:rPr>
      </w:pPr>
    </w:p>
    <w:p w14:paraId="3E550940"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color w:val="000000"/>
          <w:lang w:val="bg-BG"/>
        </w:rPr>
      </w:pPr>
      <w:r w:rsidRPr="00FE6AC6">
        <w:rPr>
          <w:b/>
          <w:noProof/>
          <w:color w:val="000000"/>
          <w:lang w:val="bg-BG"/>
        </w:rPr>
        <w:t>16.</w:t>
      </w:r>
      <w:r w:rsidRPr="00FE6AC6">
        <w:rPr>
          <w:b/>
          <w:noProof/>
          <w:color w:val="000000"/>
          <w:lang w:val="bg-BG"/>
        </w:rPr>
        <w:tab/>
        <w:t>ИНФОРМАЦИЯ НА БРАЙЛОВА АЗБУКА</w:t>
      </w:r>
    </w:p>
    <w:p w14:paraId="3E550941" w14:textId="77777777" w:rsidR="00426F49" w:rsidRPr="00FE6AC6" w:rsidRDefault="00426F49" w:rsidP="0063575E">
      <w:pPr>
        <w:widowControl w:val="0"/>
        <w:tabs>
          <w:tab w:val="clear" w:pos="567"/>
        </w:tabs>
        <w:spacing w:line="240" w:lineRule="auto"/>
        <w:rPr>
          <w:noProof/>
          <w:color w:val="000000"/>
          <w:lang w:val="bg-BG"/>
        </w:rPr>
      </w:pPr>
    </w:p>
    <w:p w14:paraId="3E550942" w14:textId="77777777" w:rsidR="00426F49" w:rsidRPr="00FE6AC6" w:rsidRDefault="00426F49" w:rsidP="0063575E">
      <w:pPr>
        <w:widowControl w:val="0"/>
        <w:spacing w:line="240" w:lineRule="auto"/>
        <w:rPr>
          <w:color w:val="000000"/>
          <w:lang w:val="bg-BG"/>
        </w:rPr>
      </w:pPr>
      <w:r w:rsidRPr="00FE6AC6">
        <w:rPr>
          <w:color w:val="000000"/>
        </w:rPr>
        <w:t>Glivec</w:t>
      </w:r>
      <w:r w:rsidRPr="00FE6AC6">
        <w:rPr>
          <w:color w:val="000000"/>
          <w:lang w:val="bg-BG"/>
        </w:rPr>
        <w:t xml:space="preserve"> 400</w:t>
      </w:r>
      <w:r w:rsidRPr="00FE6AC6">
        <w:rPr>
          <w:color w:val="000000"/>
        </w:rPr>
        <w:t> mg</w:t>
      </w:r>
    </w:p>
    <w:p w14:paraId="3E550943" w14:textId="77777777" w:rsidR="00426F49" w:rsidRPr="00FE6AC6" w:rsidRDefault="00426F49" w:rsidP="0063575E">
      <w:pPr>
        <w:widowControl w:val="0"/>
        <w:tabs>
          <w:tab w:val="clear" w:pos="567"/>
        </w:tabs>
        <w:spacing w:line="240" w:lineRule="auto"/>
        <w:rPr>
          <w:noProof/>
          <w:color w:val="000000"/>
          <w:lang w:val="bg-BG"/>
        </w:rPr>
      </w:pPr>
    </w:p>
    <w:p w14:paraId="3E550944" w14:textId="77777777" w:rsidR="003D2302" w:rsidRPr="00FE6AC6" w:rsidRDefault="003D2302" w:rsidP="0063575E">
      <w:pPr>
        <w:widowControl w:val="0"/>
        <w:tabs>
          <w:tab w:val="clear" w:pos="567"/>
        </w:tabs>
        <w:spacing w:line="240" w:lineRule="auto"/>
        <w:rPr>
          <w:szCs w:val="22"/>
          <w:lang w:val="bg-BG"/>
        </w:rPr>
      </w:pPr>
    </w:p>
    <w:p w14:paraId="3E550945" w14:textId="77777777" w:rsidR="003D2302" w:rsidRPr="00FE6AC6" w:rsidRDefault="003D2302"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bg-BG"/>
        </w:rPr>
      </w:pPr>
      <w:r w:rsidRPr="00FE6AC6">
        <w:rPr>
          <w:b/>
          <w:noProof/>
          <w:lang w:val="bg-BG"/>
        </w:rPr>
        <w:t>17.</w:t>
      </w:r>
      <w:r w:rsidRPr="00FE6AC6">
        <w:rPr>
          <w:b/>
          <w:noProof/>
          <w:lang w:val="bg-BG"/>
        </w:rPr>
        <w:tab/>
        <w:t>УНИКАЛЕН ИДЕНТИФИКАТОР — ДВУИЗМЕРЕН БАРКОД</w:t>
      </w:r>
    </w:p>
    <w:p w14:paraId="3E550946" w14:textId="77777777" w:rsidR="003D2302" w:rsidRPr="00FE6AC6" w:rsidRDefault="003D2302" w:rsidP="0063575E">
      <w:pPr>
        <w:widowControl w:val="0"/>
        <w:tabs>
          <w:tab w:val="clear" w:pos="567"/>
        </w:tabs>
        <w:spacing w:line="240" w:lineRule="auto"/>
        <w:rPr>
          <w:noProof/>
          <w:lang w:val="bg-BG"/>
        </w:rPr>
      </w:pPr>
    </w:p>
    <w:p w14:paraId="3E550947" w14:textId="77777777" w:rsidR="003D2302" w:rsidRPr="00FE6AC6" w:rsidRDefault="003D2302" w:rsidP="0063575E">
      <w:pPr>
        <w:widowControl w:val="0"/>
        <w:tabs>
          <w:tab w:val="clear" w:pos="567"/>
        </w:tabs>
        <w:spacing w:line="240" w:lineRule="auto"/>
        <w:rPr>
          <w:noProof/>
          <w:szCs w:val="22"/>
          <w:shd w:val="clear" w:color="auto" w:fill="CCCCCC"/>
          <w:lang w:val="bg-BG"/>
        </w:rPr>
      </w:pPr>
      <w:r w:rsidRPr="00FE6AC6">
        <w:rPr>
          <w:noProof/>
          <w:shd w:val="pct15" w:color="auto" w:fill="auto"/>
          <w:lang w:val="bg-BG"/>
        </w:rPr>
        <w:t>Двуизмерен баркод с включен уникален идентификатор</w:t>
      </w:r>
    </w:p>
    <w:p w14:paraId="3E550948" w14:textId="77777777" w:rsidR="003D2302" w:rsidRPr="00FE6AC6" w:rsidRDefault="003D2302" w:rsidP="0063575E">
      <w:pPr>
        <w:widowControl w:val="0"/>
        <w:tabs>
          <w:tab w:val="clear" w:pos="567"/>
        </w:tabs>
        <w:spacing w:line="240" w:lineRule="auto"/>
        <w:rPr>
          <w:noProof/>
          <w:szCs w:val="22"/>
          <w:shd w:val="clear" w:color="auto" w:fill="CCCCCC"/>
          <w:lang w:val="bg-BG"/>
        </w:rPr>
      </w:pPr>
    </w:p>
    <w:p w14:paraId="3E550949" w14:textId="77777777" w:rsidR="003D2302" w:rsidRPr="00FE6AC6" w:rsidRDefault="003D2302" w:rsidP="0063575E">
      <w:pPr>
        <w:widowControl w:val="0"/>
        <w:tabs>
          <w:tab w:val="clear" w:pos="567"/>
        </w:tabs>
        <w:spacing w:line="240" w:lineRule="auto"/>
        <w:rPr>
          <w:noProof/>
          <w:lang w:val="bg-BG"/>
        </w:rPr>
      </w:pPr>
    </w:p>
    <w:p w14:paraId="3E55094A" w14:textId="77777777" w:rsidR="003D2302" w:rsidRPr="00FE6AC6" w:rsidRDefault="003D2302" w:rsidP="0063575E">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bg-BG"/>
        </w:rPr>
      </w:pPr>
      <w:r w:rsidRPr="00FE6AC6">
        <w:rPr>
          <w:b/>
          <w:noProof/>
          <w:lang w:val="bg-BG"/>
        </w:rPr>
        <w:t>18.</w:t>
      </w:r>
      <w:r w:rsidRPr="00FE6AC6">
        <w:rPr>
          <w:b/>
          <w:noProof/>
          <w:lang w:val="bg-BG"/>
        </w:rPr>
        <w:tab/>
        <w:t>УНИКАЛЕН ИДЕНТИФИКАТОР — ДАННИ ЗА ЧЕТЕНЕ ОТ ХОРА</w:t>
      </w:r>
    </w:p>
    <w:p w14:paraId="3E55094B" w14:textId="77777777" w:rsidR="003D2302" w:rsidRPr="00FE6AC6" w:rsidRDefault="003D2302" w:rsidP="0063575E">
      <w:pPr>
        <w:widowControl w:val="0"/>
        <w:tabs>
          <w:tab w:val="clear" w:pos="567"/>
        </w:tabs>
        <w:spacing w:line="240" w:lineRule="auto"/>
        <w:rPr>
          <w:noProof/>
          <w:lang w:val="bg-BG"/>
        </w:rPr>
      </w:pPr>
    </w:p>
    <w:p w14:paraId="3E55094C" w14:textId="77777777" w:rsidR="003D2302" w:rsidRPr="00FE6AC6" w:rsidRDefault="003D2302" w:rsidP="0063575E">
      <w:pPr>
        <w:widowControl w:val="0"/>
        <w:tabs>
          <w:tab w:val="clear" w:pos="567"/>
        </w:tabs>
        <w:spacing w:line="240" w:lineRule="auto"/>
        <w:rPr>
          <w:szCs w:val="22"/>
          <w:lang w:val="bg-BG"/>
        </w:rPr>
      </w:pPr>
      <w:r w:rsidRPr="00FE6AC6">
        <w:t>PC</w:t>
      </w:r>
      <w:r w:rsidRPr="00FE6AC6">
        <w:rPr>
          <w:lang w:val="bg-BG"/>
        </w:rPr>
        <w:t>:</w:t>
      </w:r>
    </w:p>
    <w:p w14:paraId="3E55094D" w14:textId="77777777" w:rsidR="003D2302" w:rsidRPr="00FE6AC6" w:rsidRDefault="003D2302" w:rsidP="0063575E">
      <w:pPr>
        <w:widowControl w:val="0"/>
        <w:tabs>
          <w:tab w:val="clear" w:pos="567"/>
        </w:tabs>
        <w:spacing w:line="240" w:lineRule="auto"/>
        <w:rPr>
          <w:szCs w:val="22"/>
          <w:lang w:val="bg-BG"/>
        </w:rPr>
      </w:pPr>
      <w:r w:rsidRPr="00FE6AC6">
        <w:t>SN</w:t>
      </w:r>
      <w:r w:rsidRPr="00FE6AC6">
        <w:rPr>
          <w:lang w:val="bg-BG"/>
        </w:rPr>
        <w:t>:</w:t>
      </w:r>
    </w:p>
    <w:p w14:paraId="3E55094E" w14:textId="77777777" w:rsidR="00426F49" w:rsidRPr="00FE6AC6" w:rsidRDefault="003D2302" w:rsidP="0063575E">
      <w:pPr>
        <w:widowControl w:val="0"/>
        <w:tabs>
          <w:tab w:val="clear" w:pos="567"/>
        </w:tabs>
        <w:spacing w:line="240" w:lineRule="auto"/>
        <w:rPr>
          <w:noProof/>
          <w:color w:val="000000"/>
          <w:lang w:val="bg-BG"/>
        </w:rPr>
      </w:pPr>
      <w:r w:rsidRPr="00FE6AC6">
        <w:t>NN</w:t>
      </w:r>
      <w:r w:rsidRPr="00FE6AC6">
        <w:rPr>
          <w:lang w:val="bg-BG"/>
        </w:rPr>
        <w:t>:</w:t>
      </w:r>
    </w:p>
    <w:p w14:paraId="3E55094F" w14:textId="77777777" w:rsidR="00426F49" w:rsidRPr="00FE6AC6" w:rsidRDefault="00426F49" w:rsidP="0063575E">
      <w:pPr>
        <w:widowControl w:val="0"/>
        <w:spacing w:line="240" w:lineRule="auto"/>
        <w:rPr>
          <w:noProof/>
          <w:color w:val="000000"/>
          <w:lang w:val="bg-BG"/>
        </w:rPr>
      </w:pPr>
      <w:r w:rsidRPr="00FE6AC6">
        <w:rPr>
          <w:b/>
          <w:noProof/>
          <w:color w:val="000000"/>
          <w:lang w:val="bg-BG"/>
        </w:rPr>
        <w:br w:type="page"/>
      </w:r>
    </w:p>
    <w:p w14:paraId="3E550950" w14:textId="77777777" w:rsidR="00572F70" w:rsidRPr="00572F70" w:rsidRDefault="00572F70" w:rsidP="00572F70">
      <w:pPr>
        <w:widowControl w:val="0"/>
        <w:spacing w:line="240" w:lineRule="auto"/>
        <w:rPr>
          <w:noProof/>
          <w:color w:val="000000"/>
          <w:lang w:val="ru-RU"/>
        </w:rPr>
      </w:pPr>
    </w:p>
    <w:p w14:paraId="3E55095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b/>
          <w:noProof/>
          <w:color w:val="000000"/>
          <w:lang w:val="ru-RU"/>
        </w:rPr>
      </w:pPr>
      <w:r w:rsidRPr="00FE6AC6">
        <w:rPr>
          <w:b/>
          <w:noProof/>
          <w:color w:val="000000"/>
          <w:lang w:val="ru-RU"/>
        </w:rPr>
        <w:t>МИНИМУМ ДАННИ, КОИТО ТРЯБВА ДА СЪДЪРЖАТ БЛИСТЕРИТЕ И ЛЕНТИТЕ</w:t>
      </w:r>
    </w:p>
    <w:p w14:paraId="3E550952"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noProof/>
          <w:color w:val="000000"/>
          <w:lang w:val="ru-RU"/>
        </w:rPr>
      </w:pPr>
    </w:p>
    <w:p w14:paraId="3E550953"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spacing w:line="240" w:lineRule="auto"/>
        <w:rPr>
          <w:b/>
          <w:noProof/>
          <w:color w:val="000000"/>
          <w:lang w:val="ru-RU"/>
        </w:rPr>
      </w:pPr>
      <w:r w:rsidRPr="00FE6AC6">
        <w:rPr>
          <w:b/>
          <w:noProof/>
          <w:color w:val="000000"/>
          <w:lang w:val="ru-RU"/>
        </w:rPr>
        <w:t>БЛИСТЕРИ</w:t>
      </w:r>
    </w:p>
    <w:p w14:paraId="3E550954" w14:textId="77777777" w:rsidR="00426F49" w:rsidRPr="00FE6AC6" w:rsidRDefault="00426F49" w:rsidP="0063575E">
      <w:pPr>
        <w:widowControl w:val="0"/>
        <w:tabs>
          <w:tab w:val="clear" w:pos="567"/>
        </w:tabs>
        <w:spacing w:line="240" w:lineRule="auto"/>
        <w:rPr>
          <w:noProof/>
          <w:color w:val="000000"/>
          <w:lang w:val="ru-RU"/>
        </w:rPr>
      </w:pPr>
    </w:p>
    <w:p w14:paraId="3E550955" w14:textId="77777777" w:rsidR="00426F49" w:rsidRPr="00FE6AC6" w:rsidRDefault="00426F49" w:rsidP="0063575E">
      <w:pPr>
        <w:widowControl w:val="0"/>
        <w:tabs>
          <w:tab w:val="clear" w:pos="567"/>
        </w:tabs>
        <w:spacing w:line="240" w:lineRule="auto"/>
        <w:rPr>
          <w:noProof/>
          <w:color w:val="000000"/>
          <w:lang w:val="ru-RU"/>
        </w:rPr>
      </w:pPr>
    </w:p>
    <w:p w14:paraId="3E550956"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1.</w:t>
      </w:r>
      <w:r w:rsidRPr="00FE6AC6">
        <w:rPr>
          <w:b/>
          <w:noProof/>
          <w:color w:val="000000"/>
          <w:lang w:val="ru-RU"/>
        </w:rPr>
        <w:tab/>
        <w:t>ИМЕ НА ЛЕКАРСТВЕНИЯ ПРОДУКТ</w:t>
      </w:r>
    </w:p>
    <w:p w14:paraId="3E550957" w14:textId="77777777" w:rsidR="00426F49" w:rsidRPr="00FE6AC6" w:rsidRDefault="00426F49" w:rsidP="0063575E">
      <w:pPr>
        <w:widowControl w:val="0"/>
        <w:tabs>
          <w:tab w:val="clear" w:pos="567"/>
        </w:tabs>
        <w:spacing w:line="240" w:lineRule="auto"/>
        <w:ind w:left="567" w:hanging="567"/>
        <w:rPr>
          <w:noProof/>
          <w:color w:val="000000"/>
          <w:lang w:val="ru-RU"/>
        </w:rPr>
      </w:pPr>
    </w:p>
    <w:p w14:paraId="3E550958" w14:textId="77777777" w:rsidR="00426F49" w:rsidRPr="00FE6AC6" w:rsidRDefault="00426F49" w:rsidP="0063575E">
      <w:pPr>
        <w:widowControl w:val="0"/>
        <w:spacing w:line="240" w:lineRule="auto"/>
        <w:ind w:left="567" w:hanging="567"/>
        <w:rPr>
          <w:color w:val="000000"/>
          <w:lang w:val="bg-BG"/>
        </w:rPr>
      </w:pPr>
      <w:r w:rsidRPr="00FE6AC6">
        <w:rPr>
          <w:color w:val="000000"/>
        </w:rPr>
        <w:t>Glivec</w:t>
      </w:r>
      <w:r w:rsidRPr="00FE6AC6">
        <w:rPr>
          <w:color w:val="000000"/>
          <w:lang w:val="ru-RU"/>
        </w:rPr>
        <w:t xml:space="preserve"> 400</w:t>
      </w:r>
      <w:r w:rsidRPr="00FE6AC6">
        <w:rPr>
          <w:color w:val="000000"/>
        </w:rPr>
        <w:t> mg</w:t>
      </w:r>
      <w:r w:rsidRPr="00FE6AC6">
        <w:rPr>
          <w:color w:val="000000"/>
          <w:lang w:val="ru-RU"/>
        </w:rPr>
        <w:t xml:space="preserve"> </w:t>
      </w:r>
      <w:r w:rsidRPr="00FE6AC6">
        <w:rPr>
          <w:color w:val="000000"/>
          <w:lang w:val="bg-BG"/>
        </w:rPr>
        <w:t>таблетки</w:t>
      </w:r>
    </w:p>
    <w:p w14:paraId="3E550959" w14:textId="77777777" w:rsidR="00426F49" w:rsidRPr="00FE6AC6" w:rsidRDefault="00B5235D" w:rsidP="0063575E">
      <w:pPr>
        <w:widowControl w:val="0"/>
        <w:tabs>
          <w:tab w:val="clear" w:pos="567"/>
        </w:tabs>
        <w:spacing w:line="240" w:lineRule="auto"/>
        <w:rPr>
          <w:noProof/>
          <w:color w:val="000000"/>
          <w:lang w:val="bg-BG"/>
        </w:rPr>
      </w:pPr>
      <w:r w:rsidRPr="00FE6AC6">
        <w:rPr>
          <w:color w:val="000000"/>
          <w:lang w:val="bg-BG"/>
        </w:rPr>
        <w:t>и</w:t>
      </w:r>
      <w:r w:rsidR="00426F49" w:rsidRPr="00FE6AC6">
        <w:rPr>
          <w:color w:val="000000"/>
          <w:lang w:val="bg-BG"/>
        </w:rPr>
        <w:t>матиниб</w:t>
      </w:r>
    </w:p>
    <w:p w14:paraId="3E55095A" w14:textId="77777777" w:rsidR="00426F49" w:rsidRPr="00FE6AC6" w:rsidRDefault="00426F49" w:rsidP="0063575E">
      <w:pPr>
        <w:widowControl w:val="0"/>
        <w:tabs>
          <w:tab w:val="clear" w:pos="567"/>
        </w:tabs>
        <w:spacing w:line="240" w:lineRule="auto"/>
        <w:rPr>
          <w:noProof/>
          <w:color w:val="000000"/>
          <w:lang w:val="bg-BG"/>
        </w:rPr>
      </w:pPr>
    </w:p>
    <w:p w14:paraId="3E55095B" w14:textId="77777777" w:rsidR="00426F49" w:rsidRPr="00FE6AC6" w:rsidRDefault="00426F49" w:rsidP="0063575E">
      <w:pPr>
        <w:widowControl w:val="0"/>
        <w:tabs>
          <w:tab w:val="clear" w:pos="567"/>
        </w:tabs>
        <w:spacing w:line="240" w:lineRule="auto"/>
        <w:rPr>
          <w:noProof/>
          <w:color w:val="000000"/>
          <w:lang w:val="bg-BG"/>
        </w:rPr>
      </w:pPr>
    </w:p>
    <w:p w14:paraId="3E55095C"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2.</w:t>
      </w:r>
      <w:r w:rsidRPr="00FE6AC6">
        <w:rPr>
          <w:b/>
          <w:noProof/>
          <w:color w:val="000000"/>
          <w:lang w:val="ru-RU"/>
        </w:rPr>
        <w:tab/>
        <w:t>ИМЕ НА ПРИТЕЖАТЕЛЯ НА РАЗРЕШЕНИЕТО ЗА УПОТРЕБА</w:t>
      </w:r>
    </w:p>
    <w:p w14:paraId="3E55095D" w14:textId="77777777" w:rsidR="00426F49" w:rsidRPr="00FE6AC6" w:rsidRDefault="00426F49" w:rsidP="0063575E">
      <w:pPr>
        <w:widowControl w:val="0"/>
        <w:tabs>
          <w:tab w:val="clear" w:pos="567"/>
        </w:tabs>
        <w:spacing w:line="240" w:lineRule="auto"/>
        <w:rPr>
          <w:noProof/>
          <w:color w:val="000000"/>
          <w:lang w:val="ru-RU"/>
        </w:rPr>
      </w:pPr>
    </w:p>
    <w:p w14:paraId="3E55095E" w14:textId="77777777" w:rsidR="00426F49" w:rsidRPr="00FE6AC6" w:rsidRDefault="00426F49" w:rsidP="0063575E">
      <w:pPr>
        <w:widowControl w:val="0"/>
        <w:tabs>
          <w:tab w:val="clear" w:pos="567"/>
        </w:tabs>
        <w:spacing w:line="240" w:lineRule="auto"/>
        <w:rPr>
          <w:noProof/>
          <w:color w:val="000000"/>
          <w:lang w:val="ru-RU"/>
        </w:rPr>
      </w:pPr>
      <w:r w:rsidRPr="00FE6AC6">
        <w:rPr>
          <w:noProof/>
          <w:color w:val="000000"/>
        </w:rPr>
        <w:t>Novartis</w:t>
      </w:r>
      <w:r w:rsidRPr="00FE6AC6">
        <w:rPr>
          <w:noProof/>
          <w:color w:val="000000"/>
          <w:lang w:val="ru-RU"/>
        </w:rPr>
        <w:t xml:space="preserve"> </w:t>
      </w:r>
      <w:r w:rsidRPr="00FE6AC6">
        <w:rPr>
          <w:noProof/>
          <w:color w:val="000000"/>
        </w:rPr>
        <w:t>Europharm</w:t>
      </w:r>
      <w:r w:rsidRPr="00FE6AC6">
        <w:rPr>
          <w:noProof/>
          <w:color w:val="000000"/>
          <w:lang w:val="ru-RU"/>
        </w:rPr>
        <w:t xml:space="preserve"> </w:t>
      </w:r>
      <w:r w:rsidRPr="00FE6AC6">
        <w:rPr>
          <w:noProof/>
          <w:color w:val="000000"/>
        </w:rPr>
        <w:t>Limited</w:t>
      </w:r>
    </w:p>
    <w:p w14:paraId="3E55095F" w14:textId="77777777" w:rsidR="00426F49" w:rsidRPr="00FE6AC6" w:rsidRDefault="00426F49" w:rsidP="0063575E">
      <w:pPr>
        <w:widowControl w:val="0"/>
        <w:tabs>
          <w:tab w:val="clear" w:pos="567"/>
        </w:tabs>
        <w:spacing w:line="240" w:lineRule="auto"/>
        <w:rPr>
          <w:noProof/>
          <w:color w:val="000000"/>
          <w:lang w:val="ru-RU"/>
        </w:rPr>
      </w:pPr>
    </w:p>
    <w:p w14:paraId="3E550960" w14:textId="77777777" w:rsidR="00426F49" w:rsidRPr="00FE6AC6" w:rsidRDefault="00426F49" w:rsidP="0063575E">
      <w:pPr>
        <w:widowControl w:val="0"/>
        <w:tabs>
          <w:tab w:val="clear" w:pos="567"/>
        </w:tabs>
        <w:spacing w:line="240" w:lineRule="auto"/>
        <w:rPr>
          <w:noProof/>
          <w:color w:val="000000"/>
          <w:lang w:val="ru-RU"/>
        </w:rPr>
      </w:pPr>
    </w:p>
    <w:p w14:paraId="3E550961"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3.</w:t>
      </w:r>
      <w:r w:rsidRPr="00FE6AC6">
        <w:rPr>
          <w:b/>
          <w:noProof/>
          <w:color w:val="000000"/>
          <w:lang w:val="ru-RU"/>
        </w:rPr>
        <w:tab/>
        <w:t>ДАТА НА ИЗТИЧАНЕ НА СРОКА НА ГОДНОСТ</w:t>
      </w:r>
    </w:p>
    <w:p w14:paraId="3E550962" w14:textId="77777777" w:rsidR="00426F49" w:rsidRPr="00FE6AC6" w:rsidRDefault="00426F49" w:rsidP="0063575E">
      <w:pPr>
        <w:widowControl w:val="0"/>
        <w:tabs>
          <w:tab w:val="clear" w:pos="567"/>
        </w:tabs>
        <w:spacing w:line="240" w:lineRule="auto"/>
        <w:rPr>
          <w:noProof/>
          <w:color w:val="000000"/>
          <w:lang w:val="ru-RU"/>
        </w:rPr>
      </w:pPr>
    </w:p>
    <w:p w14:paraId="3E550963" w14:textId="77777777" w:rsidR="00426F49" w:rsidRPr="00FE6AC6" w:rsidRDefault="00426F49" w:rsidP="0063575E">
      <w:pPr>
        <w:widowControl w:val="0"/>
        <w:tabs>
          <w:tab w:val="clear" w:pos="567"/>
        </w:tabs>
        <w:spacing w:line="240" w:lineRule="auto"/>
        <w:rPr>
          <w:noProof/>
          <w:color w:val="000000"/>
          <w:lang w:val="ru-RU"/>
        </w:rPr>
      </w:pPr>
      <w:r w:rsidRPr="00FE6AC6">
        <w:rPr>
          <w:noProof/>
          <w:color w:val="000000"/>
        </w:rPr>
        <w:t>EXP</w:t>
      </w:r>
    </w:p>
    <w:p w14:paraId="3E550964" w14:textId="77777777" w:rsidR="00426F49" w:rsidRPr="00FE6AC6" w:rsidRDefault="00426F49" w:rsidP="0063575E">
      <w:pPr>
        <w:widowControl w:val="0"/>
        <w:tabs>
          <w:tab w:val="clear" w:pos="567"/>
        </w:tabs>
        <w:spacing w:line="240" w:lineRule="auto"/>
        <w:rPr>
          <w:noProof/>
          <w:color w:val="000000"/>
          <w:lang w:val="ru-RU"/>
        </w:rPr>
      </w:pPr>
    </w:p>
    <w:p w14:paraId="3E550965" w14:textId="77777777" w:rsidR="00426F49" w:rsidRPr="00FE6AC6" w:rsidRDefault="00426F49" w:rsidP="0063575E">
      <w:pPr>
        <w:widowControl w:val="0"/>
        <w:tabs>
          <w:tab w:val="clear" w:pos="567"/>
        </w:tabs>
        <w:spacing w:line="240" w:lineRule="auto"/>
        <w:rPr>
          <w:noProof/>
          <w:color w:val="000000"/>
          <w:lang w:val="ru-RU"/>
        </w:rPr>
      </w:pPr>
    </w:p>
    <w:p w14:paraId="3E550966"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lang w:val="ru-RU"/>
        </w:rPr>
      </w:pPr>
      <w:r w:rsidRPr="00FE6AC6">
        <w:rPr>
          <w:b/>
          <w:noProof/>
          <w:color w:val="000000"/>
          <w:lang w:val="ru-RU"/>
        </w:rPr>
        <w:t>4.</w:t>
      </w:r>
      <w:r w:rsidRPr="00FE6AC6">
        <w:rPr>
          <w:b/>
          <w:noProof/>
          <w:color w:val="000000"/>
          <w:lang w:val="ru-RU"/>
        </w:rPr>
        <w:tab/>
        <w:t>ПАРТИДЕН НОМЕР</w:t>
      </w:r>
    </w:p>
    <w:p w14:paraId="3E550967" w14:textId="77777777" w:rsidR="00426F49" w:rsidRPr="00FE6AC6" w:rsidRDefault="00426F49" w:rsidP="0063575E">
      <w:pPr>
        <w:widowControl w:val="0"/>
        <w:tabs>
          <w:tab w:val="clear" w:pos="567"/>
        </w:tabs>
        <w:spacing w:line="240" w:lineRule="auto"/>
        <w:ind w:right="113"/>
        <w:rPr>
          <w:noProof/>
          <w:color w:val="000000"/>
          <w:lang w:val="ru-RU"/>
        </w:rPr>
      </w:pPr>
    </w:p>
    <w:p w14:paraId="3E550968" w14:textId="77777777" w:rsidR="00426F49" w:rsidRPr="00FE6AC6" w:rsidRDefault="00426F49" w:rsidP="0063575E">
      <w:pPr>
        <w:widowControl w:val="0"/>
        <w:tabs>
          <w:tab w:val="clear" w:pos="567"/>
        </w:tabs>
        <w:spacing w:line="240" w:lineRule="auto"/>
        <w:ind w:right="113"/>
        <w:rPr>
          <w:noProof/>
          <w:color w:val="000000"/>
          <w:lang w:val="ru-RU"/>
        </w:rPr>
      </w:pPr>
      <w:r w:rsidRPr="00FE6AC6">
        <w:rPr>
          <w:noProof/>
          <w:color w:val="000000"/>
        </w:rPr>
        <w:t>Lot</w:t>
      </w:r>
    </w:p>
    <w:p w14:paraId="3E550969" w14:textId="77777777" w:rsidR="00426F49" w:rsidRPr="00FE6AC6" w:rsidRDefault="00426F49" w:rsidP="0063575E">
      <w:pPr>
        <w:widowControl w:val="0"/>
        <w:tabs>
          <w:tab w:val="clear" w:pos="567"/>
        </w:tabs>
        <w:spacing w:line="240" w:lineRule="auto"/>
        <w:ind w:right="113"/>
        <w:rPr>
          <w:noProof/>
          <w:color w:val="000000"/>
          <w:lang w:val="ru-RU"/>
        </w:rPr>
      </w:pPr>
    </w:p>
    <w:p w14:paraId="3E55096A" w14:textId="77777777" w:rsidR="00426F49" w:rsidRPr="00FE6AC6" w:rsidRDefault="00426F49" w:rsidP="0063575E">
      <w:pPr>
        <w:widowControl w:val="0"/>
        <w:tabs>
          <w:tab w:val="clear" w:pos="567"/>
        </w:tabs>
        <w:spacing w:line="240" w:lineRule="auto"/>
        <w:ind w:right="113"/>
        <w:rPr>
          <w:color w:val="000000"/>
          <w:szCs w:val="22"/>
          <w:lang w:val="ru-RU"/>
        </w:rPr>
      </w:pPr>
    </w:p>
    <w:p w14:paraId="3E55096B" w14:textId="77777777" w:rsidR="00426F49" w:rsidRPr="00FE6AC6" w:rsidRDefault="00426F49" w:rsidP="0063575E">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ru-RU"/>
        </w:rPr>
      </w:pPr>
      <w:r w:rsidRPr="00FE6AC6">
        <w:rPr>
          <w:b/>
          <w:color w:val="000000"/>
          <w:szCs w:val="22"/>
          <w:lang w:val="ru-RU"/>
        </w:rPr>
        <w:t>5.</w:t>
      </w:r>
      <w:r w:rsidRPr="00FE6AC6">
        <w:rPr>
          <w:b/>
          <w:color w:val="000000"/>
          <w:szCs w:val="22"/>
          <w:lang w:val="ru-RU"/>
        </w:rPr>
        <w:tab/>
        <w:t>ДРУГО</w:t>
      </w:r>
    </w:p>
    <w:p w14:paraId="3E55096C" w14:textId="77777777" w:rsidR="00426F49" w:rsidRPr="00FE6AC6" w:rsidRDefault="00426F49" w:rsidP="0063575E">
      <w:pPr>
        <w:widowControl w:val="0"/>
        <w:tabs>
          <w:tab w:val="clear" w:pos="567"/>
        </w:tabs>
        <w:spacing w:line="240" w:lineRule="auto"/>
        <w:ind w:right="113"/>
        <w:rPr>
          <w:noProof/>
          <w:color w:val="000000"/>
          <w:lang w:val="ru-RU"/>
        </w:rPr>
      </w:pPr>
    </w:p>
    <w:p w14:paraId="3E55096D" w14:textId="77777777" w:rsidR="00426F49" w:rsidRPr="00FE6AC6" w:rsidRDefault="00426F49" w:rsidP="0063575E">
      <w:pPr>
        <w:widowControl w:val="0"/>
        <w:tabs>
          <w:tab w:val="clear" w:pos="567"/>
        </w:tabs>
        <w:spacing w:line="240" w:lineRule="auto"/>
        <w:rPr>
          <w:noProof/>
          <w:color w:val="000000"/>
          <w:lang w:val="ru-RU"/>
        </w:rPr>
      </w:pPr>
      <w:r w:rsidRPr="00FE6AC6">
        <w:rPr>
          <w:noProof/>
          <w:color w:val="000000"/>
          <w:lang w:val="ru-RU"/>
        </w:rPr>
        <w:br w:type="page"/>
      </w:r>
    </w:p>
    <w:p w14:paraId="3E55096E" w14:textId="77777777" w:rsidR="00426F49" w:rsidRPr="00FE6AC6" w:rsidRDefault="00426F49" w:rsidP="0063575E">
      <w:pPr>
        <w:widowControl w:val="0"/>
        <w:tabs>
          <w:tab w:val="clear" w:pos="567"/>
        </w:tabs>
        <w:spacing w:line="240" w:lineRule="auto"/>
        <w:rPr>
          <w:noProof/>
          <w:color w:val="000000"/>
          <w:lang w:val="ru-RU"/>
        </w:rPr>
      </w:pPr>
    </w:p>
    <w:p w14:paraId="3E55096F" w14:textId="77777777" w:rsidR="00426F49" w:rsidRPr="00FE6AC6" w:rsidRDefault="00426F49" w:rsidP="0063575E">
      <w:pPr>
        <w:widowControl w:val="0"/>
        <w:tabs>
          <w:tab w:val="clear" w:pos="567"/>
        </w:tabs>
        <w:spacing w:line="240" w:lineRule="auto"/>
        <w:rPr>
          <w:noProof/>
          <w:color w:val="000000"/>
          <w:lang w:val="ru-RU"/>
        </w:rPr>
      </w:pPr>
    </w:p>
    <w:p w14:paraId="3E550970" w14:textId="77777777" w:rsidR="00426F49" w:rsidRPr="00FE6AC6" w:rsidRDefault="00426F49" w:rsidP="0063575E">
      <w:pPr>
        <w:widowControl w:val="0"/>
        <w:tabs>
          <w:tab w:val="clear" w:pos="567"/>
        </w:tabs>
        <w:spacing w:line="240" w:lineRule="auto"/>
        <w:rPr>
          <w:noProof/>
          <w:color w:val="000000"/>
          <w:lang w:val="ru-RU"/>
        </w:rPr>
      </w:pPr>
    </w:p>
    <w:p w14:paraId="3E550971" w14:textId="77777777" w:rsidR="00426F49" w:rsidRPr="00FE6AC6" w:rsidRDefault="00426F49" w:rsidP="0063575E">
      <w:pPr>
        <w:widowControl w:val="0"/>
        <w:tabs>
          <w:tab w:val="clear" w:pos="567"/>
        </w:tabs>
        <w:spacing w:line="240" w:lineRule="auto"/>
        <w:rPr>
          <w:noProof/>
          <w:color w:val="000000"/>
          <w:lang w:val="ru-RU"/>
        </w:rPr>
      </w:pPr>
    </w:p>
    <w:p w14:paraId="3E550972" w14:textId="77777777" w:rsidR="00426F49" w:rsidRPr="00FE6AC6" w:rsidRDefault="00426F49" w:rsidP="0063575E">
      <w:pPr>
        <w:widowControl w:val="0"/>
        <w:tabs>
          <w:tab w:val="clear" w:pos="567"/>
        </w:tabs>
        <w:spacing w:line="240" w:lineRule="auto"/>
        <w:rPr>
          <w:noProof/>
          <w:color w:val="000000"/>
          <w:lang w:val="ru-RU"/>
        </w:rPr>
      </w:pPr>
    </w:p>
    <w:p w14:paraId="3E550973" w14:textId="77777777" w:rsidR="00426F49" w:rsidRPr="00FE6AC6" w:rsidRDefault="00426F49" w:rsidP="0063575E">
      <w:pPr>
        <w:widowControl w:val="0"/>
        <w:tabs>
          <w:tab w:val="clear" w:pos="567"/>
        </w:tabs>
        <w:spacing w:line="240" w:lineRule="auto"/>
        <w:rPr>
          <w:noProof/>
          <w:color w:val="000000"/>
          <w:lang w:val="ru-RU"/>
        </w:rPr>
      </w:pPr>
    </w:p>
    <w:p w14:paraId="3E550974" w14:textId="77777777" w:rsidR="00426F49" w:rsidRPr="00FE6AC6" w:rsidRDefault="00426F49" w:rsidP="0063575E">
      <w:pPr>
        <w:widowControl w:val="0"/>
        <w:tabs>
          <w:tab w:val="clear" w:pos="567"/>
        </w:tabs>
        <w:spacing w:line="240" w:lineRule="auto"/>
        <w:rPr>
          <w:noProof/>
          <w:color w:val="000000"/>
          <w:lang w:val="ru-RU"/>
        </w:rPr>
      </w:pPr>
    </w:p>
    <w:p w14:paraId="3E550975" w14:textId="77777777" w:rsidR="00426F49" w:rsidRPr="00FE6AC6" w:rsidRDefault="00426F49" w:rsidP="0063575E">
      <w:pPr>
        <w:widowControl w:val="0"/>
        <w:tabs>
          <w:tab w:val="clear" w:pos="567"/>
        </w:tabs>
        <w:spacing w:line="240" w:lineRule="auto"/>
        <w:rPr>
          <w:noProof/>
          <w:color w:val="000000"/>
          <w:lang w:val="ru-RU"/>
        </w:rPr>
      </w:pPr>
    </w:p>
    <w:p w14:paraId="3E550976" w14:textId="77777777" w:rsidR="00426F49" w:rsidRPr="00FE6AC6" w:rsidRDefault="00426F49" w:rsidP="0063575E">
      <w:pPr>
        <w:widowControl w:val="0"/>
        <w:tabs>
          <w:tab w:val="clear" w:pos="567"/>
        </w:tabs>
        <w:spacing w:line="240" w:lineRule="auto"/>
        <w:rPr>
          <w:noProof/>
          <w:color w:val="000000"/>
          <w:lang w:val="ru-RU"/>
        </w:rPr>
      </w:pPr>
    </w:p>
    <w:p w14:paraId="3E550977" w14:textId="77777777" w:rsidR="00426F49" w:rsidRPr="00FE6AC6" w:rsidRDefault="00426F49" w:rsidP="0063575E">
      <w:pPr>
        <w:widowControl w:val="0"/>
        <w:tabs>
          <w:tab w:val="clear" w:pos="567"/>
        </w:tabs>
        <w:spacing w:line="240" w:lineRule="auto"/>
        <w:rPr>
          <w:noProof/>
          <w:color w:val="000000"/>
          <w:lang w:val="ru-RU"/>
        </w:rPr>
      </w:pPr>
    </w:p>
    <w:p w14:paraId="3E550978" w14:textId="77777777" w:rsidR="00426F49" w:rsidRPr="00FE6AC6" w:rsidRDefault="00426F49" w:rsidP="0063575E">
      <w:pPr>
        <w:widowControl w:val="0"/>
        <w:tabs>
          <w:tab w:val="clear" w:pos="567"/>
        </w:tabs>
        <w:spacing w:line="240" w:lineRule="auto"/>
        <w:rPr>
          <w:noProof/>
          <w:color w:val="000000"/>
          <w:lang w:val="ru-RU"/>
        </w:rPr>
      </w:pPr>
    </w:p>
    <w:p w14:paraId="3E550979" w14:textId="77777777" w:rsidR="00426F49" w:rsidRPr="00FE6AC6" w:rsidRDefault="00426F49" w:rsidP="0063575E">
      <w:pPr>
        <w:widowControl w:val="0"/>
        <w:tabs>
          <w:tab w:val="clear" w:pos="567"/>
        </w:tabs>
        <w:spacing w:line="240" w:lineRule="auto"/>
        <w:rPr>
          <w:noProof/>
          <w:color w:val="000000"/>
          <w:lang w:val="ru-RU"/>
        </w:rPr>
      </w:pPr>
    </w:p>
    <w:p w14:paraId="3E55097A" w14:textId="77777777" w:rsidR="00426F49" w:rsidRPr="00FE6AC6" w:rsidRDefault="00426F49" w:rsidP="0063575E">
      <w:pPr>
        <w:widowControl w:val="0"/>
        <w:tabs>
          <w:tab w:val="clear" w:pos="567"/>
        </w:tabs>
        <w:spacing w:line="240" w:lineRule="auto"/>
        <w:rPr>
          <w:noProof/>
          <w:color w:val="000000"/>
          <w:lang w:val="ru-RU"/>
        </w:rPr>
      </w:pPr>
    </w:p>
    <w:p w14:paraId="3E55097B" w14:textId="77777777" w:rsidR="00426F49" w:rsidRPr="00FE6AC6" w:rsidRDefault="00426F49" w:rsidP="0063575E">
      <w:pPr>
        <w:widowControl w:val="0"/>
        <w:tabs>
          <w:tab w:val="clear" w:pos="567"/>
        </w:tabs>
        <w:spacing w:line="240" w:lineRule="auto"/>
        <w:rPr>
          <w:noProof/>
          <w:color w:val="000000"/>
          <w:lang w:val="ru-RU"/>
        </w:rPr>
      </w:pPr>
    </w:p>
    <w:p w14:paraId="3E55097C" w14:textId="77777777" w:rsidR="00426F49" w:rsidRPr="00FE6AC6" w:rsidRDefault="00426F49" w:rsidP="0063575E">
      <w:pPr>
        <w:widowControl w:val="0"/>
        <w:tabs>
          <w:tab w:val="clear" w:pos="567"/>
        </w:tabs>
        <w:spacing w:line="240" w:lineRule="auto"/>
        <w:rPr>
          <w:noProof/>
          <w:color w:val="000000"/>
          <w:lang w:val="ru-RU"/>
        </w:rPr>
      </w:pPr>
    </w:p>
    <w:p w14:paraId="3E55097D" w14:textId="77777777" w:rsidR="00426F49" w:rsidRPr="00FE6AC6" w:rsidRDefault="00426F49" w:rsidP="0063575E">
      <w:pPr>
        <w:widowControl w:val="0"/>
        <w:tabs>
          <w:tab w:val="clear" w:pos="567"/>
        </w:tabs>
        <w:spacing w:line="240" w:lineRule="auto"/>
        <w:rPr>
          <w:noProof/>
          <w:color w:val="000000"/>
          <w:lang w:val="ru-RU"/>
        </w:rPr>
      </w:pPr>
    </w:p>
    <w:p w14:paraId="3E55097E" w14:textId="77777777" w:rsidR="00426F49" w:rsidRPr="00FE6AC6" w:rsidRDefault="00426F49" w:rsidP="0063575E">
      <w:pPr>
        <w:widowControl w:val="0"/>
        <w:tabs>
          <w:tab w:val="clear" w:pos="567"/>
        </w:tabs>
        <w:spacing w:line="240" w:lineRule="auto"/>
        <w:rPr>
          <w:noProof/>
          <w:color w:val="000000"/>
          <w:lang w:val="ru-RU"/>
        </w:rPr>
      </w:pPr>
    </w:p>
    <w:p w14:paraId="3E55097F" w14:textId="77777777" w:rsidR="00426F49" w:rsidRPr="00FE6AC6" w:rsidRDefault="00426F49" w:rsidP="0063575E">
      <w:pPr>
        <w:widowControl w:val="0"/>
        <w:tabs>
          <w:tab w:val="clear" w:pos="567"/>
        </w:tabs>
        <w:spacing w:line="240" w:lineRule="auto"/>
        <w:rPr>
          <w:noProof/>
          <w:color w:val="000000"/>
          <w:lang w:val="ru-RU"/>
        </w:rPr>
      </w:pPr>
    </w:p>
    <w:p w14:paraId="3E550980" w14:textId="77777777" w:rsidR="00426F49" w:rsidRPr="00FE6AC6" w:rsidRDefault="00426F49" w:rsidP="0063575E">
      <w:pPr>
        <w:widowControl w:val="0"/>
        <w:tabs>
          <w:tab w:val="clear" w:pos="567"/>
        </w:tabs>
        <w:spacing w:line="240" w:lineRule="auto"/>
        <w:rPr>
          <w:noProof/>
          <w:color w:val="000000"/>
          <w:lang w:val="ru-RU"/>
        </w:rPr>
      </w:pPr>
    </w:p>
    <w:p w14:paraId="3E550981" w14:textId="77777777" w:rsidR="00426F49" w:rsidRPr="00FE6AC6" w:rsidRDefault="00426F49" w:rsidP="0063575E">
      <w:pPr>
        <w:widowControl w:val="0"/>
        <w:tabs>
          <w:tab w:val="clear" w:pos="567"/>
        </w:tabs>
        <w:spacing w:line="240" w:lineRule="auto"/>
        <w:rPr>
          <w:noProof/>
          <w:color w:val="000000"/>
          <w:lang w:val="ru-RU"/>
        </w:rPr>
      </w:pPr>
    </w:p>
    <w:p w14:paraId="3E550982" w14:textId="77777777" w:rsidR="00426F49" w:rsidRPr="00FE6AC6" w:rsidRDefault="00426F49" w:rsidP="0063575E">
      <w:pPr>
        <w:widowControl w:val="0"/>
        <w:tabs>
          <w:tab w:val="clear" w:pos="567"/>
        </w:tabs>
        <w:spacing w:line="240" w:lineRule="auto"/>
        <w:rPr>
          <w:noProof/>
          <w:color w:val="000000"/>
          <w:lang w:val="ru-RU"/>
        </w:rPr>
      </w:pPr>
    </w:p>
    <w:p w14:paraId="3E550983" w14:textId="77777777" w:rsidR="00426F49" w:rsidRDefault="00426F49" w:rsidP="0063575E">
      <w:pPr>
        <w:widowControl w:val="0"/>
        <w:tabs>
          <w:tab w:val="clear" w:pos="567"/>
        </w:tabs>
        <w:spacing w:line="240" w:lineRule="auto"/>
        <w:rPr>
          <w:noProof/>
          <w:color w:val="000000"/>
          <w:lang w:val="ru-RU"/>
        </w:rPr>
      </w:pPr>
    </w:p>
    <w:p w14:paraId="3E550984" w14:textId="77777777" w:rsidR="00572F70" w:rsidRPr="00FE6AC6" w:rsidRDefault="00572F70" w:rsidP="0063575E">
      <w:pPr>
        <w:widowControl w:val="0"/>
        <w:tabs>
          <w:tab w:val="clear" w:pos="567"/>
        </w:tabs>
        <w:spacing w:line="240" w:lineRule="auto"/>
        <w:rPr>
          <w:noProof/>
          <w:color w:val="000000"/>
          <w:lang w:val="ru-RU"/>
        </w:rPr>
      </w:pPr>
    </w:p>
    <w:p w14:paraId="3E550985" w14:textId="77777777" w:rsidR="00426F49" w:rsidRPr="00FE6AC6" w:rsidRDefault="00426F49" w:rsidP="0063575E">
      <w:pPr>
        <w:widowControl w:val="0"/>
        <w:tabs>
          <w:tab w:val="clear" w:pos="567"/>
        </w:tabs>
        <w:spacing w:line="240" w:lineRule="auto"/>
        <w:jc w:val="center"/>
        <w:outlineLvl w:val="0"/>
        <w:rPr>
          <w:noProof/>
          <w:color w:val="000000"/>
          <w:lang w:val="ru-RU"/>
        </w:rPr>
      </w:pPr>
      <w:r w:rsidRPr="00FE6AC6">
        <w:rPr>
          <w:b/>
          <w:noProof/>
          <w:color w:val="000000"/>
          <w:lang w:val="ru-RU"/>
        </w:rPr>
        <w:t>Б. ЛИСТОВКА</w:t>
      </w:r>
    </w:p>
    <w:p w14:paraId="3E550B10" w14:textId="77777777" w:rsidR="00426F49" w:rsidRPr="00FE6AC6" w:rsidRDefault="00426F49" w:rsidP="0063575E">
      <w:pPr>
        <w:widowControl w:val="0"/>
        <w:tabs>
          <w:tab w:val="clear" w:pos="567"/>
        </w:tabs>
        <w:spacing w:line="240" w:lineRule="auto"/>
        <w:jc w:val="center"/>
        <w:outlineLvl w:val="0"/>
        <w:rPr>
          <w:b/>
          <w:color w:val="000000"/>
          <w:lang w:val="bg-BG"/>
        </w:rPr>
      </w:pPr>
      <w:r w:rsidRPr="00FE6AC6">
        <w:rPr>
          <w:color w:val="000000"/>
          <w:lang w:val="bg-BG"/>
        </w:rPr>
        <w:br w:type="page"/>
      </w:r>
      <w:r w:rsidR="00786F7E" w:rsidRPr="00FE6AC6">
        <w:rPr>
          <w:b/>
          <w:noProof/>
          <w:szCs w:val="24"/>
          <w:lang w:val="bg-BG"/>
        </w:rPr>
        <w:t>Листовка: информация за потребителя</w:t>
      </w:r>
    </w:p>
    <w:p w14:paraId="3E550B11" w14:textId="77777777" w:rsidR="00426F49" w:rsidRPr="00FE6AC6" w:rsidRDefault="00426F49" w:rsidP="0063575E">
      <w:pPr>
        <w:widowControl w:val="0"/>
        <w:tabs>
          <w:tab w:val="clear" w:pos="567"/>
        </w:tabs>
        <w:spacing w:line="240" w:lineRule="auto"/>
        <w:jc w:val="center"/>
        <w:outlineLvl w:val="0"/>
        <w:rPr>
          <w:color w:val="000000"/>
          <w:lang w:val="bg-BG"/>
        </w:rPr>
      </w:pPr>
    </w:p>
    <w:p w14:paraId="3E550B12" w14:textId="77777777" w:rsidR="00426F49" w:rsidRPr="00FE6AC6" w:rsidRDefault="00426F49" w:rsidP="0063575E">
      <w:pPr>
        <w:widowControl w:val="0"/>
        <w:tabs>
          <w:tab w:val="clear" w:pos="567"/>
        </w:tabs>
        <w:spacing w:line="240" w:lineRule="auto"/>
        <w:jc w:val="center"/>
        <w:rPr>
          <w:b/>
          <w:color w:val="000000"/>
          <w:lang w:val="bg-BG"/>
        </w:rPr>
      </w:pPr>
      <w:r w:rsidRPr="00FE6AC6">
        <w:rPr>
          <w:b/>
          <w:color w:val="000000"/>
          <w:lang w:val="de-CH"/>
        </w:rPr>
        <w:t>Glivec</w:t>
      </w:r>
      <w:r w:rsidRPr="00FE6AC6">
        <w:rPr>
          <w:b/>
          <w:color w:val="000000"/>
          <w:lang w:val="bg-BG"/>
        </w:rPr>
        <w:t xml:space="preserve"> 100</w:t>
      </w:r>
      <w:r w:rsidRPr="00FE6AC6">
        <w:rPr>
          <w:b/>
          <w:color w:val="000000"/>
          <w:lang w:val="de-CH"/>
        </w:rPr>
        <w:t> mg</w:t>
      </w:r>
      <w:r w:rsidRPr="00FE6AC6">
        <w:rPr>
          <w:b/>
          <w:color w:val="000000"/>
          <w:lang w:val="bg-BG"/>
        </w:rPr>
        <w:t xml:space="preserve"> твърди капсули</w:t>
      </w:r>
    </w:p>
    <w:p w14:paraId="3E550B13" w14:textId="77777777" w:rsidR="00426F49" w:rsidRPr="00FE6AC6" w:rsidRDefault="00B5235D" w:rsidP="0063575E">
      <w:pPr>
        <w:widowControl w:val="0"/>
        <w:tabs>
          <w:tab w:val="clear" w:pos="567"/>
        </w:tabs>
        <w:spacing w:line="240" w:lineRule="auto"/>
        <w:jc w:val="center"/>
        <w:rPr>
          <w:color w:val="000000"/>
          <w:lang w:val="bg-BG"/>
        </w:rPr>
      </w:pPr>
      <w:r w:rsidRPr="00FE6AC6">
        <w:rPr>
          <w:color w:val="000000"/>
          <w:lang w:val="bg-BG"/>
        </w:rPr>
        <w:t>и</w:t>
      </w:r>
      <w:r w:rsidR="00426F49" w:rsidRPr="00FE6AC6">
        <w:rPr>
          <w:color w:val="000000"/>
          <w:lang w:val="bg-BG"/>
        </w:rPr>
        <w:t>матиниб (</w:t>
      </w:r>
      <w:r w:rsidR="0055257C" w:rsidRPr="00FE6AC6">
        <w:rPr>
          <w:color w:val="000000"/>
          <w:lang w:val="de-CH"/>
        </w:rPr>
        <w:t>i</w:t>
      </w:r>
      <w:r w:rsidR="00426F49" w:rsidRPr="00FE6AC6">
        <w:rPr>
          <w:color w:val="000000"/>
        </w:rPr>
        <w:t>matinib</w:t>
      </w:r>
      <w:r w:rsidR="00426F49" w:rsidRPr="00FE6AC6">
        <w:rPr>
          <w:color w:val="000000"/>
          <w:lang w:val="bg-BG"/>
        </w:rPr>
        <w:t>)</w:t>
      </w:r>
    </w:p>
    <w:p w14:paraId="3E550B14" w14:textId="77777777" w:rsidR="00426F49" w:rsidRPr="00FE6AC6" w:rsidRDefault="00426F49" w:rsidP="0063575E">
      <w:pPr>
        <w:widowControl w:val="0"/>
        <w:tabs>
          <w:tab w:val="clear" w:pos="567"/>
        </w:tabs>
        <w:spacing w:line="240" w:lineRule="auto"/>
        <w:rPr>
          <w:color w:val="000000"/>
          <w:lang w:val="bg-BG"/>
        </w:rPr>
      </w:pPr>
    </w:p>
    <w:p w14:paraId="3E550B15" w14:textId="77777777" w:rsidR="002C79B9" w:rsidRPr="00FE6AC6" w:rsidRDefault="00613193" w:rsidP="0063575E">
      <w:pPr>
        <w:widowControl w:val="0"/>
        <w:spacing w:line="240" w:lineRule="auto"/>
        <w:rPr>
          <w:snapToGrid w:val="0"/>
          <w:szCs w:val="22"/>
          <w:lang w:val="bg-BG"/>
        </w:rPr>
      </w:pPr>
      <w:r w:rsidRPr="00FE6AC6">
        <w:rPr>
          <w:noProof/>
          <w:snapToGrid w:val="0"/>
          <w:lang w:val="en-US"/>
        </w:rPr>
        <w:drawing>
          <wp:inline distT="0" distB="0" distL="0" distR="0" wp14:anchorId="3E550FEA" wp14:editId="3E550FEB">
            <wp:extent cx="198755" cy="174625"/>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2C79B9" w:rsidRPr="00FE6AC6">
        <w:rPr>
          <w:snapToGrid w:val="0"/>
          <w:szCs w:val="22"/>
          <w:lang w:val="bg-BG"/>
        </w:rPr>
        <w:t xml:space="preserve">Този </w:t>
      </w:r>
      <w:r w:rsidR="002C79B9" w:rsidRPr="00FE6AC6">
        <w:rPr>
          <w:noProof/>
          <w:snapToGrid w:val="0"/>
          <w:szCs w:val="22"/>
          <w:lang w:val="bg-BG"/>
        </w:rPr>
        <w:t>лекарствен продукт подлежи на допълнително наблюдение.</w:t>
      </w:r>
      <w:r w:rsidR="002C79B9" w:rsidRPr="00FE6AC6">
        <w:rPr>
          <w:snapToGrid w:val="0"/>
          <w:szCs w:val="22"/>
          <w:lang w:val="bg-BG"/>
        </w:rPr>
        <w:t xml:space="preserve"> </w:t>
      </w:r>
      <w:r w:rsidR="002C79B9" w:rsidRPr="00FE6AC6">
        <w:rPr>
          <w:noProof/>
          <w:snapToGrid w:val="0"/>
          <w:szCs w:val="22"/>
          <w:lang w:val="bg-BG"/>
        </w:rPr>
        <w:t>Това ще позволи бързото установяване на нова информация относно безопасността.</w:t>
      </w:r>
      <w:r w:rsidR="002C79B9" w:rsidRPr="00FE6AC6">
        <w:rPr>
          <w:snapToGrid w:val="0"/>
          <w:szCs w:val="22"/>
          <w:lang w:val="bg-BG"/>
        </w:rPr>
        <w:t xml:space="preserve"> </w:t>
      </w:r>
      <w:r w:rsidR="002C79B9" w:rsidRPr="00FE6AC6">
        <w:rPr>
          <w:noProof/>
          <w:snapToGrid w:val="0"/>
          <w:szCs w:val="22"/>
          <w:lang w:val="bg-BG"/>
        </w:rPr>
        <w:t>Можете да дадете своя принос като съобщите всяка нежелана реакция, която сте получили.</w:t>
      </w:r>
      <w:r w:rsidR="002C79B9" w:rsidRPr="00FE6AC6">
        <w:rPr>
          <w:snapToGrid w:val="0"/>
          <w:szCs w:val="22"/>
          <w:lang w:val="bg-BG"/>
        </w:rPr>
        <w:t xml:space="preserve"> </w:t>
      </w:r>
      <w:r w:rsidR="002C79B9" w:rsidRPr="00FE6AC6">
        <w:rPr>
          <w:noProof/>
          <w:snapToGrid w:val="0"/>
          <w:szCs w:val="22"/>
          <w:lang w:val="bg-BG"/>
        </w:rPr>
        <w:t>За начина на съобщаване на нежелани реакции вижте края на точка</w:t>
      </w:r>
      <w:r w:rsidR="002C79B9" w:rsidRPr="00FE6AC6">
        <w:rPr>
          <w:noProof/>
          <w:snapToGrid w:val="0"/>
          <w:szCs w:val="22"/>
          <w:lang w:val="de-CH"/>
        </w:rPr>
        <w:t> </w:t>
      </w:r>
      <w:r w:rsidR="002C79B9" w:rsidRPr="00FE6AC6">
        <w:rPr>
          <w:noProof/>
          <w:snapToGrid w:val="0"/>
          <w:szCs w:val="22"/>
          <w:lang w:val="bg-BG"/>
        </w:rPr>
        <w:t>4.</w:t>
      </w:r>
    </w:p>
    <w:p w14:paraId="3E550B16" w14:textId="77777777" w:rsidR="00426F49" w:rsidRPr="00FE6AC6" w:rsidRDefault="00426F49" w:rsidP="0063575E">
      <w:pPr>
        <w:widowControl w:val="0"/>
        <w:tabs>
          <w:tab w:val="clear" w:pos="567"/>
        </w:tabs>
        <w:spacing w:line="240" w:lineRule="auto"/>
        <w:rPr>
          <w:color w:val="000000"/>
          <w:lang w:val="bg-BG"/>
        </w:rPr>
      </w:pPr>
    </w:p>
    <w:p w14:paraId="3E550B17" w14:textId="77777777" w:rsidR="001348DB" w:rsidRPr="00FE6AC6" w:rsidRDefault="001348DB" w:rsidP="0063575E">
      <w:pPr>
        <w:widowControl w:val="0"/>
        <w:tabs>
          <w:tab w:val="clear" w:pos="567"/>
          <w:tab w:val="left" w:pos="0"/>
        </w:tabs>
        <w:suppressAutoHyphens/>
        <w:spacing w:line="240" w:lineRule="auto"/>
        <w:rPr>
          <w:color w:val="000000"/>
          <w:lang w:val="bg-BG"/>
        </w:rPr>
      </w:pPr>
      <w:r w:rsidRPr="00FE6AC6">
        <w:rPr>
          <w:b/>
          <w:color w:val="000000"/>
          <w:lang w:val="bg-BG"/>
        </w:rPr>
        <w:t>Прочетете внимателно цялата листовка, преди да започнете да приемате това лекарство</w:t>
      </w:r>
      <w:r w:rsidRPr="00FE6AC6">
        <w:rPr>
          <w:b/>
          <w:noProof/>
          <w:szCs w:val="24"/>
          <w:lang w:val="bg-BG"/>
        </w:rPr>
        <w:t>, тъй като тя съдържа важна за Вас информация</w:t>
      </w:r>
      <w:r w:rsidRPr="00FE6AC6">
        <w:rPr>
          <w:b/>
          <w:color w:val="000000"/>
          <w:lang w:val="bg-BG"/>
        </w:rPr>
        <w:t>.</w:t>
      </w:r>
    </w:p>
    <w:p w14:paraId="3E550B18" w14:textId="77777777" w:rsidR="001348DB" w:rsidRPr="00FE6AC6" w:rsidRDefault="001348DB" w:rsidP="0063575E">
      <w:pPr>
        <w:widowControl w:val="0"/>
        <w:numPr>
          <w:ilvl w:val="0"/>
          <w:numId w:val="1"/>
        </w:numPr>
        <w:spacing w:line="240" w:lineRule="auto"/>
        <w:ind w:left="567" w:right="-2" w:hanging="567"/>
        <w:rPr>
          <w:color w:val="000000"/>
          <w:lang w:val="bg-BG"/>
        </w:rPr>
      </w:pPr>
      <w:r w:rsidRPr="00FE6AC6">
        <w:rPr>
          <w:color w:val="000000"/>
          <w:lang w:val="bg-BG"/>
        </w:rPr>
        <w:t>Запазете тази листовка. Може да се наложи да я прочетете отново.</w:t>
      </w:r>
    </w:p>
    <w:p w14:paraId="3E550B19" w14:textId="77777777" w:rsidR="001348DB" w:rsidRPr="00FE6AC6" w:rsidRDefault="001348DB" w:rsidP="0063575E">
      <w:pPr>
        <w:widowControl w:val="0"/>
        <w:numPr>
          <w:ilvl w:val="0"/>
          <w:numId w:val="1"/>
        </w:numPr>
        <w:spacing w:line="240" w:lineRule="auto"/>
        <w:ind w:left="567" w:right="-2" w:hanging="567"/>
        <w:rPr>
          <w:color w:val="000000"/>
          <w:lang w:val="bg-BG"/>
        </w:rPr>
      </w:pPr>
      <w:r w:rsidRPr="00FE6AC6">
        <w:rPr>
          <w:color w:val="000000"/>
          <w:lang w:val="bg-BG"/>
        </w:rPr>
        <w:t>Ако имате някакви допълнителни въпроси, попитайте Вашия лекар, фармацевт или медицинска сестра.</w:t>
      </w:r>
    </w:p>
    <w:p w14:paraId="3E550B1A" w14:textId="77777777" w:rsidR="001348DB" w:rsidRPr="00FE6AC6" w:rsidRDefault="001348DB" w:rsidP="0063575E">
      <w:pPr>
        <w:widowControl w:val="0"/>
        <w:numPr>
          <w:ilvl w:val="0"/>
          <w:numId w:val="1"/>
        </w:numPr>
        <w:spacing w:line="240" w:lineRule="auto"/>
        <w:ind w:left="567" w:right="-2" w:hanging="567"/>
        <w:rPr>
          <w:color w:val="000000"/>
          <w:lang w:val="bg-BG"/>
        </w:rPr>
      </w:pPr>
      <w:r w:rsidRPr="00FE6AC6">
        <w:rPr>
          <w:color w:val="000000"/>
          <w:lang w:val="bg-BG"/>
        </w:rPr>
        <w:t xml:space="preserve">Това лекарство е предписано </w:t>
      </w:r>
      <w:r w:rsidRPr="00FE6AC6">
        <w:rPr>
          <w:lang w:val="bg-BG"/>
        </w:rPr>
        <w:t xml:space="preserve">лично </w:t>
      </w:r>
      <w:r w:rsidRPr="00FE6AC6">
        <w:rPr>
          <w:color w:val="000000"/>
          <w:lang w:val="bg-BG"/>
        </w:rPr>
        <w:t>на Вас. Не го преотстъпвайте на други хора</w:t>
      </w:r>
      <w:r w:rsidRPr="00FE6AC6">
        <w:rPr>
          <w:noProof/>
          <w:color w:val="000000"/>
          <w:lang w:val="bg-BG"/>
        </w:rPr>
        <w:t>.</w:t>
      </w:r>
      <w:r w:rsidR="00B1091C" w:rsidRPr="00FE6AC6">
        <w:rPr>
          <w:noProof/>
          <w:color w:val="000000"/>
          <w:lang w:val="bg-BG"/>
        </w:rPr>
        <w:t xml:space="preserve"> </w:t>
      </w:r>
      <w:r w:rsidRPr="00FE6AC6">
        <w:rPr>
          <w:noProof/>
          <w:color w:val="000000"/>
          <w:lang w:val="bg-BG"/>
        </w:rPr>
        <w:t>То може да им навреди, независимо че признаците на тяхното заболяване са същите като Вашите</w:t>
      </w:r>
      <w:r w:rsidRPr="00FE6AC6">
        <w:rPr>
          <w:color w:val="000000"/>
          <w:lang w:val="bg-BG"/>
        </w:rPr>
        <w:t>.</w:t>
      </w:r>
    </w:p>
    <w:p w14:paraId="3E550B1B" w14:textId="77777777" w:rsidR="001348DB" w:rsidRPr="00FE6AC6" w:rsidRDefault="001348DB" w:rsidP="0063575E">
      <w:pPr>
        <w:widowControl w:val="0"/>
        <w:numPr>
          <w:ilvl w:val="0"/>
          <w:numId w:val="1"/>
        </w:numPr>
        <w:spacing w:line="240" w:lineRule="auto"/>
        <w:ind w:left="567" w:right="-2" w:hanging="567"/>
        <w:rPr>
          <w:color w:val="000000"/>
          <w:lang w:val="bg-BG"/>
        </w:rPr>
      </w:pPr>
      <w:r w:rsidRPr="00FE6AC6">
        <w:rPr>
          <w:noProof/>
          <w:color w:val="000000"/>
          <w:lang w:val="bg-BG"/>
        </w:rPr>
        <w:t>Ако получите някакви нежелани реакции, уведомете Вашия лекар, фармацевт или медицинска сестра.</w:t>
      </w:r>
      <w:r w:rsidRPr="00FE6AC6">
        <w:rPr>
          <w:szCs w:val="24"/>
          <w:lang w:val="bg-BG"/>
        </w:rPr>
        <w:t xml:space="preserve"> Това включва и всички възможни</w:t>
      </w:r>
      <w:r w:rsidRPr="00FE6AC6">
        <w:rPr>
          <w:color w:val="FF0000"/>
          <w:szCs w:val="24"/>
          <w:lang w:val="bg-BG"/>
        </w:rPr>
        <w:t xml:space="preserve"> </w:t>
      </w:r>
      <w:r w:rsidRPr="00FE6AC6">
        <w:rPr>
          <w:noProof/>
          <w:szCs w:val="24"/>
          <w:lang w:val="bg-BG"/>
        </w:rPr>
        <w:t>нежелани реакции, неописани в тази листовка.</w:t>
      </w:r>
      <w:r w:rsidR="006863A5" w:rsidRPr="00FE6AC6">
        <w:rPr>
          <w:noProof/>
          <w:szCs w:val="22"/>
          <w:lang w:val="bg-BG"/>
        </w:rPr>
        <w:t xml:space="preserve"> Вижте точка 4.</w:t>
      </w:r>
    </w:p>
    <w:p w14:paraId="3E550B1C" w14:textId="77777777" w:rsidR="001348DB" w:rsidRPr="00FE6AC6" w:rsidRDefault="001348DB" w:rsidP="0063575E">
      <w:pPr>
        <w:widowControl w:val="0"/>
        <w:spacing w:line="240" w:lineRule="auto"/>
        <w:ind w:right="-2"/>
        <w:rPr>
          <w:color w:val="000000"/>
          <w:lang w:val="bg-BG"/>
        </w:rPr>
      </w:pPr>
    </w:p>
    <w:p w14:paraId="3E550B1D" w14:textId="77777777" w:rsidR="001348DB" w:rsidRPr="00FE6AC6" w:rsidRDefault="001348DB" w:rsidP="0063575E">
      <w:pPr>
        <w:widowControl w:val="0"/>
        <w:spacing w:line="240" w:lineRule="auto"/>
        <w:ind w:right="-2"/>
        <w:rPr>
          <w:color w:val="000000"/>
          <w:lang w:val="bg-BG"/>
        </w:rPr>
      </w:pPr>
    </w:p>
    <w:p w14:paraId="3E550B1E" w14:textId="77777777" w:rsidR="001348DB" w:rsidRPr="00FE6AC6" w:rsidRDefault="001348DB" w:rsidP="0063575E">
      <w:pPr>
        <w:widowControl w:val="0"/>
        <w:numPr>
          <w:ilvl w:val="12"/>
          <w:numId w:val="0"/>
        </w:numPr>
        <w:spacing w:line="240" w:lineRule="auto"/>
        <w:ind w:right="-2"/>
        <w:outlineLvl w:val="0"/>
        <w:rPr>
          <w:color w:val="000000"/>
          <w:lang w:val="bg-BG"/>
        </w:rPr>
      </w:pPr>
      <w:r w:rsidRPr="00FE6AC6">
        <w:rPr>
          <w:b/>
          <w:noProof/>
          <w:szCs w:val="24"/>
          <w:lang w:val="bg-BG"/>
        </w:rPr>
        <w:t>Какво съдържа</w:t>
      </w:r>
      <w:r w:rsidRPr="00FE6AC6">
        <w:rPr>
          <w:b/>
          <w:color w:val="000000"/>
          <w:lang w:val="bg-BG"/>
        </w:rPr>
        <w:t xml:space="preserve"> тази листовка</w:t>
      </w:r>
    </w:p>
    <w:p w14:paraId="3E550B1F"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1.</w:t>
      </w:r>
      <w:r w:rsidRPr="00FE6AC6">
        <w:rPr>
          <w:color w:val="000000"/>
          <w:lang w:val="bg-BG"/>
        </w:rPr>
        <w:tab/>
        <w:t>Какво представлява Glivec и за какво се използва</w:t>
      </w:r>
    </w:p>
    <w:p w14:paraId="3E550B20"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2.</w:t>
      </w:r>
      <w:r w:rsidRPr="00FE6AC6">
        <w:rPr>
          <w:color w:val="000000"/>
          <w:lang w:val="bg-BG"/>
        </w:rPr>
        <w:tab/>
      </w:r>
      <w:r w:rsidRPr="00FE6AC6">
        <w:rPr>
          <w:noProof/>
          <w:szCs w:val="24"/>
          <w:lang w:val="bg-BG"/>
        </w:rPr>
        <w:t>Какво трябва да знаете, п</w:t>
      </w:r>
      <w:r w:rsidRPr="00FE6AC6">
        <w:rPr>
          <w:color w:val="000000"/>
          <w:lang w:val="bg-BG"/>
        </w:rPr>
        <w:t>реди да приемете Glivec</w:t>
      </w:r>
    </w:p>
    <w:p w14:paraId="3E550B21"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3.</w:t>
      </w:r>
      <w:r w:rsidRPr="00FE6AC6">
        <w:rPr>
          <w:color w:val="000000"/>
          <w:lang w:val="bg-BG"/>
        </w:rPr>
        <w:tab/>
        <w:t>Как да приемате Glivec</w:t>
      </w:r>
    </w:p>
    <w:p w14:paraId="3E550B22"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4.</w:t>
      </w:r>
      <w:r w:rsidRPr="00FE6AC6">
        <w:rPr>
          <w:color w:val="000000"/>
          <w:lang w:val="bg-BG"/>
        </w:rPr>
        <w:tab/>
        <w:t>Възможни нежелани реакции</w:t>
      </w:r>
    </w:p>
    <w:p w14:paraId="3E550B23" w14:textId="77777777" w:rsidR="001348DB" w:rsidRPr="00FE6AC6" w:rsidRDefault="001348DB" w:rsidP="0063575E">
      <w:pPr>
        <w:widowControl w:val="0"/>
        <w:tabs>
          <w:tab w:val="clear" w:pos="567"/>
        </w:tabs>
        <w:spacing w:line="240" w:lineRule="auto"/>
        <w:ind w:right="-29"/>
        <w:rPr>
          <w:color w:val="000000"/>
          <w:lang w:val="bg-BG"/>
        </w:rPr>
      </w:pPr>
      <w:r w:rsidRPr="00FE6AC6">
        <w:rPr>
          <w:color w:val="000000"/>
          <w:lang w:val="bg-BG"/>
        </w:rPr>
        <w:t>5.</w:t>
      </w:r>
      <w:r w:rsidRPr="00FE6AC6">
        <w:rPr>
          <w:color w:val="000000"/>
          <w:lang w:val="bg-BG"/>
        </w:rPr>
        <w:tab/>
        <w:t>Как да съхранявате Glivec</w:t>
      </w:r>
    </w:p>
    <w:p w14:paraId="3E550B24" w14:textId="77777777" w:rsidR="001348DB" w:rsidRPr="00FE6AC6" w:rsidRDefault="001348DB" w:rsidP="0063575E">
      <w:pPr>
        <w:widowControl w:val="0"/>
        <w:spacing w:line="240" w:lineRule="auto"/>
        <w:ind w:right="-29"/>
        <w:rPr>
          <w:color w:val="000000"/>
          <w:lang w:val="bg-BG"/>
        </w:rPr>
      </w:pPr>
      <w:r w:rsidRPr="00FE6AC6">
        <w:rPr>
          <w:color w:val="000000"/>
          <w:lang w:val="bg-BG"/>
        </w:rPr>
        <w:t>6.</w:t>
      </w:r>
      <w:r w:rsidRPr="00FE6AC6">
        <w:rPr>
          <w:color w:val="000000"/>
          <w:lang w:val="bg-BG"/>
        </w:rPr>
        <w:tab/>
      </w:r>
      <w:r w:rsidRPr="00FE6AC6">
        <w:rPr>
          <w:noProof/>
          <w:szCs w:val="24"/>
          <w:lang w:val="bg-BG"/>
        </w:rPr>
        <w:t>Съдържание на опаковката и д</w:t>
      </w:r>
      <w:r w:rsidRPr="00FE6AC6">
        <w:rPr>
          <w:color w:val="000000"/>
          <w:lang w:val="bg-BG"/>
        </w:rPr>
        <w:t>опълнителна информация</w:t>
      </w:r>
    </w:p>
    <w:p w14:paraId="3E550B25" w14:textId="77777777" w:rsidR="001348DB" w:rsidRPr="00FE6AC6" w:rsidRDefault="001348DB" w:rsidP="0063575E">
      <w:pPr>
        <w:widowControl w:val="0"/>
        <w:numPr>
          <w:ilvl w:val="12"/>
          <w:numId w:val="0"/>
        </w:numPr>
        <w:spacing w:line="240" w:lineRule="auto"/>
        <w:rPr>
          <w:color w:val="000000"/>
          <w:lang w:val="bg-BG"/>
        </w:rPr>
      </w:pPr>
    </w:p>
    <w:p w14:paraId="3E550B26" w14:textId="77777777" w:rsidR="001348DB" w:rsidRPr="00FE6AC6" w:rsidRDefault="001348DB" w:rsidP="0063575E">
      <w:pPr>
        <w:widowControl w:val="0"/>
        <w:spacing w:line="240" w:lineRule="auto"/>
        <w:rPr>
          <w:color w:val="000000"/>
          <w:lang w:val="bg-BG"/>
        </w:rPr>
      </w:pPr>
    </w:p>
    <w:p w14:paraId="3E550B27" w14:textId="77777777" w:rsidR="001348DB" w:rsidRPr="00FE6AC6" w:rsidRDefault="001348DB" w:rsidP="0063575E">
      <w:pPr>
        <w:keepNext/>
        <w:widowControl w:val="0"/>
        <w:tabs>
          <w:tab w:val="clear" w:pos="567"/>
        </w:tabs>
        <w:spacing w:line="240" w:lineRule="auto"/>
        <w:rPr>
          <w:b/>
          <w:color w:val="000000"/>
          <w:lang w:val="bg-BG"/>
        </w:rPr>
      </w:pPr>
      <w:r w:rsidRPr="00FE6AC6">
        <w:rPr>
          <w:b/>
          <w:color w:val="000000"/>
          <w:lang w:val="bg-BG"/>
        </w:rPr>
        <w:t>1.</w:t>
      </w:r>
      <w:r w:rsidRPr="00FE6AC6">
        <w:rPr>
          <w:b/>
          <w:color w:val="000000"/>
          <w:lang w:val="bg-BG"/>
        </w:rPr>
        <w:tab/>
      </w:r>
      <w:r w:rsidRPr="00FE6AC6">
        <w:rPr>
          <w:b/>
          <w:noProof/>
          <w:szCs w:val="24"/>
          <w:lang w:val="bg-BG"/>
        </w:rPr>
        <w:t>Какво представлява</w:t>
      </w:r>
      <w:r w:rsidRPr="00FE6AC6">
        <w:rPr>
          <w:b/>
          <w:lang w:val="bg-BG"/>
        </w:rPr>
        <w:t xml:space="preserve"> </w:t>
      </w:r>
      <w:r w:rsidRPr="00FE6AC6">
        <w:rPr>
          <w:b/>
          <w:lang w:val="en-US"/>
        </w:rPr>
        <w:t>Glivec</w:t>
      </w:r>
      <w:r w:rsidRPr="00FE6AC6">
        <w:rPr>
          <w:b/>
          <w:lang w:val="bg-BG"/>
        </w:rPr>
        <w:t xml:space="preserve"> </w:t>
      </w:r>
      <w:r w:rsidRPr="00FE6AC6">
        <w:rPr>
          <w:b/>
          <w:noProof/>
          <w:szCs w:val="24"/>
          <w:lang w:val="bg-BG"/>
        </w:rPr>
        <w:t>и за какво</w:t>
      </w:r>
      <w:r w:rsidRPr="00FE6AC6">
        <w:rPr>
          <w:b/>
          <w:lang w:val="bg-BG"/>
        </w:rPr>
        <w:t xml:space="preserve"> се използва</w:t>
      </w:r>
    </w:p>
    <w:p w14:paraId="3E550B28" w14:textId="77777777" w:rsidR="001348DB" w:rsidRPr="00FE6AC6" w:rsidRDefault="001348DB" w:rsidP="0063575E">
      <w:pPr>
        <w:keepNext/>
        <w:widowControl w:val="0"/>
        <w:tabs>
          <w:tab w:val="clear" w:pos="567"/>
        </w:tabs>
        <w:spacing w:line="240" w:lineRule="auto"/>
        <w:rPr>
          <w:color w:val="000000"/>
          <w:lang w:val="bg-BG"/>
        </w:rPr>
      </w:pPr>
    </w:p>
    <w:p w14:paraId="3E550B29"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Glivec е лекарство, което съдържа активно вещество, наречено иматиниб.</w:t>
      </w:r>
      <w:r w:rsidRPr="00FE6AC6">
        <w:rPr>
          <w:color w:val="000000"/>
          <w:lang w:val="ru-RU"/>
        </w:rPr>
        <w:t xml:space="preserve"> Т</w:t>
      </w:r>
      <w:r w:rsidRPr="00FE6AC6">
        <w:rPr>
          <w:color w:val="000000"/>
          <w:lang w:val="bg-BG"/>
        </w:rPr>
        <w:t>ова лекарство действа като потиска растежа на абнормните клетки при изброените по-долу заболявания, включващи няколко вида рак.</w:t>
      </w:r>
    </w:p>
    <w:p w14:paraId="3E550B2A" w14:textId="77777777" w:rsidR="001348DB" w:rsidRPr="00FE6AC6" w:rsidRDefault="001348DB" w:rsidP="0063575E">
      <w:pPr>
        <w:widowControl w:val="0"/>
        <w:tabs>
          <w:tab w:val="clear" w:pos="567"/>
        </w:tabs>
        <w:spacing w:line="240" w:lineRule="auto"/>
        <w:ind w:right="-2"/>
        <w:rPr>
          <w:color w:val="000000"/>
          <w:lang w:val="ru-RU"/>
        </w:rPr>
      </w:pPr>
    </w:p>
    <w:p w14:paraId="3E550B2B" w14:textId="77777777" w:rsidR="001348DB" w:rsidRPr="00FE6AC6" w:rsidRDefault="001348DB" w:rsidP="0063575E">
      <w:pPr>
        <w:keepNext/>
        <w:widowControl w:val="0"/>
        <w:tabs>
          <w:tab w:val="clear" w:pos="567"/>
        </w:tabs>
        <w:spacing w:line="240" w:lineRule="auto"/>
        <w:rPr>
          <w:b/>
          <w:color w:val="000000"/>
          <w:lang w:val="bg-BG"/>
        </w:rPr>
      </w:pPr>
      <w:r w:rsidRPr="00FE6AC6">
        <w:rPr>
          <w:b/>
          <w:color w:val="000000"/>
          <w:lang w:val="bg-BG"/>
        </w:rPr>
        <w:t>Glivec се използва за лечение на деца и възрастни при:</w:t>
      </w:r>
    </w:p>
    <w:p w14:paraId="3E550B2C" w14:textId="77777777" w:rsidR="001348DB" w:rsidRPr="00FE6AC6" w:rsidRDefault="001348DB" w:rsidP="0063575E">
      <w:pPr>
        <w:keepNext/>
        <w:widowControl w:val="0"/>
        <w:tabs>
          <w:tab w:val="clear" w:pos="567"/>
        </w:tabs>
        <w:spacing w:line="240" w:lineRule="auto"/>
        <w:rPr>
          <w:color w:val="000000"/>
          <w:lang w:val="bg-BG"/>
        </w:rPr>
      </w:pPr>
    </w:p>
    <w:p w14:paraId="3E550B2D" w14:textId="77777777" w:rsidR="001348DB" w:rsidRPr="00FE6AC6" w:rsidRDefault="001348DB" w:rsidP="0063575E">
      <w:pPr>
        <w:widowControl w:val="0"/>
        <w:numPr>
          <w:ilvl w:val="0"/>
          <w:numId w:val="20"/>
        </w:numPr>
        <w:tabs>
          <w:tab w:val="clear" w:pos="1128"/>
          <w:tab w:val="num" w:pos="567"/>
        </w:tabs>
        <w:spacing w:line="240" w:lineRule="auto"/>
        <w:ind w:left="567" w:right="-2" w:hanging="567"/>
        <w:rPr>
          <w:color w:val="000000"/>
          <w:lang w:val="bg-BG"/>
        </w:rPr>
      </w:pPr>
      <w:r w:rsidRPr="00FE6AC6">
        <w:rPr>
          <w:b/>
          <w:color w:val="000000"/>
          <w:lang w:val="bg-BG"/>
        </w:rPr>
        <w:t>Хронична миелоидна левкемия (ХМЛ).</w:t>
      </w:r>
      <w:r w:rsidRPr="00FE6AC6">
        <w:rPr>
          <w:color w:val="000000"/>
          <w:lang w:val="bg-BG"/>
        </w:rPr>
        <w:t xml:space="preserve"> Левкемията представлява рак на белите кръвни клетки. </w:t>
      </w:r>
      <w:r w:rsidR="006E6802" w:rsidRPr="00FE6AC6">
        <w:rPr>
          <w:color w:val="000000"/>
          <w:lang w:val="bg-BG"/>
        </w:rPr>
        <w:t>Обикновено т</w:t>
      </w:r>
      <w:r w:rsidRPr="00FE6AC6">
        <w:rPr>
          <w:color w:val="000000"/>
          <w:lang w:val="bg-BG"/>
        </w:rPr>
        <w:t xml:space="preserve">ези </w:t>
      </w:r>
      <w:r w:rsidR="006E6802" w:rsidRPr="00FE6AC6">
        <w:rPr>
          <w:color w:val="000000"/>
          <w:lang w:val="bg-BG"/>
        </w:rPr>
        <w:t xml:space="preserve">бели </w:t>
      </w:r>
      <w:r w:rsidRPr="00FE6AC6">
        <w:rPr>
          <w:color w:val="000000"/>
          <w:lang w:val="bg-BG"/>
        </w:rPr>
        <w:t>клетки помагат на организма в борбата му с инфекциите. Хронична</w:t>
      </w:r>
      <w:r w:rsidR="00EB086A" w:rsidRPr="00FE6AC6">
        <w:rPr>
          <w:color w:val="000000"/>
          <w:lang w:val="bg-BG"/>
        </w:rPr>
        <w:t>та</w:t>
      </w:r>
      <w:r w:rsidRPr="00FE6AC6">
        <w:rPr>
          <w:color w:val="000000"/>
          <w:lang w:val="bg-BG"/>
        </w:rPr>
        <w:t xml:space="preserve"> миелоидна левкемия е вид левкемия, при която определени, различни от нормалните, бели кръвни клетки (наречени миелоидни клетки), започват да се размножават неконтролируемо.</w:t>
      </w:r>
    </w:p>
    <w:p w14:paraId="3E550B2E" w14:textId="77777777" w:rsidR="006E6802" w:rsidRPr="00FE6AC6" w:rsidRDefault="006E6802" w:rsidP="0063575E">
      <w:pPr>
        <w:widowControl w:val="0"/>
        <w:numPr>
          <w:ilvl w:val="0"/>
          <w:numId w:val="20"/>
        </w:numPr>
        <w:tabs>
          <w:tab w:val="clear" w:pos="1128"/>
          <w:tab w:val="num" w:pos="567"/>
        </w:tabs>
        <w:spacing w:line="240" w:lineRule="auto"/>
        <w:ind w:left="567" w:right="-2" w:hanging="567"/>
        <w:rPr>
          <w:color w:val="000000"/>
          <w:lang w:val="bg-BG"/>
        </w:rPr>
      </w:pPr>
      <w:r w:rsidRPr="00FE6AC6">
        <w:rPr>
          <w:b/>
          <w:color w:val="000000"/>
          <w:lang w:val="bg-BG"/>
        </w:rPr>
        <w:t>Положителна за Филаделфийска хромозома остра лимфобластна левкемия (</w:t>
      </w:r>
      <w:r w:rsidRPr="00FE6AC6">
        <w:rPr>
          <w:b/>
          <w:color w:val="000000"/>
          <w:lang w:val="en-US"/>
        </w:rPr>
        <w:t>Ph</w:t>
      </w:r>
      <w:r w:rsidRPr="00FE6AC6">
        <w:rPr>
          <w:b/>
          <w:color w:val="000000"/>
          <w:lang w:val="ru-RU"/>
        </w:rPr>
        <w:t>-положителна ОЛЛ).</w:t>
      </w:r>
      <w:r w:rsidRPr="00FE6AC6">
        <w:rPr>
          <w:color w:val="000000"/>
          <w:lang w:val="ru-RU"/>
        </w:rPr>
        <w:t xml:space="preserve"> Левкемията представлява рак на белите кръвни клетки. </w:t>
      </w:r>
      <w:r w:rsidRPr="00FE6AC6">
        <w:rPr>
          <w:color w:val="000000"/>
          <w:lang w:val="bg-BG"/>
        </w:rPr>
        <w:t xml:space="preserve">Обикновено тези бели клетки помагат на организма в борбата му с инфекциите. Острата лимфобластна левкемия е вид левкемия, при която определени, различни от нормалните, бели кръвни клетки (наречени лимфобласти), започват да се размножават неконтролируемо. </w:t>
      </w:r>
      <w:r w:rsidRPr="00FE6AC6">
        <w:rPr>
          <w:color w:val="000000"/>
          <w:lang w:val="en-US"/>
        </w:rPr>
        <w:t>Glivec</w:t>
      </w:r>
      <w:r w:rsidRPr="00FE6AC6">
        <w:rPr>
          <w:color w:val="000000"/>
          <w:lang w:val="ru-RU"/>
        </w:rPr>
        <w:t xml:space="preserve"> </w:t>
      </w:r>
      <w:r w:rsidRPr="00FE6AC6">
        <w:rPr>
          <w:color w:val="000000"/>
          <w:lang w:val="bg-BG"/>
        </w:rPr>
        <w:t>потиска растежа на тези клетки.</w:t>
      </w:r>
    </w:p>
    <w:p w14:paraId="3E550B2F" w14:textId="77777777" w:rsidR="001348DB" w:rsidRPr="00FE6AC6" w:rsidRDefault="001348DB" w:rsidP="0063575E">
      <w:pPr>
        <w:widowControl w:val="0"/>
        <w:tabs>
          <w:tab w:val="clear" w:pos="567"/>
        </w:tabs>
        <w:spacing w:line="240" w:lineRule="auto"/>
        <w:ind w:right="-2"/>
        <w:rPr>
          <w:color w:val="000000"/>
          <w:lang w:val="bg-BG"/>
        </w:rPr>
      </w:pPr>
    </w:p>
    <w:p w14:paraId="3E550B30" w14:textId="77777777" w:rsidR="001348DB" w:rsidRPr="00FE6AC6" w:rsidRDefault="001348DB" w:rsidP="0063575E">
      <w:pPr>
        <w:keepNext/>
        <w:widowControl w:val="0"/>
        <w:tabs>
          <w:tab w:val="clear" w:pos="567"/>
        </w:tabs>
        <w:spacing w:line="240" w:lineRule="auto"/>
        <w:rPr>
          <w:b/>
          <w:color w:val="000000"/>
          <w:lang w:val="bg-BG"/>
        </w:rPr>
      </w:pPr>
      <w:r w:rsidRPr="00FE6AC6">
        <w:rPr>
          <w:b/>
          <w:color w:val="000000"/>
          <w:lang w:val="bg-BG"/>
        </w:rPr>
        <w:t>Glivec се използва също и за лечение на възрастни при:</w:t>
      </w:r>
    </w:p>
    <w:p w14:paraId="3E550B31" w14:textId="77777777" w:rsidR="001348DB" w:rsidRPr="00FE6AC6" w:rsidRDefault="001348DB" w:rsidP="0063575E">
      <w:pPr>
        <w:keepNext/>
        <w:widowControl w:val="0"/>
        <w:tabs>
          <w:tab w:val="clear" w:pos="567"/>
        </w:tabs>
        <w:spacing w:line="240" w:lineRule="auto"/>
        <w:rPr>
          <w:color w:val="000000"/>
          <w:lang w:val="bg-BG"/>
        </w:rPr>
      </w:pPr>
    </w:p>
    <w:p w14:paraId="3E550B32" w14:textId="77777777" w:rsidR="001348DB" w:rsidRPr="00FE6AC6" w:rsidRDefault="001348DB" w:rsidP="0063575E">
      <w:pPr>
        <w:pStyle w:val="Listlevel1"/>
        <w:widowControl w:val="0"/>
        <w:numPr>
          <w:ilvl w:val="0"/>
          <w:numId w:val="20"/>
        </w:numPr>
        <w:tabs>
          <w:tab w:val="clear" w:pos="1128"/>
          <w:tab w:val="num" w:pos="567"/>
        </w:tabs>
        <w:spacing w:before="0" w:after="0"/>
        <w:ind w:left="567" w:hanging="567"/>
        <w:rPr>
          <w:color w:val="000000"/>
          <w:sz w:val="22"/>
          <w:szCs w:val="22"/>
          <w:lang w:val="bg-BG"/>
        </w:rPr>
      </w:pPr>
      <w:r w:rsidRPr="00FE6AC6">
        <w:rPr>
          <w:b/>
          <w:color w:val="000000"/>
          <w:sz w:val="22"/>
          <w:szCs w:val="22"/>
          <w:lang w:val="bg-BG"/>
        </w:rPr>
        <w:t>Миелодиспластичен синдром/миелопролиферативни заболявания (МДС/МПЗ).</w:t>
      </w:r>
      <w:r w:rsidRPr="00FE6AC6">
        <w:rPr>
          <w:color w:val="000000"/>
          <w:sz w:val="22"/>
          <w:szCs w:val="22"/>
          <w:lang w:val="bg-BG"/>
        </w:rPr>
        <w:t xml:space="preserve"> Това са група заболявания на кръвта, при които някои кръвни клетки започват да се размножават неконтролируемо. </w:t>
      </w:r>
      <w:r w:rsidRPr="00FE6AC6">
        <w:rPr>
          <w:color w:val="000000"/>
          <w:sz w:val="22"/>
          <w:szCs w:val="22"/>
          <w:lang w:val="en-GB"/>
        </w:rPr>
        <w:t>Glivec</w:t>
      </w:r>
      <w:r w:rsidRPr="00FE6AC6">
        <w:rPr>
          <w:color w:val="000000"/>
          <w:sz w:val="22"/>
          <w:szCs w:val="22"/>
          <w:lang w:val="bg-BG"/>
        </w:rPr>
        <w:t xml:space="preserve"> </w:t>
      </w:r>
      <w:r w:rsidR="006E6802" w:rsidRPr="00FE6AC6">
        <w:rPr>
          <w:color w:val="000000"/>
          <w:sz w:val="22"/>
          <w:szCs w:val="22"/>
          <w:lang w:val="bg-BG"/>
        </w:rPr>
        <w:t>потиска</w:t>
      </w:r>
      <w:r w:rsidRPr="00FE6AC6">
        <w:rPr>
          <w:color w:val="000000"/>
          <w:sz w:val="22"/>
          <w:szCs w:val="22"/>
          <w:lang w:val="bg-BG"/>
        </w:rPr>
        <w:t xml:space="preserve"> растежа на тези клетки при някои подтипове на тези заболявания.</w:t>
      </w:r>
    </w:p>
    <w:p w14:paraId="3E550B33" w14:textId="77777777" w:rsidR="001348DB" w:rsidRPr="00FE6AC6" w:rsidRDefault="001348DB" w:rsidP="0063575E">
      <w:pPr>
        <w:pStyle w:val="Text"/>
        <w:widowControl w:val="0"/>
        <w:numPr>
          <w:ilvl w:val="0"/>
          <w:numId w:val="20"/>
        </w:numPr>
        <w:tabs>
          <w:tab w:val="clear" w:pos="1128"/>
          <w:tab w:val="num" w:pos="567"/>
        </w:tabs>
        <w:spacing w:before="0"/>
        <w:ind w:left="567" w:hanging="567"/>
        <w:jc w:val="left"/>
        <w:rPr>
          <w:color w:val="000000"/>
          <w:sz w:val="22"/>
          <w:szCs w:val="22"/>
          <w:lang w:val="bg-BG"/>
        </w:rPr>
      </w:pPr>
      <w:r w:rsidRPr="00FE6AC6">
        <w:rPr>
          <w:b/>
          <w:bCs/>
          <w:color w:val="000000"/>
          <w:sz w:val="22"/>
          <w:szCs w:val="22"/>
          <w:lang w:val="bg-BG"/>
        </w:rPr>
        <w:t>Хипереозинофилен синдром (ХЕС) и/или хронична еозинофилна левкемия (ХЕЛ).</w:t>
      </w:r>
      <w:r w:rsidRPr="00FE6AC6">
        <w:rPr>
          <w:color w:val="000000"/>
          <w:sz w:val="22"/>
          <w:szCs w:val="22"/>
          <w:lang w:val="bg-BG"/>
        </w:rPr>
        <w:t xml:space="preserve"> Това са заболявания на кръвта</w:t>
      </w:r>
      <w:r w:rsidR="00B1091C" w:rsidRPr="00FE6AC6">
        <w:rPr>
          <w:color w:val="000000"/>
          <w:sz w:val="22"/>
          <w:szCs w:val="22"/>
          <w:lang w:val="bg-BG"/>
        </w:rPr>
        <w:t>,</w:t>
      </w:r>
      <w:r w:rsidRPr="00FE6AC6">
        <w:rPr>
          <w:color w:val="000000"/>
          <w:sz w:val="22"/>
          <w:szCs w:val="22"/>
          <w:lang w:val="bg-BG"/>
        </w:rPr>
        <w:t xml:space="preserve"> при които някои клетки (наречени еозинофили) започват да се размножават неконтролируемо. </w:t>
      </w:r>
      <w:r w:rsidRPr="00FE6AC6">
        <w:rPr>
          <w:color w:val="000000"/>
          <w:sz w:val="22"/>
          <w:szCs w:val="22"/>
          <w:lang w:val="en-GB"/>
        </w:rPr>
        <w:t>Glivec</w:t>
      </w:r>
      <w:r w:rsidRPr="00FE6AC6">
        <w:rPr>
          <w:color w:val="000000"/>
          <w:sz w:val="22"/>
          <w:szCs w:val="22"/>
          <w:lang w:val="bg-BG"/>
        </w:rPr>
        <w:t xml:space="preserve"> </w:t>
      </w:r>
      <w:r w:rsidR="006E6802" w:rsidRPr="00FE6AC6">
        <w:rPr>
          <w:color w:val="000000"/>
          <w:sz w:val="22"/>
          <w:szCs w:val="22"/>
          <w:lang w:val="bg-BG"/>
        </w:rPr>
        <w:t>потиска</w:t>
      </w:r>
      <w:r w:rsidRPr="00FE6AC6">
        <w:rPr>
          <w:color w:val="000000"/>
          <w:sz w:val="22"/>
          <w:szCs w:val="22"/>
          <w:lang w:val="bg-BG"/>
        </w:rPr>
        <w:t xml:space="preserve"> растежа на тези клетки при някои подтипове на тези заболявания.</w:t>
      </w:r>
    </w:p>
    <w:p w14:paraId="3E550B34" w14:textId="77777777" w:rsidR="001348DB" w:rsidRPr="00FE6AC6" w:rsidRDefault="001348DB" w:rsidP="0063575E">
      <w:pPr>
        <w:widowControl w:val="0"/>
        <w:numPr>
          <w:ilvl w:val="0"/>
          <w:numId w:val="20"/>
        </w:numPr>
        <w:tabs>
          <w:tab w:val="clear" w:pos="1128"/>
          <w:tab w:val="num" w:pos="567"/>
        </w:tabs>
        <w:spacing w:line="240" w:lineRule="auto"/>
        <w:ind w:left="567" w:right="-2" w:hanging="567"/>
        <w:rPr>
          <w:color w:val="000000"/>
          <w:lang w:val="bg-BG"/>
        </w:rPr>
      </w:pPr>
      <w:r w:rsidRPr="00FE6AC6">
        <w:rPr>
          <w:b/>
          <w:color w:val="000000"/>
          <w:lang w:val="bg-BG"/>
        </w:rPr>
        <w:t>Гастро-интестинални стромални тумори (ГИСТ).</w:t>
      </w:r>
      <w:r w:rsidRPr="00FE6AC6">
        <w:rPr>
          <w:color w:val="000000"/>
          <w:lang w:val="bg-BG"/>
        </w:rPr>
        <w:t xml:space="preserve"> ГИСТ представлява рак на стомаха и червата. Той произлиза от неконтролируемия клетъчен растеж на поддържащите тъкани на тези органи.</w:t>
      </w:r>
    </w:p>
    <w:p w14:paraId="3E550B35" w14:textId="77777777" w:rsidR="001348DB" w:rsidRPr="00FE6AC6" w:rsidRDefault="001348DB" w:rsidP="0063575E">
      <w:pPr>
        <w:widowControl w:val="0"/>
        <w:numPr>
          <w:ilvl w:val="0"/>
          <w:numId w:val="20"/>
        </w:numPr>
        <w:tabs>
          <w:tab w:val="clear" w:pos="1128"/>
          <w:tab w:val="num" w:pos="567"/>
        </w:tabs>
        <w:spacing w:line="240" w:lineRule="auto"/>
        <w:ind w:left="567" w:right="-2" w:hanging="567"/>
        <w:rPr>
          <w:color w:val="000000"/>
          <w:lang w:val="bg-BG"/>
        </w:rPr>
      </w:pPr>
      <w:r w:rsidRPr="00FE6AC6">
        <w:rPr>
          <w:b/>
          <w:color w:val="000000"/>
          <w:lang w:val="bg-BG"/>
        </w:rPr>
        <w:t>Дерматофибросаркома протруберанс (ДФСП).</w:t>
      </w:r>
      <w:r w:rsidRPr="00FE6AC6">
        <w:rPr>
          <w:color w:val="000000"/>
          <w:lang w:val="bg-BG"/>
        </w:rPr>
        <w:t xml:space="preserve"> ДФСП е рак на тъканите под кожата, при който някои клетки започват неконтролируем растеж. </w:t>
      </w:r>
      <w:r w:rsidRPr="00FE6AC6">
        <w:rPr>
          <w:color w:val="000000"/>
          <w:lang w:val="en-US"/>
        </w:rPr>
        <w:t>Glivec</w:t>
      </w:r>
      <w:r w:rsidRPr="00FE6AC6">
        <w:rPr>
          <w:color w:val="000000"/>
          <w:lang w:val="ru-RU"/>
        </w:rPr>
        <w:t xml:space="preserve"> </w:t>
      </w:r>
      <w:r w:rsidR="006E6802" w:rsidRPr="00FE6AC6">
        <w:rPr>
          <w:color w:val="000000"/>
          <w:szCs w:val="22"/>
          <w:lang w:val="bg-BG"/>
        </w:rPr>
        <w:t>потиска</w:t>
      </w:r>
      <w:r w:rsidRPr="00FE6AC6">
        <w:rPr>
          <w:color w:val="000000"/>
          <w:lang w:val="bg-BG"/>
        </w:rPr>
        <w:t xml:space="preserve"> растежа на тези клетки.</w:t>
      </w:r>
    </w:p>
    <w:p w14:paraId="3E550B36"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В останалата част на тази листовка ще използваме съкращенията, когато говорим за съответните заболявания.</w:t>
      </w:r>
    </w:p>
    <w:p w14:paraId="3E550B37" w14:textId="77777777" w:rsidR="001348DB" w:rsidRPr="00FE6AC6" w:rsidRDefault="001348DB" w:rsidP="0063575E">
      <w:pPr>
        <w:widowControl w:val="0"/>
        <w:tabs>
          <w:tab w:val="clear" w:pos="567"/>
        </w:tabs>
        <w:spacing w:line="240" w:lineRule="auto"/>
        <w:ind w:right="-2"/>
        <w:rPr>
          <w:color w:val="000000"/>
          <w:lang w:val="bg-BG"/>
        </w:rPr>
      </w:pPr>
    </w:p>
    <w:p w14:paraId="3E550B38"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Ако имате някакви въпроси относно това как действа Glivec или защо Ви е предписано това лекарство, попитайте Вашия лекар.</w:t>
      </w:r>
    </w:p>
    <w:p w14:paraId="3E550B39" w14:textId="77777777" w:rsidR="001348DB" w:rsidRPr="00FE6AC6" w:rsidRDefault="001348DB" w:rsidP="0063575E">
      <w:pPr>
        <w:widowControl w:val="0"/>
        <w:tabs>
          <w:tab w:val="clear" w:pos="567"/>
        </w:tabs>
        <w:spacing w:line="240" w:lineRule="auto"/>
        <w:ind w:right="-2"/>
        <w:rPr>
          <w:color w:val="000000"/>
          <w:lang w:val="bg-BG"/>
        </w:rPr>
      </w:pPr>
    </w:p>
    <w:p w14:paraId="3E550B3A" w14:textId="77777777" w:rsidR="001348DB" w:rsidRPr="00FE6AC6" w:rsidRDefault="001348DB" w:rsidP="0063575E">
      <w:pPr>
        <w:widowControl w:val="0"/>
        <w:tabs>
          <w:tab w:val="clear" w:pos="567"/>
        </w:tabs>
        <w:spacing w:line="240" w:lineRule="auto"/>
        <w:ind w:right="-2"/>
        <w:rPr>
          <w:color w:val="000000"/>
          <w:lang w:val="bg-BG"/>
        </w:rPr>
      </w:pPr>
    </w:p>
    <w:p w14:paraId="3E550B3B" w14:textId="77777777" w:rsidR="001348DB" w:rsidRPr="00FE6AC6" w:rsidRDefault="001348DB" w:rsidP="0063575E">
      <w:pPr>
        <w:keepNext/>
        <w:widowControl w:val="0"/>
        <w:tabs>
          <w:tab w:val="clear" w:pos="567"/>
        </w:tabs>
        <w:spacing w:line="240" w:lineRule="auto"/>
        <w:ind w:right="-2"/>
        <w:rPr>
          <w:b/>
          <w:color w:val="000000"/>
          <w:lang w:val="bg-BG"/>
        </w:rPr>
      </w:pPr>
      <w:r w:rsidRPr="00FE6AC6">
        <w:rPr>
          <w:b/>
          <w:color w:val="000000"/>
          <w:lang w:val="bg-BG"/>
        </w:rPr>
        <w:t>2.</w:t>
      </w:r>
      <w:r w:rsidRPr="00FE6AC6">
        <w:rPr>
          <w:b/>
          <w:color w:val="000000"/>
          <w:lang w:val="bg-BG"/>
        </w:rPr>
        <w:tab/>
      </w:r>
      <w:r w:rsidRPr="00FE6AC6">
        <w:rPr>
          <w:b/>
          <w:noProof/>
          <w:szCs w:val="24"/>
          <w:lang w:val="bg-BG"/>
        </w:rPr>
        <w:t>Какво трябва да знаете, преди да приемете</w:t>
      </w:r>
      <w:r w:rsidRPr="00FE6AC6">
        <w:rPr>
          <w:b/>
          <w:color w:val="000000"/>
          <w:lang w:val="bg-BG"/>
        </w:rPr>
        <w:t xml:space="preserve"> </w:t>
      </w:r>
      <w:r w:rsidRPr="00FE6AC6">
        <w:rPr>
          <w:b/>
          <w:color w:val="000000"/>
          <w:lang w:val="en-US"/>
        </w:rPr>
        <w:t>Glivec</w:t>
      </w:r>
    </w:p>
    <w:p w14:paraId="3E550B3C" w14:textId="77777777" w:rsidR="001348DB" w:rsidRPr="00FE6AC6" w:rsidRDefault="001348DB" w:rsidP="0063575E">
      <w:pPr>
        <w:keepNext/>
        <w:widowControl w:val="0"/>
        <w:tabs>
          <w:tab w:val="clear" w:pos="567"/>
        </w:tabs>
        <w:spacing w:line="240" w:lineRule="auto"/>
        <w:ind w:right="-2"/>
        <w:rPr>
          <w:color w:val="000000"/>
          <w:sz w:val="24"/>
          <w:lang w:val="bg-BG"/>
        </w:rPr>
      </w:pPr>
    </w:p>
    <w:p w14:paraId="3E550B3D"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Glivec ще Ви бъде предписан от лекар с опит в лечението на рак на кръвта или солидни тумори.</w:t>
      </w:r>
    </w:p>
    <w:p w14:paraId="3E550B3E" w14:textId="77777777" w:rsidR="001348DB" w:rsidRPr="00FE6AC6" w:rsidRDefault="001348DB" w:rsidP="0063575E">
      <w:pPr>
        <w:widowControl w:val="0"/>
        <w:tabs>
          <w:tab w:val="clear" w:pos="567"/>
        </w:tabs>
        <w:spacing w:line="240" w:lineRule="auto"/>
        <w:ind w:right="-2"/>
        <w:rPr>
          <w:color w:val="000000"/>
          <w:lang w:val="bg-BG"/>
        </w:rPr>
      </w:pPr>
    </w:p>
    <w:p w14:paraId="3E550B3F"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Следвайте внимателно всички указания на лекаря, дори</w:t>
      </w:r>
      <w:r w:rsidR="00D16A08" w:rsidRPr="00FE6AC6">
        <w:rPr>
          <w:color w:val="000000"/>
          <w:lang w:val="bg-BG"/>
        </w:rPr>
        <w:t>,</w:t>
      </w:r>
      <w:r w:rsidRPr="00FE6AC6">
        <w:rPr>
          <w:color w:val="000000"/>
          <w:lang w:val="bg-BG"/>
        </w:rPr>
        <w:t xml:space="preserve"> ако те се различават от информацията, която се съдържа в тази листовка.</w:t>
      </w:r>
    </w:p>
    <w:p w14:paraId="3E550B40" w14:textId="77777777" w:rsidR="001348DB" w:rsidRPr="00FE6AC6" w:rsidRDefault="001348DB" w:rsidP="0063575E">
      <w:pPr>
        <w:widowControl w:val="0"/>
        <w:numPr>
          <w:ilvl w:val="12"/>
          <w:numId w:val="0"/>
        </w:numPr>
        <w:spacing w:line="240" w:lineRule="auto"/>
        <w:ind w:right="-29"/>
        <w:rPr>
          <w:color w:val="000000"/>
          <w:lang w:val="bg-BG"/>
        </w:rPr>
      </w:pPr>
    </w:p>
    <w:p w14:paraId="3E550B41" w14:textId="77777777" w:rsidR="001348DB" w:rsidRPr="00FE6AC6" w:rsidRDefault="001348DB" w:rsidP="0063575E">
      <w:pPr>
        <w:keepNext/>
        <w:widowControl w:val="0"/>
        <w:numPr>
          <w:ilvl w:val="12"/>
          <w:numId w:val="0"/>
        </w:numPr>
        <w:spacing w:line="240" w:lineRule="auto"/>
        <w:ind w:right="-29"/>
        <w:rPr>
          <w:color w:val="000000"/>
          <w:lang w:val="bg-BG"/>
        </w:rPr>
      </w:pPr>
      <w:r w:rsidRPr="00FE6AC6">
        <w:rPr>
          <w:b/>
          <w:color w:val="000000"/>
          <w:lang w:val="bg-BG"/>
        </w:rPr>
        <w:t>Не приемайте Glivec:</w:t>
      </w:r>
    </w:p>
    <w:p w14:paraId="3E550B42" w14:textId="77777777" w:rsidR="001348DB" w:rsidRPr="00FE6AC6" w:rsidRDefault="001348DB" w:rsidP="0063575E">
      <w:pPr>
        <w:widowControl w:val="0"/>
        <w:numPr>
          <w:ilvl w:val="0"/>
          <w:numId w:val="1"/>
        </w:numPr>
        <w:spacing w:line="240" w:lineRule="auto"/>
        <w:ind w:left="567" w:hanging="567"/>
        <w:rPr>
          <w:color w:val="000000"/>
          <w:lang w:val="bg-BG"/>
        </w:rPr>
      </w:pPr>
      <w:r w:rsidRPr="00FE6AC6">
        <w:rPr>
          <w:color w:val="000000"/>
          <w:lang w:val="de-CH"/>
        </w:rPr>
        <w:t>a</w:t>
      </w:r>
      <w:r w:rsidRPr="00FE6AC6">
        <w:rPr>
          <w:color w:val="000000"/>
          <w:lang w:val="bg-BG"/>
        </w:rPr>
        <w:t>ко сте алергични към иматиниб или към някоя от останалите съставки на това лекарство (изброени в точка 6).</w:t>
      </w:r>
    </w:p>
    <w:p w14:paraId="3E550B43" w14:textId="77777777" w:rsidR="001348DB" w:rsidRPr="00FE6AC6" w:rsidRDefault="001348DB" w:rsidP="0063575E">
      <w:pPr>
        <w:widowControl w:val="0"/>
        <w:spacing w:line="240" w:lineRule="auto"/>
        <w:rPr>
          <w:b/>
          <w:color w:val="000000"/>
          <w:lang w:val="bg-BG"/>
        </w:rPr>
      </w:pPr>
      <w:r w:rsidRPr="00FE6AC6">
        <w:rPr>
          <w:color w:val="000000"/>
          <w:lang w:val="bg-BG"/>
        </w:rPr>
        <w:t xml:space="preserve">Ако горенаписаното се отнася за Вас, </w:t>
      </w:r>
      <w:r w:rsidRPr="00FE6AC6">
        <w:rPr>
          <w:b/>
          <w:color w:val="000000"/>
          <w:lang w:val="bg-BG"/>
        </w:rPr>
        <w:t xml:space="preserve">информирайте Вашия лекар без да приемате </w:t>
      </w:r>
      <w:r w:rsidRPr="00FE6AC6">
        <w:rPr>
          <w:b/>
          <w:color w:val="000000"/>
          <w:lang w:val="en-US"/>
        </w:rPr>
        <w:t>Glivec</w:t>
      </w:r>
      <w:r w:rsidRPr="00FE6AC6">
        <w:rPr>
          <w:b/>
          <w:color w:val="000000"/>
          <w:lang w:val="bg-BG"/>
        </w:rPr>
        <w:t>.</w:t>
      </w:r>
    </w:p>
    <w:p w14:paraId="3E550B44" w14:textId="77777777" w:rsidR="001348DB" w:rsidRPr="00FE6AC6" w:rsidRDefault="001348DB" w:rsidP="0063575E">
      <w:pPr>
        <w:widowControl w:val="0"/>
        <w:spacing w:line="240" w:lineRule="auto"/>
        <w:rPr>
          <w:color w:val="000000"/>
          <w:lang w:val="bg-BG"/>
        </w:rPr>
      </w:pPr>
    </w:p>
    <w:p w14:paraId="3E550B45" w14:textId="77777777" w:rsidR="001348DB" w:rsidRPr="00FE6AC6" w:rsidRDefault="001348DB" w:rsidP="0063575E">
      <w:pPr>
        <w:widowControl w:val="0"/>
        <w:spacing w:line="240" w:lineRule="auto"/>
        <w:rPr>
          <w:color w:val="000000"/>
          <w:lang w:val="bg-BG"/>
        </w:rPr>
      </w:pPr>
      <w:r w:rsidRPr="00FE6AC6">
        <w:rPr>
          <w:color w:val="000000"/>
          <w:lang w:val="bg-BG"/>
        </w:rPr>
        <w:t>Ако смятате, че може да сте алергични, но не сте сигурни, попитайте Вашия лекар за съвет.</w:t>
      </w:r>
    </w:p>
    <w:p w14:paraId="3E550B46" w14:textId="77777777" w:rsidR="001348DB" w:rsidRPr="00FE6AC6" w:rsidRDefault="001348DB" w:rsidP="0063575E">
      <w:pPr>
        <w:widowControl w:val="0"/>
        <w:numPr>
          <w:ilvl w:val="12"/>
          <w:numId w:val="0"/>
        </w:numPr>
        <w:spacing w:line="240" w:lineRule="auto"/>
        <w:ind w:right="-2"/>
        <w:rPr>
          <w:color w:val="000000"/>
          <w:lang w:val="bg-BG"/>
        </w:rPr>
      </w:pPr>
    </w:p>
    <w:p w14:paraId="3E550B47" w14:textId="77777777" w:rsidR="001348DB" w:rsidRPr="00FE6AC6" w:rsidRDefault="001348DB" w:rsidP="0063575E">
      <w:pPr>
        <w:keepNext/>
        <w:widowControl w:val="0"/>
        <w:numPr>
          <w:ilvl w:val="12"/>
          <w:numId w:val="0"/>
        </w:numPr>
        <w:spacing w:line="240" w:lineRule="auto"/>
        <w:ind w:right="-2"/>
        <w:outlineLvl w:val="0"/>
        <w:rPr>
          <w:b/>
          <w:noProof/>
          <w:szCs w:val="24"/>
          <w:lang w:val="bg-BG"/>
        </w:rPr>
      </w:pPr>
      <w:r w:rsidRPr="00FE6AC6">
        <w:rPr>
          <w:b/>
          <w:noProof/>
          <w:szCs w:val="24"/>
          <w:lang w:val="bg-BG"/>
        </w:rPr>
        <w:t>Предупреждения и предпазни мерки</w:t>
      </w:r>
    </w:p>
    <w:p w14:paraId="3E550B48" w14:textId="77777777" w:rsidR="001348DB" w:rsidRPr="00FE6AC6" w:rsidRDefault="001348DB" w:rsidP="0063575E">
      <w:pPr>
        <w:keepNext/>
        <w:widowControl w:val="0"/>
        <w:numPr>
          <w:ilvl w:val="12"/>
          <w:numId w:val="0"/>
        </w:numPr>
        <w:spacing w:line="240" w:lineRule="auto"/>
        <w:ind w:right="-29"/>
        <w:rPr>
          <w:color w:val="000000"/>
          <w:lang w:val="bg-BG"/>
        </w:rPr>
      </w:pPr>
      <w:r w:rsidRPr="00FE6AC6">
        <w:rPr>
          <w:color w:val="000000"/>
          <w:lang w:val="bg-BG"/>
        </w:rPr>
        <w:t>Говорете с Вашия лекар</w:t>
      </w:r>
      <w:r w:rsidR="006863A5" w:rsidRPr="00FE6AC6">
        <w:rPr>
          <w:color w:val="000000"/>
          <w:lang w:val="bg-BG"/>
        </w:rPr>
        <w:t>,</w:t>
      </w:r>
      <w:r w:rsidRPr="00FE6AC6">
        <w:rPr>
          <w:color w:val="000000"/>
          <w:lang w:val="bg-BG"/>
        </w:rPr>
        <w:t xml:space="preserve"> преди да приемете </w:t>
      </w:r>
      <w:r w:rsidRPr="00FE6AC6">
        <w:rPr>
          <w:color w:val="000000"/>
          <w:lang w:val="en-US"/>
        </w:rPr>
        <w:t>Glivec</w:t>
      </w:r>
      <w:r w:rsidRPr="00FE6AC6">
        <w:rPr>
          <w:color w:val="000000"/>
          <w:lang w:val="bg-BG"/>
        </w:rPr>
        <w:t>:</w:t>
      </w:r>
    </w:p>
    <w:p w14:paraId="3E550B49" w14:textId="77777777" w:rsidR="001348DB" w:rsidRPr="00FE6AC6" w:rsidRDefault="001348DB" w:rsidP="0063575E">
      <w:pPr>
        <w:widowControl w:val="0"/>
        <w:numPr>
          <w:ilvl w:val="0"/>
          <w:numId w:val="4"/>
        </w:numPr>
        <w:tabs>
          <w:tab w:val="clear" w:pos="720"/>
          <w:tab w:val="num" w:pos="567"/>
        </w:tabs>
        <w:spacing w:line="240" w:lineRule="auto"/>
        <w:ind w:left="567" w:hanging="567"/>
        <w:rPr>
          <w:color w:val="000000"/>
          <w:lang w:val="bg-BG"/>
        </w:rPr>
      </w:pPr>
      <w:r w:rsidRPr="00FE6AC6">
        <w:rPr>
          <w:color w:val="000000"/>
          <w:lang w:val="de-CH"/>
        </w:rPr>
        <w:t>a</w:t>
      </w:r>
      <w:r w:rsidRPr="00FE6AC6">
        <w:rPr>
          <w:color w:val="000000"/>
          <w:lang w:val="bg-BG"/>
        </w:rPr>
        <w:t>ко имате или някога сте имали проблеми с черния дроб, бъбреците или сърцето.</w:t>
      </w:r>
    </w:p>
    <w:p w14:paraId="3E550B4A" w14:textId="77777777" w:rsidR="001348DB" w:rsidRPr="00FE6AC6" w:rsidRDefault="001348DB" w:rsidP="0063575E">
      <w:pPr>
        <w:widowControl w:val="0"/>
        <w:numPr>
          <w:ilvl w:val="12"/>
          <w:numId w:val="0"/>
        </w:numPr>
        <w:tabs>
          <w:tab w:val="clear" w:pos="567"/>
        </w:tabs>
        <w:spacing w:line="240" w:lineRule="auto"/>
        <w:rPr>
          <w:color w:val="000000"/>
          <w:spacing w:val="-2"/>
          <w:lang w:val="bg-BG"/>
        </w:rPr>
      </w:pPr>
      <w:r w:rsidRPr="00FE6AC6">
        <w:rPr>
          <w:color w:val="000000"/>
          <w:szCs w:val="22"/>
          <w:lang w:val="bg-BG"/>
        </w:rPr>
        <w:t>-</w:t>
      </w:r>
      <w:r w:rsidRPr="00FE6AC6">
        <w:rPr>
          <w:color w:val="000000"/>
          <w:szCs w:val="22"/>
          <w:lang w:val="bg-BG"/>
        </w:rPr>
        <w:tab/>
        <w:t>ако приемате лекарството левотироксин</w:t>
      </w:r>
      <w:r w:rsidR="00D16A08" w:rsidRPr="00FE6AC6">
        <w:rPr>
          <w:color w:val="000000"/>
          <w:szCs w:val="22"/>
          <w:lang w:val="bg-BG"/>
        </w:rPr>
        <w:t>,</w:t>
      </w:r>
      <w:r w:rsidRPr="00FE6AC6">
        <w:rPr>
          <w:color w:val="000000"/>
          <w:spacing w:val="-2"/>
          <w:lang w:val="bg-BG"/>
        </w:rPr>
        <w:t xml:space="preserve"> поради отстраняване на щитовидната жлеза.</w:t>
      </w:r>
    </w:p>
    <w:p w14:paraId="3E550B4B" w14:textId="77777777" w:rsidR="005E1CCC" w:rsidRPr="00FE6AC6" w:rsidRDefault="005E1CCC" w:rsidP="0063575E">
      <w:pPr>
        <w:widowControl w:val="0"/>
        <w:numPr>
          <w:ilvl w:val="0"/>
          <w:numId w:val="4"/>
        </w:numPr>
        <w:tabs>
          <w:tab w:val="clear" w:pos="720"/>
          <w:tab w:val="num" w:pos="567"/>
        </w:tabs>
        <w:spacing w:line="240" w:lineRule="auto"/>
        <w:ind w:left="567" w:hanging="567"/>
        <w:rPr>
          <w:color w:val="000000"/>
          <w:szCs w:val="22"/>
          <w:lang w:val="bg-BG"/>
        </w:rPr>
      </w:pPr>
      <w:r w:rsidRPr="00FE6AC6">
        <w:rPr>
          <w:color w:val="000000"/>
          <w:szCs w:val="22"/>
          <w:lang w:val="bg-BG"/>
        </w:rPr>
        <w:t>ако сте имали или може сега да имате инфекция с хепатит В. Това е така, защото Glivec може да причини преминаването на инфекцията с хепатит В отново в активна форма, което може да бъде фатално в някои случаи. Пациентите ще бъдат внимателно прегледани от лекар за признаци на тази инфекция, преди да започне лечението.</w:t>
      </w:r>
    </w:p>
    <w:p w14:paraId="3E550B4C" w14:textId="77777777" w:rsidR="0050241B" w:rsidRPr="00FE6AC6" w:rsidRDefault="0050241B" w:rsidP="0063575E">
      <w:pPr>
        <w:widowControl w:val="0"/>
        <w:numPr>
          <w:ilvl w:val="0"/>
          <w:numId w:val="4"/>
        </w:numPr>
        <w:tabs>
          <w:tab w:val="clear" w:pos="720"/>
          <w:tab w:val="num" w:pos="567"/>
        </w:tabs>
        <w:spacing w:line="240" w:lineRule="auto"/>
        <w:ind w:left="567" w:hanging="567"/>
        <w:rPr>
          <w:color w:val="000000"/>
          <w:szCs w:val="22"/>
          <w:lang w:val="bg-BG"/>
        </w:rPr>
      </w:pPr>
      <w:r w:rsidRPr="00FE6AC6">
        <w:rPr>
          <w:color w:val="000000"/>
          <w:szCs w:val="22"/>
          <w:lang w:val="bg-BG"/>
        </w:rPr>
        <w:t xml:space="preserve">ако Ви се появят синини, имате кървене, висока температура, умора и обърканост по време на лечението с </w:t>
      </w:r>
      <w:r w:rsidRPr="00FE6AC6">
        <w:rPr>
          <w:color w:val="000000"/>
          <w:szCs w:val="22"/>
          <w:lang w:val="en-US"/>
        </w:rPr>
        <w:t>Glivec</w:t>
      </w:r>
      <w:r w:rsidRPr="00FE6AC6">
        <w:rPr>
          <w:color w:val="000000"/>
          <w:szCs w:val="22"/>
          <w:lang w:val="bg-BG"/>
        </w:rPr>
        <w:t>, свържете се с Вашия лекар. Това може да е признак на увреждане на кръвоносните съдове, наречено тромботична микроангиопатия</w:t>
      </w:r>
      <w:r w:rsidR="00333D47" w:rsidRPr="00FE6AC6">
        <w:rPr>
          <w:color w:val="000000"/>
          <w:szCs w:val="22"/>
          <w:lang w:val="bg-BG"/>
        </w:rPr>
        <w:t>.</w:t>
      </w:r>
    </w:p>
    <w:p w14:paraId="3E550B4D"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 xml:space="preserve">Ако някое от горенаписаните се отнася за Вас, </w:t>
      </w:r>
      <w:r w:rsidRPr="00FE6AC6">
        <w:rPr>
          <w:b/>
          <w:color w:val="000000"/>
          <w:lang w:val="bg-BG"/>
        </w:rPr>
        <w:t>кажете на Вашия лекар преди да приемете Glivec.</w:t>
      </w:r>
    </w:p>
    <w:p w14:paraId="3E550B4E" w14:textId="77777777" w:rsidR="007F363C" w:rsidRPr="00FE6AC6" w:rsidRDefault="007F363C" w:rsidP="0063575E">
      <w:pPr>
        <w:widowControl w:val="0"/>
        <w:numPr>
          <w:ilvl w:val="12"/>
          <w:numId w:val="0"/>
        </w:numPr>
        <w:spacing w:line="240" w:lineRule="auto"/>
        <w:rPr>
          <w:color w:val="000000"/>
          <w:lang w:val="bg-BG"/>
        </w:rPr>
      </w:pPr>
    </w:p>
    <w:p w14:paraId="3E550B4F" w14:textId="77777777" w:rsidR="007F363C" w:rsidRPr="00FE6AC6" w:rsidRDefault="007F363C" w:rsidP="0063575E">
      <w:pPr>
        <w:widowControl w:val="0"/>
        <w:tabs>
          <w:tab w:val="clear" w:pos="567"/>
        </w:tabs>
        <w:spacing w:line="240" w:lineRule="auto"/>
        <w:rPr>
          <w:color w:val="000000"/>
          <w:szCs w:val="22"/>
          <w:lang w:val="bg-BG"/>
        </w:rPr>
      </w:pPr>
      <w:r w:rsidRPr="00FE6AC6">
        <w:rPr>
          <w:color w:val="000000"/>
          <w:szCs w:val="22"/>
          <w:lang w:val="bg-BG"/>
        </w:rPr>
        <w:t>Възможно е да станете по-чувствителни към слънчевата светлина</w:t>
      </w:r>
      <w:r w:rsidR="00E347DA" w:rsidRPr="00FE6AC6">
        <w:rPr>
          <w:color w:val="000000"/>
          <w:szCs w:val="22"/>
          <w:lang w:val="bg-BG"/>
        </w:rPr>
        <w:t xml:space="preserve"> докато приемате Glivec</w:t>
      </w:r>
      <w:r w:rsidRPr="00FE6AC6">
        <w:rPr>
          <w:color w:val="000000"/>
          <w:szCs w:val="22"/>
          <w:lang w:val="bg-BG"/>
        </w:rPr>
        <w:t>. Важно е да покривате изложените на слънце участъци от кожата и да използвате слънцезащитни продукти с висок слънцезащитен фактор (</w:t>
      </w:r>
      <w:r w:rsidRPr="00FE6AC6">
        <w:rPr>
          <w:color w:val="000000"/>
          <w:szCs w:val="22"/>
        </w:rPr>
        <w:t>SPF</w:t>
      </w:r>
      <w:r w:rsidRPr="00FE6AC6">
        <w:rPr>
          <w:color w:val="000000"/>
          <w:szCs w:val="22"/>
          <w:lang w:val="bg-BG"/>
        </w:rPr>
        <w:t>). Тези предпазни мерки са приложими и при деца.</w:t>
      </w:r>
    </w:p>
    <w:p w14:paraId="3E550B50" w14:textId="77777777" w:rsidR="001348DB" w:rsidRPr="00FE6AC6" w:rsidRDefault="001348DB" w:rsidP="0063575E">
      <w:pPr>
        <w:widowControl w:val="0"/>
        <w:numPr>
          <w:ilvl w:val="12"/>
          <w:numId w:val="0"/>
        </w:numPr>
        <w:spacing w:line="240" w:lineRule="auto"/>
        <w:rPr>
          <w:color w:val="000000"/>
          <w:lang w:val="bg-BG"/>
        </w:rPr>
      </w:pPr>
    </w:p>
    <w:p w14:paraId="3E550B51" w14:textId="77777777" w:rsidR="001348DB" w:rsidRPr="00FE6AC6" w:rsidRDefault="001348DB" w:rsidP="0063575E">
      <w:pPr>
        <w:widowControl w:val="0"/>
        <w:numPr>
          <w:ilvl w:val="12"/>
          <w:numId w:val="0"/>
        </w:numPr>
        <w:spacing w:line="240" w:lineRule="auto"/>
        <w:ind w:right="-29"/>
        <w:rPr>
          <w:color w:val="000000"/>
          <w:lang w:val="bg-BG"/>
        </w:rPr>
      </w:pPr>
      <w:r w:rsidRPr="00FE6AC6">
        <w:rPr>
          <w:b/>
          <w:color w:val="000000"/>
          <w:lang w:val="bg-BG"/>
        </w:rPr>
        <w:t xml:space="preserve">По време на лечението с </w:t>
      </w:r>
      <w:r w:rsidRPr="00FE6AC6">
        <w:rPr>
          <w:b/>
          <w:color w:val="000000"/>
          <w:lang w:val="en-US"/>
        </w:rPr>
        <w:t>Glivec</w:t>
      </w:r>
      <w:r w:rsidRPr="00FE6AC6">
        <w:rPr>
          <w:b/>
          <w:color w:val="000000"/>
          <w:lang w:val="ru-RU"/>
        </w:rPr>
        <w:t xml:space="preserve"> информирайте незабавно Вашия лекар</w:t>
      </w:r>
      <w:r w:rsidRPr="00FE6AC6">
        <w:rPr>
          <w:color w:val="000000"/>
          <w:lang w:val="ru-RU"/>
        </w:rPr>
        <w:t>, а</w:t>
      </w:r>
      <w:r w:rsidRPr="00FE6AC6">
        <w:rPr>
          <w:color w:val="000000"/>
          <w:lang w:val="bg-BG"/>
        </w:rPr>
        <w:t xml:space="preserve">ко започнете бързо да наддавате на тегло. </w:t>
      </w:r>
      <w:r w:rsidRPr="00FE6AC6">
        <w:rPr>
          <w:color w:val="000000"/>
          <w:lang w:val="en-US"/>
        </w:rPr>
        <w:t>Glivec</w:t>
      </w:r>
      <w:r w:rsidRPr="00FE6AC6">
        <w:rPr>
          <w:color w:val="000000"/>
          <w:lang w:val="ru-RU"/>
        </w:rPr>
        <w:t xml:space="preserve"> </w:t>
      </w:r>
      <w:r w:rsidRPr="00FE6AC6">
        <w:rPr>
          <w:color w:val="000000"/>
          <w:lang w:val="bg-BG"/>
        </w:rPr>
        <w:t>може да предизвика задържане на вода в организма (тежка задръжка на течности).</w:t>
      </w:r>
    </w:p>
    <w:p w14:paraId="3E550B52" w14:textId="77777777" w:rsidR="001348DB" w:rsidRPr="00FE6AC6" w:rsidRDefault="001348DB" w:rsidP="0063575E">
      <w:pPr>
        <w:widowControl w:val="0"/>
        <w:numPr>
          <w:ilvl w:val="12"/>
          <w:numId w:val="0"/>
        </w:numPr>
        <w:spacing w:line="240" w:lineRule="auto"/>
        <w:rPr>
          <w:color w:val="000000"/>
          <w:lang w:val="bg-BG"/>
        </w:rPr>
      </w:pPr>
    </w:p>
    <w:p w14:paraId="3E550B53"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 xml:space="preserve">Докато приемате </w:t>
      </w:r>
      <w:r w:rsidRPr="00FE6AC6">
        <w:rPr>
          <w:color w:val="000000"/>
          <w:lang w:val="en-US"/>
        </w:rPr>
        <w:t>Glivec</w:t>
      </w:r>
      <w:r w:rsidR="00D16A08" w:rsidRPr="00FE6AC6">
        <w:rPr>
          <w:color w:val="000000"/>
          <w:lang w:val="bg-BG"/>
        </w:rPr>
        <w:t>,</w:t>
      </w:r>
      <w:r w:rsidRPr="00FE6AC6">
        <w:rPr>
          <w:color w:val="000000"/>
          <w:lang w:val="bg-BG"/>
        </w:rPr>
        <w:t xml:space="preserve"> Вашият лекар ще проверява редовно състояние</w:t>
      </w:r>
      <w:r w:rsidR="001C1751" w:rsidRPr="00FE6AC6">
        <w:rPr>
          <w:color w:val="000000"/>
          <w:lang w:val="bg-BG"/>
        </w:rPr>
        <w:t>то</w:t>
      </w:r>
      <w:r w:rsidRPr="00FE6AC6">
        <w:rPr>
          <w:color w:val="000000"/>
          <w:lang w:val="bg-BG"/>
        </w:rPr>
        <w:t xml:space="preserve"> Ви, за да установи дали лекарството действа. Освен това ще Ви се извършват кръвни изследвания и редовно ще се измерва телесното Ви тегло.</w:t>
      </w:r>
    </w:p>
    <w:p w14:paraId="3E550B54" w14:textId="77777777" w:rsidR="001348DB" w:rsidRPr="00FE6AC6" w:rsidRDefault="001348DB" w:rsidP="0063575E">
      <w:pPr>
        <w:widowControl w:val="0"/>
        <w:numPr>
          <w:ilvl w:val="12"/>
          <w:numId w:val="0"/>
        </w:numPr>
        <w:spacing w:line="240" w:lineRule="auto"/>
        <w:ind w:right="-29"/>
        <w:rPr>
          <w:color w:val="000000"/>
          <w:lang w:val="bg-BG"/>
        </w:rPr>
      </w:pPr>
    </w:p>
    <w:p w14:paraId="3E550B55" w14:textId="77777777" w:rsidR="001348DB" w:rsidRPr="00FE6AC6" w:rsidRDefault="001348DB" w:rsidP="0063575E">
      <w:pPr>
        <w:keepNext/>
        <w:widowControl w:val="0"/>
        <w:numPr>
          <w:ilvl w:val="12"/>
          <w:numId w:val="0"/>
        </w:numPr>
        <w:spacing w:line="240" w:lineRule="auto"/>
        <w:ind w:right="-29"/>
        <w:rPr>
          <w:color w:val="000000"/>
          <w:lang w:val="bg-BG"/>
        </w:rPr>
      </w:pPr>
      <w:r w:rsidRPr="00FE6AC6">
        <w:rPr>
          <w:b/>
          <w:noProof/>
          <w:szCs w:val="24"/>
          <w:lang w:val="bg-BG"/>
        </w:rPr>
        <w:t>Деца и юноши</w:t>
      </w:r>
    </w:p>
    <w:p w14:paraId="3E550B56"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 xml:space="preserve">Glivec също така е лекарство за лечение на деца с ХМЛ. Няма опит при деца с ХМЛ на възраст под 2 години. Съществува ограничен опит при деца с </w:t>
      </w:r>
      <w:r w:rsidRPr="00FE6AC6">
        <w:rPr>
          <w:color w:val="000000"/>
          <w:lang w:val="en-US"/>
        </w:rPr>
        <w:t>Ph</w:t>
      </w:r>
      <w:r w:rsidRPr="00FE6AC6">
        <w:rPr>
          <w:color w:val="000000"/>
          <w:szCs w:val="22"/>
          <w:lang w:val="bg-BG"/>
        </w:rPr>
        <w:t xml:space="preserve">-положителна </w:t>
      </w:r>
      <w:r w:rsidRPr="00FE6AC6">
        <w:rPr>
          <w:color w:val="000000"/>
          <w:lang w:val="bg-BG"/>
        </w:rPr>
        <w:t>ОЛЛ</w:t>
      </w:r>
      <w:r w:rsidR="006862ED" w:rsidRPr="00FE6AC6">
        <w:rPr>
          <w:color w:val="000000"/>
          <w:lang w:val="bg-BG"/>
        </w:rPr>
        <w:t xml:space="preserve"> и много ограничен опит при деца с МДС/МПЗ, ДФСП, ГИСТ и ХЕС/ХЕЛ</w:t>
      </w:r>
      <w:r w:rsidRPr="00FE6AC6">
        <w:rPr>
          <w:color w:val="000000"/>
          <w:lang w:val="bg-BG"/>
        </w:rPr>
        <w:t>.</w:t>
      </w:r>
    </w:p>
    <w:p w14:paraId="3E550B57" w14:textId="77777777" w:rsidR="001348DB" w:rsidRPr="00FE6AC6" w:rsidRDefault="001348DB" w:rsidP="0063575E">
      <w:pPr>
        <w:widowControl w:val="0"/>
        <w:numPr>
          <w:ilvl w:val="12"/>
          <w:numId w:val="0"/>
        </w:numPr>
        <w:spacing w:line="240" w:lineRule="auto"/>
        <w:ind w:right="-29"/>
        <w:rPr>
          <w:color w:val="000000"/>
          <w:lang w:val="bg-BG"/>
        </w:rPr>
      </w:pPr>
    </w:p>
    <w:p w14:paraId="3E550B58"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При някои деца и юноши, приемащи Glivec</w:t>
      </w:r>
      <w:r w:rsidR="00190852" w:rsidRPr="00FE6AC6">
        <w:rPr>
          <w:color w:val="000000"/>
          <w:lang w:val="bg-BG"/>
        </w:rPr>
        <w:t>,</w:t>
      </w:r>
      <w:r w:rsidRPr="00FE6AC6">
        <w:rPr>
          <w:color w:val="000000"/>
          <w:lang w:val="bg-BG"/>
        </w:rPr>
        <w:t xml:space="preserve"> може да се наблюдава изоставане в растежа. Лекуващият лекар ще проследява растежа по време на редовните посещения.</w:t>
      </w:r>
    </w:p>
    <w:p w14:paraId="3E550B59" w14:textId="77777777" w:rsidR="001348DB" w:rsidRPr="00FE6AC6" w:rsidRDefault="001348DB" w:rsidP="0063575E">
      <w:pPr>
        <w:widowControl w:val="0"/>
        <w:numPr>
          <w:ilvl w:val="12"/>
          <w:numId w:val="0"/>
        </w:numPr>
        <w:spacing w:line="240" w:lineRule="auto"/>
        <w:ind w:right="-29"/>
        <w:rPr>
          <w:color w:val="000000"/>
          <w:lang w:val="bg-BG"/>
        </w:rPr>
      </w:pPr>
    </w:p>
    <w:p w14:paraId="3E550B5A" w14:textId="77777777" w:rsidR="001348DB" w:rsidRPr="00FE6AC6" w:rsidRDefault="001348DB" w:rsidP="0063575E">
      <w:pPr>
        <w:keepNext/>
        <w:widowControl w:val="0"/>
        <w:numPr>
          <w:ilvl w:val="12"/>
          <w:numId w:val="0"/>
        </w:numPr>
        <w:spacing w:line="240" w:lineRule="auto"/>
        <w:rPr>
          <w:b/>
          <w:color w:val="000000"/>
          <w:lang w:val="bg-BG"/>
        </w:rPr>
      </w:pPr>
      <w:r w:rsidRPr="00FE6AC6">
        <w:rPr>
          <w:b/>
          <w:noProof/>
          <w:szCs w:val="24"/>
          <w:lang w:val="bg-BG"/>
        </w:rPr>
        <w:t xml:space="preserve">Други лекарства и </w:t>
      </w:r>
      <w:r w:rsidRPr="00FE6AC6">
        <w:rPr>
          <w:b/>
          <w:noProof/>
          <w:szCs w:val="24"/>
          <w:lang w:val="en-US"/>
        </w:rPr>
        <w:t>Glivec</w:t>
      </w:r>
    </w:p>
    <w:p w14:paraId="3E550B5B" w14:textId="77777777" w:rsidR="001348DB" w:rsidRPr="00FE6AC6" w:rsidRDefault="001348DB" w:rsidP="0063575E">
      <w:pPr>
        <w:widowControl w:val="0"/>
        <w:numPr>
          <w:ilvl w:val="12"/>
          <w:numId w:val="0"/>
        </w:numPr>
        <w:spacing w:line="240" w:lineRule="auto"/>
        <w:rPr>
          <w:color w:val="000000"/>
          <w:lang w:val="bg-BG"/>
        </w:rPr>
      </w:pPr>
      <w:r w:rsidRPr="00FE6AC6">
        <w:rPr>
          <w:color w:val="000000"/>
          <w:lang w:val="bg-BG"/>
        </w:rPr>
        <w:t xml:space="preserve">Информирайте Вашия лекар или фармацевт, ако приемате, наскоро сте приемали </w:t>
      </w:r>
      <w:r w:rsidRPr="00FE6AC6">
        <w:rPr>
          <w:noProof/>
          <w:szCs w:val="24"/>
          <w:lang w:val="bg-BG"/>
        </w:rPr>
        <w:t>или е възможно да приемете</w:t>
      </w:r>
      <w:r w:rsidRPr="00FE6AC6">
        <w:rPr>
          <w:color w:val="000000"/>
          <w:lang w:val="bg-BG"/>
        </w:rPr>
        <w:t xml:space="preserve"> други лекарства, включително и такива, отпускани без рецепта (като парацетамол), включително и билкови продукти (като жълт кантарион). Някои лекарства могат да повлияят ефекта на</w:t>
      </w:r>
      <w:r w:rsidRPr="00FE6AC6">
        <w:rPr>
          <w:color w:val="000000"/>
          <w:lang w:val="ru-RU"/>
        </w:rPr>
        <w:t xml:space="preserve"> </w:t>
      </w:r>
      <w:r w:rsidRPr="00FE6AC6">
        <w:rPr>
          <w:color w:val="000000"/>
        </w:rPr>
        <w:t>Glivec</w:t>
      </w:r>
      <w:r w:rsidRPr="00FE6AC6">
        <w:rPr>
          <w:color w:val="000000"/>
          <w:lang w:val="bg-BG"/>
        </w:rPr>
        <w:t xml:space="preserve"> при едновременен прием. Те могат да засилят или намалят ефекта на</w:t>
      </w:r>
      <w:r w:rsidRPr="00FE6AC6">
        <w:rPr>
          <w:color w:val="000000"/>
          <w:lang w:val="ru-RU"/>
        </w:rPr>
        <w:t xml:space="preserve"> </w:t>
      </w:r>
      <w:r w:rsidRPr="00FE6AC6">
        <w:rPr>
          <w:color w:val="000000"/>
        </w:rPr>
        <w:t>Glivec</w:t>
      </w:r>
      <w:r w:rsidRPr="00FE6AC6">
        <w:rPr>
          <w:color w:val="000000"/>
          <w:lang w:val="bg-BG"/>
        </w:rPr>
        <w:t xml:space="preserve"> като увеличат нежеланите реакции или като направят </w:t>
      </w:r>
      <w:r w:rsidRPr="00FE6AC6">
        <w:rPr>
          <w:color w:val="000000"/>
        </w:rPr>
        <w:t>Glivec</w:t>
      </w:r>
      <w:r w:rsidRPr="00FE6AC6">
        <w:rPr>
          <w:color w:val="000000"/>
          <w:lang w:val="bg-BG"/>
        </w:rPr>
        <w:t xml:space="preserve"> по-малко ефективен. </w:t>
      </w:r>
      <w:r w:rsidRPr="00FE6AC6">
        <w:rPr>
          <w:color w:val="000000"/>
        </w:rPr>
        <w:t>Glivec</w:t>
      </w:r>
      <w:r w:rsidRPr="00FE6AC6">
        <w:rPr>
          <w:color w:val="000000"/>
          <w:lang w:val="bg-BG"/>
        </w:rPr>
        <w:t xml:space="preserve"> може да има същия ефект спрямо някои други лекарствени продукти.</w:t>
      </w:r>
    </w:p>
    <w:p w14:paraId="3E550B5C" w14:textId="77777777" w:rsidR="00B87D0C" w:rsidRPr="00FE6AC6" w:rsidRDefault="00B87D0C" w:rsidP="0063575E">
      <w:pPr>
        <w:widowControl w:val="0"/>
        <w:numPr>
          <w:ilvl w:val="12"/>
          <w:numId w:val="0"/>
        </w:numPr>
        <w:spacing w:line="240" w:lineRule="auto"/>
        <w:ind w:right="-29"/>
        <w:rPr>
          <w:color w:val="000000"/>
          <w:lang w:val="bg-BG"/>
        </w:rPr>
      </w:pPr>
    </w:p>
    <w:p w14:paraId="3E550B5D" w14:textId="77777777" w:rsidR="00B87D0C" w:rsidRPr="00FE6AC6" w:rsidRDefault="00B87D0C" w:rsidP="0063575E">
      <w:pPr>
        <w:widowControl w:val="0"/>
        <w:numPr>
          <w:ilvl w:val="12"/>
          <w:numId w:val="0"/>
        </w:numPr>
        <w:spacing w:line="240" w:lineRule="auto"/>
        <w:ind w:right="-29"/>
        <w:rPr>
          <w:color w:val="000000"/>
          <w:lang w:val="bg-BG"/>
        </w:rPr>
      </w:pPr>
      <w:r w:rsidRPr="00FE6AC6">
        <w:rPr>
          <w:color w:val="000000"/>
          <w:lang w:val="bg-BG"/>
        </w:rPr>
        <w:t>Информирайте Вашия лекар, ако приемате лекарства, които предотвратяват образуването на кръвни съсиреци.</w:t>
      </w:r>
    </w:p>
    <w:p w14:paraId="3E550B5E" w14:textId="77777777" w:rsidR="001348DB" w:rsidRPr="00FE6AC6" w:rsidRDefault="001348DB" w:rsidP="0063575E">
      <w:pPr>
        <w:widowControl w:val="0"/>
        <w:numPr>
          <w:ilvl w:val="12"/>
          <w:numId w:val="0"/>
        </w:numPr>
        <w:spacing w:line="240" w:lineRule="auto"/>
        <w:ind w:right="-29"/>
        <w:rPr>
          <w:color w:val="000000"/>
          <w:lang w:val="bg-BG"/>
        </w:rPr>
      </w:pPr>
    </w:p>
    <w:p w14:paraId="3E550B5F" w14:textId="77777777" w:rsidR="001348DB" w:rsidRPr="00FE6AC6" w:rsidRDefault="001348DB" w:rsidP="0063575E">
      <w:pPr>
        <w:keepNext/>
        <w:widowControl w:val="0"/>
        <w:numPr>
          <w:ilvl w:val="12"/>
          <w:numId w:val="0"/>
        </w:numPr>
        <w:spacing w:line="240" w:lineRule="auto"/>
        <w:ind w:right="-2"/>
        <w:outlineLvl w:val="0"/>
        <w:rPr>
          <w:b/>
          <w:color w:val="000000"/>
          <w:lang w:val="bg-BG"/>
        </w:rPr>
      </w:pPr>
      <w:r w:rsidRPr="00FE6AC6">
        <w:rPr>
          <w:b/>
          <w:noProof/>
          <w:color w:val="000000"/>
          <w:lang w:val="bg-BG"/>
        </w:rPr>
        <w:t>Бременност, кърмене и фертилитет</w:t>
      </w:r>
    </w:p>
    <w:p w14:paraId="3E550B60"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Ако сте бременна или кърмите</w:t>
      </w:r>
      <w:r w:rsidRPr="00FE6AC6">
        <w:rPr>
          <w:noProof/>
          <w:szCs w:val="24"/>
          <w:lang w:val="bg-BG"/>
        </w:rPr>
        <w:t>, смятате, че може да сте бременна или планирате бременност, посъветвайте</w:t>
      </w:r>
      <w:r w:rsidRPr="00FE6AC6">
        <w:rPr>
          <w:lang w:val="bg-BG"/>
        </w:rPr>
        <w:t xml:space="preserve"> се с Вашия лекар преди употребата на </w:t>
      </w:r>
      <w:r w:rsidRPr="00FE6AC6">
        <w:rPr>
          <w:noProof/>
          <w:szCs w:val="24"/>
          <w:lang w:val="bg-BG"/>
        </w:rPr>
        <w:t>това</w:t>
      </w:r>
      <w:r w:rsidRPr="00FE6AC6">
        <w:rPr>
          <w:lang w:val="bg-BG"/>
        </w:rPr>
        <w:t xml:space="preserve"> лекарство.</w:t>
      </w:r>
    </w:p>
    <w:p w14:paraId="3E550B61"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Glivec не се препоръчва по време на бременност, освен в случай на категорична необходимост, тъй като може да увреди Вашето бебе. Вашият лекар ще обсъди с Вас потенциалните рискове от приема на Glivec по време на бременност.</w:t>
      </w:r>
    </w:p>
    <w:p w14:paraId="3E550B62"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Жени, които е възможно да забременеят, се препоръчва да използват ефективни методи за предпазване от бременност по време на лечението</w:t>
      </w:r>
      <w:r w:rsidR="009E68A9">
        <w:rPr>
          <w:color w:val="000000"/>
          <w:lang w:val="bg-BG"/>
        </w:rPr>
        <w:t xml:space="preserve"> </w:t>
      </w:r>
      <w:r w:rsidR="009E68A9" w:rsidRPr="00FF1E94">
        <w:rPr>
          <w:color w:val="000000"/>
          <w:lang w:val="bg-BG"/>
        </w:rPr>
        <w:t>и в продължение на 15 дни след прекратяване на лечението</w:t>
      </w:r>
      <w:r w:rsidRPr="00FE6AC6">
        <w:rPr>
          <w:color w:val="000000"/>
          <w:lang w:val="bg-BG"/>
        </w:rPr>
        <w:t>.</w:t>
      </w:r>
    </w:p>
    <w:p w14:paraId="3E550B63"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Не кърмете по време на лечението с Glivec</w:t>
      </w:r>
      <w:r w:rsidR="009E68A9">
        <w:rPr>
          <w:color w:val="000000"/>
          <w:lang w:val="bg-BG"/>
        </w:rPr>
        <w:t xml:space="preserve"> </w:t>
      </w:r>
      <w:r w:rsidR="009E68A9" w:rsidRPr="00FF1E94">
        <w:rPr>
          <w:color w:val="000000"/>
          <w:lang w:val="bg-BG"/>
        </w:rPr>
        <w:t xml:space="preserve">и в продължение на 15 дни след прекратяване на лечението, тъй като </w:t>
      </w:r>
      <w:r w:rsidR="009E68A9">
        <w:rPr>
          <w:color w:val="000000"/>
          <w:lang w:val="bg-BG"/>
        </w:rPr>
        <w:t>това може да навреди на В</w:t>
      </w:r>
      <w:r w:rsidR="009E68A9" w:rsidRPr="00FF1E94">
        <w:rPr>
          <w:color w:val="000000"/>
          <w:lang w:val="bg-BG"/>
        </w:rPr>
        <w:t>ашето бебе</w:t>
      </w:r>
      <w:r w:rsidRPr="00FE6AC6">
        <w:rPr>
          <w:color w:val="000000"/>
          <w:lang w:val="bg-BG"/>
        </w:rPr>
        <w:t>.</w:t>
      </w:r>
    </w:p>
    <w:p w14:paraId="3E550B64"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 xml:space="preserve">Пациентите, които се притесняват относно фертилитета си, по време на приема на </w:t>
      </w:r>
      <w:r w:rsidRPr="00FE6AC6">
        <w:rPr>
          <w:color w:val="000000"/>
          <w:lang w:val="en-US"/>
        </w:rPr>
        <w:t>Glivec</w:t>
      </w:r>
      <w:r w:rsidRPr="00FE6AC6">
        <w:rPr>
          <w:color w:val="000000"/>
          <w:lang w:val="bg-BG"/>
        </w:rPr>
        <w:t>, се препоръчва да се консултират с техния лекуващ лекар.</w:t>
      </w:r>
    </w:p>
    <w:p w14:paraId="3E550B65" w14:textId="77777777" w:rsidR="001348DB" w:rsidRPr="00FE6AC6" w:rsidRDefault="001348DB" w:rsidP="0063575E">
      <w:pPr>
        <w:widowControl w:val="0"/>
        <w:numPr>
          <w:ilvl w:val="12"/>
          <w:numId w:val="0"/>
        </w:numPr>
        <w:spacing w:line="240" w:lineRule="auto"/>
        <w:ind w:right="-2"/>
        <w:outlineLvl w:val="0"/>
        <w:rPr>
          <w:color w:val="000000"/>
          <w:lang w:val="bg-BG"/>
        </w:rPr>
      </w:pPr>
    </w:p>
    <w:p w14:paraId="3E550B66" w14:textId="77777777" w:rsidR="001348DB" w:rsidRPr="00FE6AC6" w:rsidRDefault="001348DB" w:rsidP="0063575E">
      <w:pPr>
        <w:keepNext/>
        <w:widowControl w:val="0"/>
        <w:numPr>
          <w:ilvl w:val="12"/>
          <w:numId w:val="0"/>
        </w:numPr>
        <w:spacing w:line="240" w:lineRule="auto"/>
        <w:outlineLvl w:val="0"/>
        <w:rPr>
          <w:color w:val="000000"/>
          <w:lang w:val="bg-BG"/>
        </w:rPr>
      </w:pPr>
      <w:r w:rsidRPr="00FE6AC6">
        <w:rPr>
          <w:b/>
          <w:color w:val="000000"/>
          <w:lang w:val="bg-BG"/>
        </w:rPr>
        <w:t>Шофиране и работа с машини</w:t>
      </w:r>
    </w:p>
    <w:p w14:paraId="3E550B67" w14:textId="77777777" w:rsidR="001348DB" w:rsidRPr="00FE6AC6" w:rsidRDefault="001348DB" w:rsidP="0063575E">
      <w:pPr>
        <w:widowControl w:val="0"/>
        <w:numPr>
          <w:ilvl w:val="12"/>
          <w:numId w:val="0"/>
        </w:numPr>
        <w:spacing w:line="240" w:lineRule="auto"/>
        <w:rPr>
          <w:color w:val="000000"/>
          <w:lang w:val="bg-BG"/>
        </w:rPr>
      </w:pPr>
      <w:r w:rsidRPr="00FE6AC6">
        <w:rPr>
          <w:color w:val="000000"/>
          <w:lang w:val="bg-BG"/>
        </w:rPr>
        <w:t>Възможно е да почувствате замаяност или сънливост или да получите замъгляване на зрението</w:t>
      </w:r>
      <w:r w:rsidR="00D16A08" w:rsidRPr="00FE6AC6">
        <w:rPr>
          <w:color w:val="000000"/>
          <w:lang w:val="bg-BG"/>
        </w:rPr>
        <w:t>,</w:t>
      </w:r>
      <w:r w:rsidRPr="00FE6AC6">
        <w:rPr>
          <w:color w:val="000000"/>
          <w:lang w:val="bg-BG"/>
        </w:rPr>
        <w:t xml:space="preserve"> докато приемате това лекарство. Ако това се случи, н</w:t>
      </w:r>
      <w:r w:rsidRPr="00FE6AC6">
        <w:rPr>
          <w:noProof/>
          <w:color w:val="000000"/>
          <w:lang w:val="bg-BG"/>
        </w:rPr>
        <w:t>е шофирайте и не използвайте никакви инструменти или машини, докато не се почувствате отново добре</w:t>
      </w:r>
      <w:r w:rsidRPr="00FE6AC6">
        <w:rPr>
          <w:color w:val="000000"/>
          <w:lang w:val="bg-BG"/>
        </w:rPr>
        <w:t>.</w:t>
      </w:r>
    </w:p>
    <w:p w14:paraId="3E550B68" w14:textId="77777777" w:rsidR="001348DB" w:rsidRPr="00FE6AC6" w:rsidRDefault="001348DB" w:rsidP="0063575E">
      <w:pPr>
        <w:widowControl w:val="0"/>
        <w:numPr>
          <w:ilvl w:val="12"/>
          <w:numId w:val="0"/>
        </w:numPr>
        <w:spacing w:line="240" w:lineRule="auto"/>
        <w:ind w:right="-2"/>
        <w:rPr>
          <w:color w:val="000000"/>
          <w:lang w:val="bg-BG"/>
        </w:rPr>
      </w:pPr>
    </w:p>
    <w:p w14:paraId="3E550B69" w14:textId="77777777" w:rsidR="001348DB" w:rsidRPr="00FE6AC6" w:rsidRDefault="001348DB" w:rsidP="0063575E">
      <w:pPr>
        <w:widowControl w:val="0"/>
        <w:numPr>
          <w:ilvl w:val="12"/>
          <w:numId w:val="0"/>
        </w:numPr>
        <w:spacing w:line="240" w:lineRule="auto"/>
        <w:ind w:right="-2"/>
        <w:rPr>
          <w:color w:val="000000"/>
          <w:lang w:val="bg-BG"/>
        </w:rPr>
      </w:pPr>
    </w:p>
    <w:p w14:paraId="3E550B6A" w14:textId="77777777" w:rsidR="00426F49" w:rsidRPr="00FE6AC6" w:rsidRDefault="00426F49" w:rsidP="0063575E">
      <w:pPr>
        <w:keepNext/>
        <w:widowControl w:val="0"/>
        <w:tabs>
          <w:tab w:val="clear" w:pos="567"/>
        </w:tabs>
        <w:spacing w:line="240" w:lineRule="auto"/>
        <w:rPr>
          <w:b/>
          <w:color w:val="000000"/>
          <w:lang w:val="bg-BG"/>
        </w:rPr>
      </w:pPr>
      <w:r w:rsidRPr="00FE6AC6">
        <w:rPr>
          <w:b/>
          <w:color w:val="000000"/>
          <w:lang w:val="bg-BG"/>
        </w:rPr>
        <w:t>3.</w:t>
      </w:r>
      <w:r w:rsidRPr="00FE6AC6">
        <w:rPr>
          <w:b/>
          <w:color w:val="000000"/>
          <w:lang w:val="bg-BG"/>
        </w:rPr>
        <w:tab/>
      </w:r>
      <w:r w:rsidR="008A3746" w:rsidRPr="00FE6AC6">
        <w:rPr>
          <w:b/>
          <w:noProof/>
          <w:szCs w:val="24"/>
          <w:lang w:val="bg-BG"/>
        </w:rPr>
        <w:t>Как да приемате</w:t>
      </w:r>
      <w:r w:rsidR="008A3746" w:rsidRPr="00FE6AC6">
        <w:rPr>
          <w:b/>
          <w:color w:val="000000"/>
          <w:lang w:val="bg-BG"/>
        </w:rPr>
        <w:t xml:space="preserve"> </w:t>
      </w:r>
      <w:r w:rsidR="008A3746" w:rsidRPr="00FE6AC6">
        <w:rPr>
          <w:b/>
          <w:noProof/>
          <w:color w:val="000000"/>
          <w:lang w:val="en-US"/>
        </w:rPr>
        <w:t>Glivec</w:t>
      </w:r>
    </w:p>
    <w:p w14:paraId="3E550B6B" w14:textId="77777777" w:rsidR="00426F49" w:rsidRPr="00FE6AC6" w:rsidRDefault="00426F49" w:rsidP="0063575E">
      <w:pPr>
        <w:keepNext/>
        <w:widowControl w:val="0"/>
        <w:tabs>
          <w:tab w:val="clear" w:pos="567"/>
        </w:tabs>
        <w:spacing w:line="240" w:lineRule="auto"/>
        <w:rPr>
          <w:color w:val="000000"/>
          <w:lang w:val="bg-BG"/>
        </w:rPr>
      </w:pPr>
    </w:p>
    <w:p w14:paraId="3E550B6C" w14:textId="77777777" w:rsidR="00426F49" w:rsidRPr="00FE6AC6" w:rsidRDefault="00426F49" w:rsidP="0063575E">
      <w:pPr>
        <w:widowControl w:val="0"/>
        <w:tabs>
          <w:tab w:val="clear" w:pos="567"/>
        </w:tabs>
        <w:spacing w:line="240" w:lineRule="auto"/>
        <w:ind w:right="-2"/>
        <w:rPr>
          <w:noProof/>
          <w:color w:val="000000"/>
          <w:lang w:val="bg-BG"/>
        </w:rPr>
      </w:pPr>
      <w:r w:rsidRPr="00FE6AC6">
        <w:rPr>
          <w:noProof/>
          <w:color w:val="000000"/>
          <w:lang w:val="bg-BG"/>
        </w:rPr>
        <w:t xml:space="preserve">Вашият лекар Ви е предписал </w:t>
      </w:r>
      <w:r w:rsidRPr="00FE6AC6">
        <w:rPr>
          <w:noProof/>
          <w:color w:val="000000"/>
          <w:lang w:val="en-US"/>
        </w:rPr>
        <w:t>Glivec</w:t>
      </w:r>
      <w:r w:rsidRPr="00FE6AC6">
        <w:rPr>
          <w:noProof/>
          <w:color w:val="000000"/>
          <w:lang w:val="bg-BG"/>
        </w:rPr>
        <w:t xml:space="preserve">, защото страдате от сериозно заболяване. </w:t>
      </w:r>
      <w:r w:rsidRPr="00FE6AC6">
        <w:rPr>
          <w:noProof/>
          <w:color w:val="000000"/>
          <w:lang w:val="en-US"/>
        </w:rPr>
        <w:t>Glivec</w:t>
      </w:r>
      <w:r w:rsidRPr="00FE6AC6">
        <w:rPr>
          <w:noProof/>
          <w:color w:val="000000"/>
          <w:lang w:val="bg-BG"/>
        </w:rPr>
        <w:t xml:space="preserve"> може да Ви помогне да се преборите с това заболяване.</w:t>
      </w:r>
    </w:p>
    <w:p w14:paraId="3E550B6D" w14:textId="77777777" w:rsidR="00426F49" w:rsidRPr="00FE6AC6" w:rsidRDefault="00426F49" w:rsidP="0063575E">
      <w:pPr>
        <w:widowControl w:val="0"/>
        <w:tabs>
          <w:tab w:val="clear" w:pos="567"/>
        </w:tabs>
        <w:spacing w:line="240" w:lineRule="auto"/>
        <w:ind w:right="-2"/>
        <w:rPr>
          <w:noProof/>
          <w:color w:val="000000"/>
          <w:lang w:val="bg-BG"/>
        </w:rPr>
      </w:pPr>
    </w:p>
    <w:p w14:paraId="3E550B6E" w14:textId="77777777" w:rsidR="00426F49" w:rsidRPr="00FE6AC6" w:rsidRDefault="00426F49" w:rsidP="0063575E">
      <w:pPr>
        <w:widowControl w:val="0"/>
        <w:tabs>
          <w:tab w:val="clear" w:pos="567"/>
        </w:tabs>
        <w:spacing w:line="240" w:lineRule="auto"/>
        <w:ind w:right="-2"/>
        <w:rPr>
          <w:color w:val="000000"/>
          <w:lang w:val="bg-BG"/>
        </w:rPr>
      </w:pPr>
      <w:r w:rsidRPr="00FE6AC6">
        <w:rPr>
          <w:noProof/>
          <w:color w:val="000000"/>
          <w:lang w:val="bg-BG"/>
        </w:rPr>
        <w:t xml:space="preserve">Ето защо, винаги приемайте </w:t>
      </w:r>
      <w:r w:rsidR="008A3746" w:rsidRPr="00FE6AC6">
        <w:rPr>
          <w:noProof/>
          <w:color w:val="000000"/>
          <w:lang w:val="bg-BG"/>
        </w:rPr>
        <w:t>това лекарство</w:t>
      </w:r>
      <w:r w:rsidRPr="00FE6AC6">
        <w:rPr>
          <w:noProof/>
          <w:color w:val="000000"/>
          <w:lang w:val="bg-BG"/>
        </w:rPr>
        <w:t xml:space="preserve"> точно както Ви е казал Вашият лекар</w:t>
      </w:r>
      <w:r w:rsidR="008A3746" w:rsidRPr="00FE6AC6">
        <w:rPr>
          <w:noProof/>
          <w:color w:val="000000"/>
          <w:lang w:val="bg-BG"/>
        </w:rPr>
        <w:t xml:space="preserve"> или фармацевт</w:t>
      </w:r>
      <w:r w:rsidRPr="00FE6AC6">
        <w:rPr>
          <w:noProof/>
          <w:color w:val="000000"/>
          <w:lang w:val="bg-BG"/>
        </w:rPr>
        <w:t>. Важно е да го правите толкова дълго, колкото Ви е казал Вашият лекар</w:t>
      </w:r>
      <w:r w:rsidR="008A3746" w:rsidRPr="00FE6AC6">
        <w:rPr>
          <w:noProof/>
          <w:color w:val="000000"/>
          <w:lang w:val="bg-BG"/>
        </w:rPr>
        <w:t xml:space="preserve"> или фармацевт</w:t>
      </w:r>
      <w:r w:rsidRPr="00FE6AC6">
        <w:rPr>
          <w:noProof/>
          <w:color w:val="000000"/>
          <w:lang w:val="bg-BG"/>
        </w:rPr>
        <w:t>. Ако не сте сигурни в нещо, попитайте Вашия лекар или фармацевт</w:t>
      </w:r>
      <w:r w:rsidRPr="00FE6AC6">
        <w:rPr>
          <w:color w:val="000000"/>
          <w:lang w:val="bg-BG"/>
        </w:rPr>
        <w:t>.</w:t>
      </w:r>
    </w:p>
    <w:p w14:paraId="3E550B6F" w14:textId="77777777" w:rsidR="00426F49" w:rsidRPr="00FE6AC6" w:rsidRDefault="00426F49" w:rsidP="0063575E">
      <w:pPr>
        <w:widowControl w:val="0"/>
        <w:numPr>
          <w:ilvl w:val="12"/>
          <w:numId w:val="0"/>
        </w:numPr>
        <w:spacing w:line="240" w:lineRule="auto"/>
        <w:ind w:right="-2"/>
        <w:rPr>
          <w:color w:val="000000"/>
          <w:lang w:val="bg-BG"/>
        </w:rPr>
      </w:pPr>
    </w:p>
    <w:p w14:paraId="3E550B70" w14:textId="77777777" w:rsidR="00426F49" w:rsidRPr="00FE6AC6" w:rsidRDefault="00426F49" w:rsidP="0063575E">
      <w:pPr>
        <w:widowControl w:val="0"/>
        <w:numPr>
          <w:ilvl w:val="12"/>
          <w:numId w:val="0"/>
        </w:numPr>
        <w:spacing w:line="240" w:lineRule="auto"/>
        <w:ind w:right="-2"/>
        <w:rPr>
          <w:color w:val="000000"/>
          <w:lang w:val="bg-BG"/>
        </w:rPr>
      </w:pPr>
      <w:r w:rsidRPr="00FE6AC6">
        <w:rPr>
          <w:color w:val="000000"/>
          <w:lang w:val="bg-BG"/>
        </w:rPr>
        <w:t xml:space="preserve">Не спирайте приема на </w:t>
      </w:r>
      <w:r w:rsidRPr="00FE6AC6">
        <w:rPr>
          <w:color w:val="000000"/>
          <w:lang w:val="en-US"/>
        </w:rPr>
        <w:t>Glivec</w:t>
      </w:r>
      <w:r w:rsidRPr="00FE6AC6">
        <w:rPr>
          <w:color w:val="000000"/>
          <w:lang w:val="bg-BG"/>
        </w:rPr>
        <w:t>, докато Вашият лекар не Ви каже да го направите. Ако нямате възможност да приемате лекарството, както Ви е казал Вашият лекар или почувствате, че вече не се нуждаете от него, свържете се с Вашия лекар незабавно.</w:t>
      </w:r>
    </w:p>
    <w:p w14:paraId="3E550B71" w14:textId="77777777" w:rsidR="00426F49" w:rsidRPr="00FE6AC6" w:rsidRDefault="00426F49" w:rsidP="0063575E">
      <w:pPr>
        <w:widowControl w:val="0"/>
        <w:numPr>
          <w:ilvl w:val="12"/>
          <w:numId w:val="0"/>
        </w:numPr>
        <w:spacing w:line="240" w:lineRule="auto"/>
        <w:ind w:right="-2"/>
        <w:rPr>
          <w:color w:val="000000"/>
          <w:lang w:val="bg-BG"/>
        </w:rPr>
      </w:pPr>
    </w:p>
    <w:p w14:paraId="3E550B72" w14:textId="77777777" w:rsidR="00426F49" w:rsidRPr="00FE6AC6" w:rsidRDefault="00426F49" w:rsidP="0063575E">
      <w:pPr>
        <w:keepNext/>
        <w:widowControl w:val="0"/>
        <w:numPr>
          <w:ilvl w:val="12"/>
          <w:numId w:val="0"/>
        </w:numPr>
        <w:spacing w:line="240" w:lineRule="auto"/>
        <w:rPr>
          <w:b/>
          <w:color w:val="000000"/>
          <w:lang w:val="bg-BG"/>
        </w:rPr>
      </w:pPr>
      <w:r w:rsidRPr="00FE6AC6">
        <w:rPr>
          <w:b/>
          <w:color w:val="000000"/>
          <w:lang w:val="bg-BG"/>
        </w:rPr>
        <w:t xml:space="preserve">Колко </w:t>
      </w:r>
      <w:r w:rsidR="008A3746" w:rsidRPr="00FE6AC6">
        <w:rPr>
          <w:b/>
          <w:color w:val="000000"/>
          <w:lang w:val="en-US"/>
        </w:rPr>
        <w:t>Glivec</w:t>
      </w:r>
      <w:r w:rsidR="008A3746" w:rsidRPr="00FE6AC6">
        <w:rPr>
          <w:b/>
          <w:color w:val="000000"/>
          <w:lang w:val="bg-BG"/>
        </w:rPr>
        <w:t xml:space="preserve"> </w:t>
      </w:r>
      <w:r w:rsidRPr="00FE6AC6">
        <w:rPr>
          <w:b/>
          <w:color w:val="000000"/>
          <w:lang w:val="bg-BG"/>
        </w:rPr>
        <w:t>да приемате</w:t>
      </w:r>
    </w:p>
    <w:p w14:paraId="3E550B73" w14:textId="77777777" w:rsidR="00426F49" w:rsidRPr="00FE6AC6" w:rsidRDefault="00426F49" w:rsidP="0063575E">
      <w:pPr>
        <w:keepNext/>
        <w:widowControl w:val="0"/>
        <w:numPr>
          <w:ilvl w:val="12"/>
          <w:numId w:val="0"/>
        </w:numPr>
        <w:spacing w:line="240" w:lineRule="auto"/>
        <w:rPr>
          <w:color w:val="000000"/>
          <w:lang w:val="bg-BG"/>
        </w:rPr>
      </w:pPr>
    </w:p>
    <w:p w14:paraId="3E550B74" w14:textId="77777777" w:rsidR="00426F49" w:rsidRPr="00FE6AC6" w:rsidRDefault="00426F49" w:rsidP="0063575E">
      <w:pPr>
        <w:keepNext/>
        <w:widowControl w:val="0"/>
        <w:numPr>
          <w:ilvl w:val="12"/>
          <w:numId w:val="0"/>
        </w:numPr>
        <w:spacing w:line="240" w:lineRule="auto"/>
        <w:rPr>
          <w:b/>
          <w:color w:val="000000"/>
          <w:lang w:val="bg-BG"/>
        </w:rPr>
      </w:pPr>
      <w:r w:rsidRPr="00FE6AC6">
        <w:rPr>
          <w:b/>
          <w:color w:val="000000"/>
          <w:lang w:val="bg-BG"/>
        </w:rPr>
        <w:t>Употреба при възрастни</w:t>
      </w:r>
    </w:p>
    <w:p w14:paraId="3E550B75" w14:textId="77777777" w:rsidR="00426F49" w:rsidRPr="00FE6AC6" w:rsidRDefault="00426F49" w:rsidP="0063575E">
      <w:pPr>
        <w:widowControl w:val="0"/>
        <w:numPr>
          <w:ilvl w:val="12"/>
          <w:numId w:val="0"/>
        </w:numPr>
        <w:spacing w:line="240" w:lineRule="auto"/>
        <w:ind w:right="-2"/>
        <w:rPr>
          <w:color w:val="000000"/>
          <w:lang w:val="bg-BG"/>
        </w:rPr>
      </w:pPr>
      <w:r w:rsidRPr="00FE6AC6">
        <w:rPr>
          <w:color w:val="000000"/>
          <w:lang w:val="bg-BG"/>
        </w:rPr>
        <w:t>Вашият лекар ще Ви каже точно колко капсули Glivec да вземате.</w:t>
      </w:r>
    </w:p>
    <w:p w14:paraId="3E550B76" w14:textId="77777777" w:rsidR="00426F49" w:rsidRPr="00FE6AC6" w:rsidRDefault="00426F49" w:rsidP="0063575E">
      <w:pPr>
        <w:widowControl w:val="0"/>
        <w:numPr>
          <w:ilvl w:val="12"/>
          <w:numId w:val="0"/>
        </w:numPr>
        <w:spacing w:line="240" w:lineRule="auto"/>
        <w:ind w:right="-2"/>
        <w:rPr>
          <w:color w:val="000000"/>
          <w:lang w:val="bg-BG"/>
        </w:rPr>
      </w:pPr>
    </w:p>
    <w:p w14:paraId="3E550B77" w14:textId="77777777" w:rsidR="00426F49" w:rsidRPr="00FE6AC6" w:rsidRDefault="00426F49" w:rsidP="0063575E">
      <w:pPr>
        <w:keepNext/>
        <w:widowControl w:val="0"/>
        <w:numPr>
          <w:ilvl w:val="0"/>
          <w:numId w:val="22"/>
        </w:numPr>
        <w:spacing w:line="240" w:lineRule="auto"/>
        <w:ind w:right="-2" w:hanging="1128"/>
        <w:rPr>
          <w:color w:val="000000"/>
          <w:lang w:val="bg-BG"/>
        </w:rPr>
      </w:pPr>
      <w:r w:rsidRPr="00FE6AC6">
        <w:rPr>
          <w:b/>
          <w:color w:val="000000"/>
          <w:lang w:val="bg-BG"/>
        </w:rPr>
        <w:t>Ако се лекувате за ХМЛ:</w:t>
      </w:r>
    </w:p>
    <w:p w14:paraId="3E550B78" w14:textId="77777777" w:rsidR="00426F49" w:rsidRPr="00FE6AC6" w:rsidRDefault="00426F49" w:rsidP="0063575E">
      <w:pPr>
        <w:keepNext/>
        <w:widowControl w:val="0"/>
        <w:spacing w:line="240" w:lineRule="auto"/>
        <w:ind w:right="-2" w:firstLine="567"/>
        <w:rPr>
          <w:color w:val="000000"/>
          <w:lang w:val="bg-BG"/>
        </w:rPr>
      </w:pPr>
      <w:r w:rsidRPr="00FE6AC6">
        <w:rPr>
          <w:color w:val="000000"/>
          <w:lang w:val="bg-BG"/>
        </w:rPr>
        <w:t>В зависимост от Вашето състояние обичайната начална доза е 400</w:t>
      </w:r>
      <w:r w:rsidRPr="00FE6AC6">
        <w:rPr>
          <w:color w:val="000000"/>
          <w:lang w:val="en-US"/>
        </w:rPr>
        <w:t> mg</w:t>
      </w:r>
      <w:r w:rsidRPr="00FE6AC6">
        <w:rPr>
          <w:color w:val="000000"/>
          <w:lang w:val="ru-RU"/>
        </w:rPr>
        <w:t xml:space="preserve"> </w:t>
      </w:r>
      <w:r w:rsidRPr="00FE6AC6">
        <w:rPr>
          <w:color w:val="000000"/>
          <w:lang w:val="bg-BG"/>
        </w:rPr>
        <w:t>или 600</w:t>
      </w:r>
      <w:r w:rsidRPr="00FE6AC6">
        <w:rPr>
          <w:color w:val="000000"/>
          <w:lang w:val="en-US"/>
        </w:rPr>
        <w:t> mg</w:t>
      </w:r>
      <w:r w:rsidRPr="00FE6AC6">
        <w:rPr>
          <w:color w:val="000000"/>
          <w:lang w:val="bg-BG"/>
        </w:rPr>
        <w:t>:</w:t>
      </w:r>
    </w:p>
    <w:p w14:paraId="3E550B79" w14:textId="77777777" w:rsidR="00426F49" w:rsidRPr="00FE6AC6" w:rsidRDefault="00426F49" w:rsidP="0063575E">
      <w:pPr>
        <w:widowControl w:val="0"/>
        <w:numPr>
          <w:ilvl w:val="12"/>
          <w:numId w:val="0"/>
        </w:numPr>
        <w:tabs>
          <w:tab w:val="clear" w:pos="567"/>
        </w:tabs>
        <w:spacing w:line="240" w:lineRule="auto"/>
        <w:ind w:left="1134" w:right="-2" w:hanging="567"/>
        <w:rPr>
          <w:color w:val="000000"/>
          <w:lang w:val="bg-BG"/>
        </w:rPr>
      </w:pPr>
      <w:r w:rsidRPr="00FE6AC6">
        <w:rPr>
          <w:color w:val="000000"/>
          <w:lang w:val="bg-BG"/>
        </w:rPr>
        <w:t>-</w:t>
      </w:r>
      <w:r w:rsidRPr="00FE6AC6">
        <w:rPr>
          <w:color w:val="000000"/>
          <w:lang w:val="bg-BG"/>
        </w:rPr>
        <w:tab/>
      </w:r>
      <w:r w:rsidRPr="00FE6AC6">
        <w:rPr>
          <w:b/>
          <w:color w:val="000000"/>
          <w:lang w:val="bg-BG"/>
        </w:rPr>
        <w:t>400 </w:t>
      </w:r>
      <w:r w:rsidRPr="00FE6AC6">
        <w:rPr>
          <w:b/>
          <w:color w:val="000000"/>
          <w:lang w:val="en-US"/>
        </w:rPr>
        <w:t>mg</w:t>
      </w:r>
      <w:r w:rsidRPr="00FE6AC6">
        <w:rPr>
          <w:color w:val="000000"/>
          <w:lang w:val="bg-BG"/>
        </w:rPr>
        <w:t xml:space="preserve">, които се приемат като 4 капсули </w:t>
      </w:r>
      <w:r w:rsidRPr="00FE6AC6">
        <w:rPr>
          <w:b/>
          <w:color w:val="000000"/>
          <w:lang w:val="bg-BG"/>
        </w:rPr>
        <w:t>веднъж</w:t>
      </w:r>
      <w:r w:rsidRPr="00FE6AC6">
        <w:rPr>
          <w:color w:val="000000"/>
          <w:lang w:val="bg-BG"/>
        </w:rPr>
        <w:t xml:space="preserve"> дневно</w:t>
      </w:r>
      <w:r w:rsidRPr="00FE6AC6">
        <w:rPr>
          <w:color w:val="000000"/>
          <w:lang w:val="ru-RU"/>
        </w:rPr>
        <w:t>.</w:t>
      </w:r>
    </w:p>
    <w:p w14:paraId="3E550B7A" w14:textId="77777777" w:rsidR="00426F49" w:rsidRPr="00FE6AC6" w:rsidRDefault="00426F49" w:rsidP="0063575E">
      <w:pPr>
        <w:widowControl w:val="0"/>
        <w:numPr>
          <w:ilvl w:val="12"/>
          <w:numId w:val="0"/>
        </w:numPr>
        <w:tabs>
          <w:tab w:val="clear" w:pos="567"/>
        </w:tabs>
        <w:spacing w:line="240" w:lineRule="auto"/>
        <w:ind w:left="1134" w:right="-2" w:hanging="567"/>
        <w:rPr>
          <w:color w:val="000000"/>
          <w:lang w:val="bg-BG"/>
        </w:rPr>
      </w:pPr>
      <w:r w:rsidRPr="00FE6AC6">
        <w:rPr>
          <w:color w:val="000000"/>
          <w:lang w:val="bg-BG"/>
        </w:rPr>
        <w:t>-</w:t>
      </w:r>
      <w:r w:rsidRPr="00FE6AC6">
        <w:rPr>
          <w:color w:val="000000"/>
          <w:lang w:val="bg-BG"/>
        </w:rPr>
        <w:tab/>
      </w:r>
      <w:r w:rsidRPr="00FE6AC6">
        <w:rPr>
          <w:b/>
          <w:color w:val="000000"/>
          <w:lang w:val="bg-BG"/>
        </w:rPr>
        <w:t>600 </w:t>
      </w:r>
      <w:r w:rsidRPr="00FE6AC6">
        <w:rPr>
          <w:b/>
          <w:color w:val="000000"/>
          <w:lang w:val="en-US"/>
        </w:rPr>
        <w:t>mg</w:t>
      </w:r>
      <w:r w:rsidRPr="00FE6AC6">
        <w:rPr>
          <w:color w:val="000000"/>
          <w:lang w:val="bg-BG"/>
        </w:rPr>
        <w:t xml:space="preserve">, които се приемат като 6 капсули </w:t>
      </w:r>
      <w:r w:rsidRPr="00FE6AC6">
        <w:rPr>
          <w:b/>
          <w:color w:val="000000"/>
          <w:lang w:val="bg-BG"/>
        </w:rPr>
        <w:t>веднъж</w:t>
      </w:r>
      <w:r w:rsidRPr="00FE6AC6">
        <w:rPr>
          <w:color w:val="000000"/>
          <w:lang w:val="bg-BG"/>
        </w:rPr>
        <w:t xml:space="preserve"> дневно.</w:t>
      </w:r>
    </w:p>
    <w:p w14:paraId="3E550B7B" w14:textId="77777777" w:rsidR="00426F49" w:rsidRPr="00FE6AC6" w:rsidRDefault="00426F49" w:rsidP="0063575E">
      <w:pPr>
        <w:widowControl w:val="0"/>
        <w:numPr>
          <w:ilvl w:val="12"/>
          <w:numId w:val="0"/>
        </w:numPr>
        <w:spacing w:line="240" w:lineRule="auto"/>
        <w:ind w:right="-2"/>
        <w:rPr>
          <w:color w:val="000000"/>
          <w:lang w:val="bg-BG"/>
        </w:rPr>
      </w:pPr>
    </w:p>
    <w:p w14:paraId="3E550B7C" w14:textId="77777777" w:rsidR="00426F49" w:rsidRPr="00FE6AC6" w:rsidRDefault="00426F49" w:rsidP="0063575E">
      <w:pPr>
        <w:keepNext/>
        <w:widowControl w:val="0"/>
        <w:numPr>
          <w:ilvl w:val="0"/>
          <w:numId w:val="22"/>
        </w:numPr>
        <w:tabs>
          <w:tab w:val="clear" w:pos="1128"/>
          <w:tab w:val="num" w:pos="567"/>
        </w:tabs>
        <w:spacing w:line="240" w:lineRule="auto"/>
        <w:ind w:left="567" w:right="-2" w:hanging="567"/>
        <w:rPr>
          <w:color w:val="000000"/>
          <w:lang w:val="bg-BG"/>
        </w:rPr>
      </w:pPr>
      <w:r w:rsidRPr="00FE6AC6">
        <w:rPr>
          <w:b/>
          <w:color w:val="000000"/>
          <w:lang w:val="bg-BG"/>
        </w:rPr>
        <w:t>Ако се лекувате за ГИСТ:</w:t>
      </w:r>
    </w:p>
    <w:p w14:paraId="3E550B7D" w14:textId="77777777" w:rsidR="00426F49" w:rsidRPr="00FE6AC6" w:rsidRDefault="00426F49" w:rsidP="0063575E">
      <w:pPr>
        <w:widowControl w:val="0"/>
        <w:tabs>
          <w:tab w:val="clear" w:pos="567"/>
        </w:tabs>
        <w:spacing w:line="240" w:lineRule="auto"/>
        <w:ind w:left="567" w:right="-2"/>
        <w:rPr>
          <w:color w:val="000000"/>
          <w:lang w:val="bg-BG"/>
        </w:rPr>
      </w:pPr>
      <w:r w:rsidRPr="00FE6AC6">
        <w:rPr>
          <w:color w:val="000000"/>
          <w:lang w:val="bg-BG"/>
        </w:rPr>
        <w:t>Началната доза е 400 </w:t>
      </w:r>
      <w:r w:rsidRPr="00FE6AC6">
        <w:rPr>
          <w:color w:val="000000"/>
          <w:lang w:val="en-US"/>
        </w:rPr>
        <w:t>mg</w:t>
      </w:r>
      <w:r w:rsidRPr="00FE6AC6">
        <w:rPr>
          <w:color w:val="000000"/>
          <w:lang w:val="bg-BG"/>
        </w:rPr>
        <w:t xml:space="preserve">, които се приемат като 4 капсули </w:t>
      </w:r>
      <w:r w:rsidRPr="00FE6AC6">
        <w:rPr>
          <w:b/>
          <w:color w:val="000000"/>
          <w:lang w:val="bg-BG"/>
        </w:rPr>
        <w:t>веднъж</w:t>
      </w:r>
      <w:r w:rsidRPr="00FE6AC6">
        <w:rPr>
          <w:color w:val="000000"/>
          <w:lang w:val="bg-BG"/>
        </w:rPr>
        <w:t xml:space="preserve"> дневно.</w:t>
      </w:r>
    </w:p>
    <w:p w14:paraId="3E550B7E" w14:textId="77777777" w:rsidR="00426F49" w:rsidRPr="00FE6AC6" w:rsidRDefault="00426F49" w:rsidP="0063575E">
      <w:pPr>
        <w:widowControl w:val="0"/>
        <w:numPr>
          <w:ilvl w:val="12"/>
          <w:numId w:val="0"/>
        </w:numPr>
        <w:spacing w:line="240" w:lineRule="auto"/>
        <w:ind w:right="-2"/>
        <w:rPr>
          <w:color w:val="000000"/>
          <w:lang w:val="bg-BG"/>
        </w:rPr>
      </w:pPr>
    </w:p>
    <w:p w14:paraId="3E550B7F" w14:textId="77777777" w:rsidR="00426F49" w:rsidRPr="00FE6AC6" w:rsidRDefault="00426F49" w:rsidP="0063575E">
      <w:pPr>
        <w:widowControl w:val="0"/>
        <w:numPr>
          <w:ilvl w:val="12"/>
          <w:numId w:val="0"/>
        </w:numPr>
        <w:spacing w:line="240" w:lineRule="auto"/>
        <w:ind w:right="-2"/>
        <w:rPr>
          <w:color w:val="000000"/>
          <w:lang w:val="bg-BG"/>
        </w:rPr>
      </w:pPr>
      <w:r w:rsidRPr="00FE6AC6">
        <w:rPr>
          <w:color w:val="000000"/>
          <w:lang w:val="bg-BG"/>
        </w:rPr>
        <w:t>При лечение на ХМЛ и ГИСТ, Вашият лекар може да Ви предпише по-висока или по-ниска доза, в зависимост от това как се повлиявате от лечението. Ако Вашата доза е 800 mg (8 капсули), трябва да приемате 4 капсули сутрин и 4 капсули вечер.</w:t>
      </w:r>
    </w:p>
    <w:p w14:paraId="3E550B80" w14:textId="77777777" w:rsidR="00426F49" w:rsidRPr="00FE6AC6" w:rsidRDefault="00426F49" w:rsidP="0063575E">
      <w:pPr>
        <w:widowControl w:val="0"/>
        <w:numPr>
          <w:ilvl w:val="12"/>
          <w:numId w:val="0"/>
        </w:numPr>
        <w:spacing w:line="240" w:lineRule="auto"/>
        <w:ind w:right="-2"/>
        <w:rPr>
          <w:color w:val="000000"/>
          <w:lang w:val="bg-BG"/>
        </w:rPr>
      </w:pPr>
    </w:p>
    <w:p w14:paraId="3E550B81" w14:textId="77777777" w:rsidR="00426F49" w:rsidRPr="00FE6AC6" w:rsidRDefault="00426F49" w:rsidP="0063575E">
      <w:pPr>
        <w:keepNext/>
        <w:widowControl w:val="0"/>
        <w:numPr>
          <w:ilvl w:val="0"/>
          <w:numId w:val="22"/>
        </w:numPr>
        <w:tabs>
          <w:tab w:val="clear" w:pos="1128"/>
          <w:tab w:val="num" w:pos="567"/>
        </w:tabs>
        <w:spacing w:line="240" w:lineRule="auto"/>
        <w:ind w:left="567" w:right="-2" w:hanging="567"/>
        <w:rPr>
          <w:color w:val="000000"/>
          <w:lang w:val="bg-BG"/>
        </w:rPr>
      </w:pPr>
      <w:r w:rsidRPr="00FE6AC6">
        <w:rPr>
          <w:b/>
          <w:color w:val="000000"/>
          <w:lang w:val="bg-BG"/>
        </w:rPr>
        <w:t xml:space="preserve">Ако се лекувате за </w:t>
      </w:r>
      <w:r w:rsidRPr="00FE6AC6">
        <w:rPr>
          <w:b/>
          <w:color w:val="000000"/>
          <w:lang w:val="en-US"/>
        </w:rPr>
        <w:t>Ph</w:t>
      </w:r>
      <w:r w:rsidRPr="00FE6AC6">
        <w:rPr>
          <w:b/>
          <w:color w:val="000000"/>
          <w:lang w:val="ru-RU"/>
        </w:rPr>
        <w:t>-положителна ОЛЛ:</w:t>
      </w:r>
    </w:p>
    <w:p w14:paraId="3E550B82" w14:textId="77777777" w:rsidR="00426F49" w:rsidRPr="00FE6AC6" w:rsidRDefault="00426F49" w:rsidP="0063575E">
      <w:pPr>
        <w:widowControl w:val="0"/>
        <w:tabs>
          <w:tab w:val="clear" w:pos="567"/>
        </w:tabs>
        <w:spacing w:line="240" w:lineRule="auto"/>
        <w:ind w:left="567" w:right="-2"/>
        <w:rPr>
          <w:color w:val="000000"/>
          <w:lang w:val="bg-BG"/>
        </w:rPr>
      </w:pPr>
      <w:r w:rsidRPr="00FE6AC6">
        <w:rPr>
          <w:color w:val="000000"/>
          <w:lang w:val="bg-BG"/>
        </w:rPr>
        <w:t>Н</w:t>
      </w:r>
      <w:r w:rsidRPr="00FE6AC6">
        <w:rPr>
          <w:color w:val="000000"/>
          <w:lang w:val="ru-RU"/>
        </w:rPr>
        <w:t>ачалната доза е 6</w:t>
      </w:r>
      <w:r w:rsidRPr="00FE6AC6">
        <w:rPr>
          <w:color w:val="000000"/>
          <w:lang w:val="bg-BG"/>
        </w:rPr>
        <w:t>00 </w:t>
      </w:r>
      <w:r w:rsidRPr="00FE6AC6">
        <w:rPr>
          <w:color w:val="000000"/>
          <w:lang w:val="en-US"/>
        </w:rPr>
        <w:t>mg</w:t>
      </w:r>
      <w:r w:rsidRPr="00FE6AC6">
        <w:rPr>
          <w:color w:val="000000"/>
          <w:lang w:val="bg-BG"/>
        </w:rPr>
        <w:t xml:space="preserve">, които се приемат като 6 капсули </w:t>
      </w:r>
      <w:r w:rsidRPr="00FE6AC6">
        <w:rPr>
          <w:b/>
          <w:color w:val="000000"/>
          <w:lang w:val="bg-BG"/>
        </w:rPr>
        <w:t>веднъж</w:t>
      </w:r>
      <w:r w:rsidRPr="00FE6AC6">
        <w:rPr>
          <w:color w:val="000000"/>
          <w:lang w:val="bg-BG"/>
        </w:rPr>
        <w:t xml:space="preserve"> дневно.</w:t>
      </w:r>
    </w:p>
    <w:p w14:paraId="3E550B83" w14:textId="77777777" w:rsidR="00426F49" w:rsidRPr="00FE6AC6" w:rsidRDefault="00426F49" w:rsidP="0063575E">
      <w:pPr>
        <w:pStyle w:val="Listlevel1"/>
        <w:widowControl w:val="0"/>
        <w:tabs>
          <w:tab w:val="left" w:pos="720"/>
        </w:tabs>
        <w:spacing w:before="0" w:after="0"/>
        <w:ind w:left="0" w:firstLine="0"/>
        <w:rPr>
          <w:color w:val="000000"/>
          <w:sz w:val="22"/>
          <w:szCs w:val="22"/>
          <w:lang w:val="bg-BG"/>
        </w:rPr>
      </w:pPr>
    </w:p>
    <w:p w14:paraId="3E550B84" w14:textId="77777777" w:rsidR="00426F49" w:rsidRPr="00FE6AC6" w:rsidRDefault="00426F49" w:rsidP="0063575E">
      <w:pPr>
        <w:pStyle w:val="Listlevel1"/>
        <w:keepNext/>
        <w:widowControl w:val="0"/>
        <w:numPr>
          <w:ilvl w:val="0"/>
          <w:numId w:val="22"/>
        </w:numPr>
        <w:tabs>
          <w:tab w:val="clear" w:pos="1128"/>
          <w:tab w:val="num" w:pos="567"/>
        </w:tabs>
        <w:spacing w:before="0" w:after="0"/>
        <w:ind w:left="567" w:hanging="567"/>
        <w:rPr>
          <w:color w:val="000000"/>
          <w:sz w:val="22"/>
          <w:szCs w:val="22"/>
          <w:lang w:val="bg-BG"/>
        </w:rPr>
      </w:pPr>
      <w:r w:rsidRPr="00FE6AC6">
        <w:rPr>
          <w:b/>
          <w:color w:val="000000"/>
          <w:sz w:val="22"/>
          <w:szCs w:val="22"/>
          <w:lang w:val="bg-BG"/>
        </w:rPr>
        <w:t>Ако се лекувате за МДС/МПЗ:</w:t>
      </w:r>
    </w:p>
    <w:p w14:paraId="3E550B85" w14:textId="77777777" w:rsidR="00426F49" w:rsidRPr="00FE6AC6" w:rsidRDefault="00426F49" w:rsidP="0063575E">
      <w:pPr>
        <w:pStyle w:val="Listlevel1"/>
        <w:widowControl w:val="0"/>
        <w:spacing w:before="0" w:after="0"/>
        <w:ind w:left="567" w:firstLine="0"/>
        <w:rPr>
          <w:color w:val="000000"/>
          <w:sz w:val="22"/>
          <w:szCs w:val="22"/>
          <w:lang w:val="bg-BG"/>
        </w:rPr>
      </w:pPr>
      <w:r w:rsidRPr="00FE6AC6">
        <w:rPr>
          <w:color w:val="000000"/>
          <w:sz w:val="22"/>
          <w:szCs w:val="22"/>
          <w:lang w:val="bg-BG"/>
        </w:rPr>
        <w:t>Началната доза е 400</w:t>
      </w:r>
      <w:r w:rsidRPr="00FE6AC6">
        <w:rPr>
          <w:color w:val="000000"/>
          <w:sz w:val="22"/>
          <w:szCs w:val="22"/>
          <w:lang w:val="en-GB"/>
        </w:rPr>
        <w:t> mg</w:t>
      </w:r>
      <w:r w:rsidRPr="00FE6AC6">
        <w:rPr>
          <w:color w:val="000000"/>
          <w:sz w:val="22"/>
          <w:szCs w:val="22"/>
          <w:lang w:val="bg-BG"/>
        </w:rPr>
        <w:t xml:space="preserve">, които се приемат като 4 капсули </w:t>
      </w:r>
      <w:r w:rsidRPr="00FE6AC6">
        <w:rPr>
          <w:b/>
          <w:color w:val="000000"/>
          <w:sz w:val="22"/>
          <w:szCs w:val="22"/>
          <w:lang w:val="bg-BG"/>
        </w:rPr>
        <w:t>веднъж</w:t>
      </w:r>
      <w:r w:rsidRPr="00FE6AC6">
        <w:rPr>
          <w:color w:val="000000"/>
          <w:sz w:val="22"/>
          <w:szCs w:val="22"/>
          <w:lang w:val="bg-BG"/>
        </w:rPr>
        <w:t xml:space="preserve"> дневно.</w:t>
      </w:r>
    </w:p>
    <w:p w14:paraId="3E550B86" w14:textId="77777777" w:rsidR="00426F49" w:rsidRPr="00FE6AC6" w:rsidRDefault="00426F49" w:rsidP="0063575E">
      <w:pPr>
        <w:pStyle w:val="Text"/>
        <w:widowControl w:val="0"/>
        <w:spacing w:before="0"/>
        <w:jc w:val="left"/>
        <w:rPr>
          <w:color w:val="000000"/>
          <w:sz w:val="22"/>
          <w:szCs w:val="22"/>
          <w:lang w:val="bg-BG"/>
        </w:rPr>
      </w:pPr>
    </w:p>
    <w:p w14:paraId="3E550B87" w14:textId="77777777" w:rsidR="00426F49" w:rsidRPr="00FE6AC6" w:rsidRDefault="00426F49" w:rsidP="0063575E">
      <w:pPr>
        <w:pStyle w:val="Listlevel2"/>
        <w:keepNext/>
        <w:widowControl w:val="0"/>
        <w:numPr>
          <w:ilvl w:val="0"/>
          <w:numId w:val="22"/>
        </w:numPr>
        <w:tabs>
          <w:tab w:val="clear" w:pos="1128"/>
          <w:tab w:val="num" w:pos="567"/>
        </w:tabs>
        <w:spacing w:before="0" w:after="0"/>
        <w:ind w:left="567" w:hanging="567"/>
        <w:rPr>
          <w:color w:val="000000"/>
          <w:sz w:val="22"/>
          <w:szCs w:val="22"/>
          <w:lang w:val="bg-BG"/>
        </w:rPr>
      </w:pPr>
      <w:r w:rsidRPr="00FE6AC6">
        <w:rPr>
          <w:b/>
          <w:color w:val="000000"/>
          <w:sz w:val="22"/>
          <w:szCs w:val="22"/>
          <w:lang w:val="bg-BG"/>
        </w:rPr>
        <w:t>Ако се лекувате за</w:t>
      </w:r>
      <w:r w:rsidRPr="00FE6AC6">
        <w:rPr>
          <w:b/>
          <w:bCs/>
          <w:color w:val="000000"/>
          <w:sz w:val="22"/>
          <w:szCs w:val="22"/>
          <w:lang w:val="bg-BG"/>
        </w:rPr>
        <w:t xml:space="preserve"> ХЕС/ХЕЛ:</w:t>
      </w:r>
    </w:p>
    <w:p w14:paraId="3E550B88" w14:textId="77777777" w:rsidR="00426F49" w:rsidRPr="00FE6AC6" w:rsidRDefault="00426F49" w:rsidP="0063575E">
      <w:pPr>
        <w:pStyle w:val="Listlevel2"/>
        <w:widowControl w:val="0"/>
        <w:spacing w:before="0" w:after="0"/>
        <w:ind w:left="567" w:firstLine="0"/>
        <w:rPr>
          <w:color w:val="000000"/>
          <w:sz w:val="22"/>
          <w:szCs w:val="22"/>
          <w:lang w:val="bg-BG"/>
        </w:rPr>
      </w:pPr>
      <w:r w:rsidRPr="00FE6AC6">
        <w:rPr>
          <w:color w:val="000000"/>
          <w:sz w:val="22"/>
          <w:szCs w:val="22"/>
          <w:lang w:val="bg-BG"/>
        </w:rPr>
        <w:t>Началната доза е 100</w:t>
      </w:r>
      <w:r w:rsidRPr="00FE6AC6">
        <w:rPr>
          <w:color w:val="000000"/>
          <w:sz w:val="22"/>
          <w:szCs w:val="22"/>
        </w:rPr>
        <w:t> mg</w:t>
      </w:r>
      <w:r w:rsidRPr="00FE6AC6">
        <w:rPr>
          <w:color w:val="000000"/>
          <w:sz w:val="22"/>
          <w:szCs w:val="22"/>
          <w:lang w:val="bg-BG"/>
        </w:rPr>
        <w:t xml:space="preserve">, които се приемат като една капсула </w:t>
      </w:r>
      <w:r w:rsidRPr="00FE6AC6">
        <w:rPr>
          <w:b/>
          <w:color w:val="000000"/>
          <w:sz w:val="22"/>
          <w:szCs w:val="22"/>
          <w:lang w:val="bg-BG"/>
        </w:rPr>
        <w:t>веднъж</w:t>
      </w:r>
      <w:r w:rsidRPr="00FE6AC6">
        <w:rPr>
          <w:color w:val="000000"/>
          <w:sz w:val="22"/>
          <w:szCs w:val="22"/>
          <w:lang w:val="bg-BG"/>
        </w:rPr>
        <w:t xml:space="preserve"> дневно. Вашият лекар може да реши да увеличи дозата на 400</w:t>
      </w:r>
      <w:r w:rsidRPr="00FE6AC6">
        <w:rPr>
          <w:color w:val="000000"/>
          <w:sz w:val="22"/>
          <w:szCs w:val="22"/>
        </w:rPr>
        <w:t> mg</w:t>
      </w:r>
      <w:r w:rsidRPr="00FE6AC6">
        <w:rPr>
          <w:color w:val="000000"/>
          <w:sz w:val="22"/>
          <w:szCs w:val="22"/>
          <w:lang w:val="bg-BG"/>
        </w:rPr>
        <w:t>, които се приемат като 4</w:t>
      </w:r>
      <w:r w:rsidRPr="00FE6AC6">
        <w:rPr>
          <w:color w:val="000000"/>
          <w:sz w:val="22"/>
          <w:szCs w:val="22"/>
        </w:rPr>
        <w:t> </w:t>
      </w:r>
      <w:r w:rsidRPr="00FE6AC6">
        <w:rPr>
          <w:color w:val="000000"/>
          <w:sz w:val="22"/>
          <w:szCs w:val="22"/>
          <w:lang w:val="bg-BG"/>
        </w:rPr>
        <w:t xml:space="preserve">капсули </w:t>
      </w:r>
      <w:r w:rsidRPr="00FE6AC6">
        <w:rPr>
          <w:b/>
          <w:color w:val="000000"/>
          <w:sz w:val="22"/>
          <w:szCs w:val="22"/>
          <w:lang w:val="bg-BG"/>
        </w:rPr>
        <w:t xml:space="preserve">веднъж </w:t>
      </w:r>
      <w:r w:rsidRPr="00FE6AC6">
        <w:rPr>
          <w:color w:val="000000"/>
          <w:sz w:val="22"/>
          <w:szCs w:val="22"/>
          <w:lang w:val="bg-BG"/>
        </w:rPr>
        <w:t>дневно, в зависимост от това как се повлиявате от лечението.</w:t>
      </w:r>
    </w:p>
    <w:p w14:paraId="3E550B89" w14:textId="77777777" w:rsidR="00426F49" w:rsidRPr="00FE6AC6" w:rsidRDefault="00426F49" w:rsidP="0063575E">
      <w:pPr>
        <w:widowControl w:val="0"/>
        <w:numPr>
          <w:ilvl w:val="12"/>
          <w:numId w:val="0"/>
        </w:numPr>
        <w:spacing w:line="240" w:lineRule="auto"/>
        <w:ind w:right="-2"/>
        <w:rPr>
          <w:color w:val="000000"/>
          <w:lang w:val="bg-BG"/>
        </w:rPr>
      </w:pPr>
    </w:p>
    <w:p w14:paraId="3E550B8A" w14:textId="77777777" w:rsidR="00426F49" w:rsidRPr="00FE6AC6" w:rsidRDefault="00426F49" w:rsidP="0063575E">
      <w:pPr>
        <w:keepNext/>
        <w:widowControl w:val="0"/>
        <w:numPr>
          <w:ilvl w:val="0"/>
          <w:numId w:val="22"/>
        </w:numPr>
        <w:tabs>
          <w:tab w:val="clear" w:pos="1128"/>
          <w:tab w:val="num" w:pos="567"/>
        </w:tabs>
        <w:spacing w:line="240" w:lineRule="auto"/>
        <w:ind w:left="567" w:hanging="567"/>
        <w:rPr>
          <w:color w:val="000000"/>
          <w:lang w:val="bg-BG"/>
        </w:rPr>
      </w:pPr>
      <w:r w:rsidRPr="00FE6AC6">
        <w:rPr>
          <w:b/>
          <w:color w:val="000000"/>
          <w:lang w:val="bg-BG"/>
        </w:rPr>
        <w:t>Ако се лекувате за ДФСП:</w:t>
      </w:r>
    </w:p>
    <w:p w14:paraId="3E550B8B" w14:textId="77777777" w:rsidR="00426F49" w:rsidRPr="00FE6AC6" w:rsidRDefault="00426F49" w:rsidP="0063575E">
      <w:pPr>
        <w:widowControl w:val="0"/>
        <w:tabs>
          <w:tab w:val="clear" w:pos="567"/>
        </w:tabs>
        <w:spacing w:line="240" w:lineRule="auto"/>
        <w:ind w:left="567" w:right="-2"/>
        <w:rPr>
          <w:color w:val="000000"/>
          <w:lang w:val="bg-BG"/>
        </w:rPr>
      </w:pPr>
      <w:r w:rsidRPr="00FE6AC6">
        <w:rPr>
          <w:color w:val="000000"/>
          <w:lang w:val="bg-BG"/>
        </w:rPr>
        <w:t>Дозата от 800 mg (8 капсули), трябва да се приема като 4 капсули сутрин и 4 капсули вечер.</w:t>
      </w:r>
    </w:p>
    <w:p w14:paraId="3E550B8C" w14:textId="77777777" w:rsidR="00426F49" w:rsidRPr="00FE6AC6" w:rsidRDefault="00426F49" w:rsidP="0063575E">
      <w:pPr>
        <w:widowControl w:val="0"/>
        <w:numPr>
          <w:ilvl w:val="12"/>
          <w:numId w:val="0"/>
        </w:numPr>
        <w:spacing w:line="240" w:lineRule="auto"/>
        <w:ind w:right="-2"/>
        <w:rPr>
          <w:color w:val="000000"/>
          <w:lang w:val="bg-BG"/>
        </w:rPr>
      </w:pPr>
    </w:p>
    <w:p w14:paraId="3E550B8D" w14:textId="77777777" w:rsidR="00426F49" w:rsidRPr="00FE6AC6" w:rsidRDefault="00426F49" w:rsidP="0063575E">
      <w:pPr>
        <w:keepNext/>
        <w:widowControl w:val="0"/>
        <w:numPr>
          <w:ilvl w:val="12"/>
          <w:numId w:val="0"/>
        </w:numPr>
        <w:spacing w:line="240" w:lineRule="auto"/>
        <w:rPr>
          <w:b/>
          <w:color w:val="000000"/>
          <w:lang w:val="bg-BG"/>
        </w:rPr>
      </w:pPr>
      <w:r w:rsidRPr="00FE6AC6">
        <w:rPr>
          <w:b/>
          <w:color w:val="000000"/>
          <w:lang w:val="bg-BG"/>
        </w:rPr>
        <w:t>Употреба при деца</w:t>
      </w:r>
      <w:r w:rsidR="008A3746" w:rsidRPr="00FE6AC6">
        <w:rPr>
          <w:b/>
          <w:color w:val="000000"/>
          <w:lang w:val="bg-BG"/>
        </w:rPr>
        <w:t xml:space="preserve"> и юноши</w:t>
      </w:r>
    </w:p>
    <w:p w14:paraId="3E550B8E" w14:textId="77777777" w:rsidR="00426F49" w:rsidRPr="00FE6AC6" w:rsidRDefault="00426F49" w:rsidP="0063575E">
      <w:pPr>
        <w:widowControl w:val="0"/>
        <w:numPr>
          <w:ilvl w:val="12"/>
          <w:numId w:val="0"/>
        </w:numPr>
        <w:spacing w:line="240" w:lineRule="auto"/>
        <w:ind w:right="-2"/>
        <w:rPr>
          <w:color w:val="000000"/>
          <w:lang w:val="bg-BG"/>
        </w:rPr>
      </w:pPr>
      <w:r w:rsidRPr="00FE6AC6">
        <w:rPr>
          <w:color w:val="000000"/>
          <w:lang w:val="bg-BG"/>
        </w:rPr>
        <w:t>Лекарят ще Ви каже колко капсули Glivec трябва да давате на Вашето дете. Количеството на Glivec ще зависи от състоянието на детето Ви, неговото тегло и височина. Общата дневна доза при деца не трябва да надвишава 800 mg</w:t>
      </w:r>
      <w:r w:rsidR="006C1E67" w:rsidRPr="00FE6AC6">
        <w:rPr>
          <w:color w:val="000000"/>
          <w:lang w:val="bg-BG"/>
        </w:rPr>
        <w:t xml:space="preserve"> при ХМЛ и 600</w:t>
      </w:r>
      <w:r w:rsidR="006C1E67" w:rsidRPr="00FE6AC6">
        <w:rPr>
          <w:color w:val="000000"/>
          <w:lang w:val="en-US"/>
        </w:rPr>
        <w:t> mg</w:t>
      </w:r>
      <w:r w:rsidR="006C1E67" w:rsidRPr="00FE6AC6">
        <w:rPr>
          <w:color w:val="000000"/>
          <w:lang w:val="bg-BG"/>
        </w:rPr>
        <w:t xml:space="preserve"> при </w:t>
      </w:r>
      <w:r w:rsidR="006C1E67" w:rsidRPr="00FE6AC6">
        <w:rPr>
          <w:color w:val="000000"/>
          <w:lang w:val="en-US"/>
        </w:rPr>
        <w:t>Ph</w:t>
      </w:r>
      <w:r w:rsidR="006C1E67" w:rsidRPr="00FE6AC6">
        <w:rPr>
          <w:color w:val="000000"/>
          <w:szCs w:val="22"/>
          <w:lang w:val="bg-BG"/>
        </w:rPr>
        <w:t xml:space="preserve">-положителна </w:t>
      </w:r>
      <w:r w:rsidR="006C1E67" w:rsidRPr="00FE6AC6">
        <w:rPr>
          <w:color w:val="000000"/>
          <w:lang w:val="bg-BG"/>
        </w:rPr>
        <w:t>ОЛЛ</w:t>
      </w:r>
      <w:r w:rsidRPr="00FE6AC6">
        <w:rPr>
          <w:color w:val="000000"/>
          <w:lang w:val="bg-BG"/>
        </w:rPr>
        <w:t>. Лечението може да се дава като еднократна дневна доза или алтернативно дневната доза може да се раздели на два приема (половината от дозата сутрин и половината вечер).</w:t>
      </w:r>
    </w:p>
    <w:p w14:paraId="3E550B8F" w14:textId="77777777" w:rsidR="00426F49" w:rsidRPr="00FE6AC6" w:rsidRDefault="00426F49" w:rsidP="0063575E">
      <w:pPr>
        <w:widowControl w:val="0"/>
        <w:numPr>
          <w:ilvl w:val="12"/>
          <w:numId w:val="0"/>
        </w:numPr>
        <w:spacing w:line="240" w:lineRule="auto"/>
        <w:ind w:right="-2"/>
        <w:rPr>
          <w:color w:val="000000"/>
          <w:lang w:val="bg-BG"/>
        </w:rPr>
      </w:pPr>
    </w:p>
    <w:p w14:paraId="3E550B90" w14:textId="77777777" w:rsidR="00426F49" w:rsidRPr="00FE6AC6" w:rsidRDefault="00426F49" w:rsidP="0063575E">
      <w:pPr>
        <w:keepNext/>
        <w:widowControl w:val="0"/>
        <w:numPr>
          <w:ilvl w:val="12"/>
          <w:numId w:val="0"/>
        </w:numPr>
        <w:spacing w:line="240" w:lineRule="auto"/>
        <w:rPr>
          <w:color w:val="000000"/>
          <w:lang w:val="bg-BG"/>
        </w:rPr>
      </w:pPr>
      <w:r w:rsidRPr="00FE6AC6">
        <w:rPr>
          <w:b/>
          <w:color w:val="000000"/>
          <w:lang w:val="bg-BG"/>
        </w:rPr>
        <w:t>Кога и как да се приема Glivec</w:t>
      </w:r>
    </w:p>
    <w:p w14:paraId="3E550B91" w14:textId="77777777" w:rsidR="00426F49" w:rsidRPr="00FE6AC6" w:rsidRDefault="00426F49" w:rsidP="0063575E">
      <w:pPr>
        <w:widowControl w:val="0"/>
        <w:numPr>
          <w:ilvl w:val="0"/>
          <w:numId w:val="22"/>
        </w:numPr>
        <w:tabs>
          <w:tab w:val="clear" w:pos="1128"/>
          <w:tab w:val="num" w:pos="567"/>
        </w:tabs>
        <w:spacing w:line="240" w:lineRule="auto"/>
        <w:ind w:left="567" w:right="-2" w:hanging="567"/>
        <w:rPr>
          <w:color w:val="000000"/>
          <w:lang w:val="bg-BG"/>
        </w:rPr>
      </w:pPr>
      <w:r w:rsidRPr="00FE6AC6">
        <w:rPr>
          <w:b/>
          <w:color w:val="000000"/>
          <w:lang w:val="bg-BG"/>
        </w:rPr>
        <w:t>Приемайте Glivec по време на хранене</w:t>
      </w:r>
      <w:r w:rsidRPr="00FE6AC6">
        <w:rPr>
          <w:color w:val="000000"/>
          <w:lang w:val="bg-BG"/>
        </w:rPr>
        <w:t>. Това ще Ви помогне да се предпазите от стомашни проблеми</w:t>
      </w:r>
      <w:r w:rsidR="00D16A08" w:rsidRPr="00FE6AC6">
        <w:rPr>
          <w:color w:val="000000"/>
          <w:lang w:val="bg-BG"/>
        </w:rPr>
        <w:t>,</w:t>
      </w:r>
      <w:r w:rsidRPr="00FE6AC6">
        <w:rPr>
          <w:color w:val="000000"/>
          <w:lang w:val="bg-BG"/>
        </w:rPr>
        <w:t xml:space="preserve"> докато приемате </w:t>
      </w:r>
      <w:r w:rsidRPr="00FE6AC6">
        <w:rPr>
          <w:color w:val="000000"/>
          <w:lang w:val="en-US"/>
        </w:rPr>
        <w:t>Glivec</w:t>
      </w:r>
      <w:r w:rsidRPr="00FE6AC6">
        <w:rPr>
          <w:color w:val="000000"/>
          <w:lang w:val="bg-BG"/>
        </w:rPr>
        <w:t>.</w:t>
      </w:r>
    </w:p>
    <w:p w14:paraId="3E550B92" w14:textId="77777777" w:rsidR="00426F49" w:rsidRPr="00FE6AC6" w:rsidRDefault="00426F49" w:rsidP="0063575E">
      <w:pPr>
        <w:widowControl w:val="0"/>
        <w:numPr>
          <w:ilvl w:val="0"/>
          <w:numId w:val="22"/>
        </w:numPr>
        <w:tabs>
          <w:tab w:val="clear" w:pos="1128"/>
          <w:tab w:val="num" w:pos="567"/>
        </w:tabs>
        <w:spacing w:line="240" w:lineRule="auto"/>
        <w:ind w:left="567" w:right="-2" w:hanging="567"/>
        <w:rPr>
          <w:color w:val="000000"/>
          <w:lang w:val="bg-BG"/>
        </w:rPr>
      </w:pPr>
      <w:r w:rsidRPr="00FE6AC6">
        <w:rPr>
          <w:b/>
          <w:color w:val="000000"/>
          <w:lang w:val="bg-BG"/>
        </w:rPr>
        <w:t xml:space="preserve">Поглъщайте капсулите цели с пълна чаша вода. </w:t>
      </w:r>
      <w:r w:rsidRPr="00FE6AC6">
        <w:rPr>
          <w:color w:val="000000"/>
          <w:lang w:val="bg-BG"/>
        </w:rPr>
        <w:t>Не отваряйте или размачквайте капсулите, освен ако нямате затруднения с поглъщането им (напр. при деца).</w:t>
      </w:r>
    </w:p>
    <w:p w14:paraId="3E550B93" w14:textId="77777777" w:rsidR="00426F49" w:rsidRPr="00FE6AC6" w:rsidRDefault="00426F49" w:rsidP="0063575E">
      <w:pPr>
        <w:widowControl w:val="0"/>
        <w:numPr>
          <w:ilvl w:val="0"/>
          <w:numId w:val="22"/>
        </w:numPr>
        <w:tabs>
          <w:tab w:val="clear" w:pos="1128"/>
          <w:tab w:val="num" w:pos="567"/>
        </w:tabs>
        <w:spacing w:line="240" w:lineRule="auto"/>
        <w:ind w:left="567" w:right="-2" w:hanging="567"/>
        <w:rPr>
          <w:color w:val="000000"/>
          <w:lang w:val="bg-BG"/>
        </w:rPr>
      </w:pPr>
      <w:r w:rsidRPr="00FE6AC6">
        <w:rPr>
          <w:color w:val="000000"/>
          <w:lang w:val="bg-BG"/>
        </w:rPr>
        <w:t xml:space="preserve">Ако не можете да погълнете капсулите, може да ги отворите и да изсипете съдържанието им в чаша с </w:t>
      </w:r>
      <w:r w:rsidR="00D16A08" w:rsidRPr="00FE6AC6">
        <w:rPr>
          <w:color w:val="000000"/>
          <w:lang w:val="bg-BG"/>
        </w:rPr>
        <w:t>негазирана</w:t>
      </w:r>
      <w:r w:rsidRPr="00FE6AC6">
        <w:rPr>
          <w:color w:val="000000"/>
          <w:lang w:val="bg-BG"/>
        </w:rPr>
        <w:t xml:space="preserve"> вода или ябълков сок.</w:t>
      </w:r>
    </w:p>
    <w:p w14:paraId="3E550B94" w14:textId="77777777" w:rsidR="00426F49" w:rsidRPr="00FE6AC6" w:rsidRDefault="00426F49" w:rsidP="0063575E">
      <w:pPr>
        <w:widowControl w:val="0"/>
        <w:numPr>
          <w:ilvl w:val="0"/>
          <w:numId w:val="22"/>
        </w:numPr>
        <w:tabs>
          <w:tab w:val="clear" w:pos="1128"/>
          <w:tab w:val="num" w:pos="567"/>
        </w:tabs>
        <w:spacing w:line="240" w:lineRule="auto"/>
        <w:ind w:left="567" w:right="-2" w:hanging="567"/>
        <w:rPr>
          <w:color w:val="000000"/>
          <w:lang w:val="bg-BG"/>
        </w:rPr>
      </w:pPr>
      <w:r w:rsidRPr="00FE6AC6">
        <w:rPr>
          <w:color w:val="000000"/>
          <w:lang w:val="bg-BG"/>
        </w:rPr>
        <w:t>Ако сте жена, която е бременна или може да забременее и се опитвате да отворите капсулите, трябва да го направите с повишено внимание, за да избегнете контакт с кожата и очите или вдишване. Трябва незабавно да измиете ръцете си след отваряне на капсулите.</w:t>
      </w:r>
    </w:p>
    <w:p w14:paraId="3E550B95" w14:textId="77777777" w:rsidR="00426F49" w:rsidRPr="00FE6AC6" w:rsidRDefault="00426F49" w:rsidP="0063575E">
      <w:pPr>
        <w:widowControl w:val="0"/>
        <w:spacing w:line="240" w:lineRule="auto"/>
        <w:ind w:right="-2"/>
        <w:rPr>
          <w:color w:val="000000"/>
          <w:lang w:val="bg-BG"/>
        </w:rPr>
      </w:pPr>
    </w:p>
    <w:p w14:paraId="3E550B96" w14:textId="77777777" w:rsidR="00426F49" w:rsidRPr="00FE6AC6" w:rsidRDefault="00426F49" w:rsidP="0063575E">
      <w:pPr>
        <w:keepNext/>
        <w:widowControl w:val="0"/>
        <w:spacing w:line="240" w:lineRule="auto"/>
        <w:rPr>
          <w:b/>
          <w:color w:val="000000"/>
          <w:lang w:val="bg-BG"/>
        </w:rPr>
      </w:pPr>
      <w:r w:rsidRPr="00FE6AC6">
        <w:rPr>
          <w:b/>
          <w:color w:val="000000"/>
          <w:lang w:val="bg-BG"/>
        </w:rPr>
        <w:t>Колко продължително да се приема Glivec</w:t>
      </w:r>
    </w:p>
    <w:p w14:paraId="3E550B97" w14:textId="77777777" w:rsidR="00426F49" w:rsidRPr="00FE6AC6" w:rsidRDefault="00426F49" w:rsidP="0063575E">
      <w:pPr>
        <w:widowControl w:val="0"/>
        <w:spacing w:line="240" w:lineRule="auto"/>
        <w:ind w:right="-2"/>
        <w:rPr>
          <w:color w:val="000000"/>
          <w:lang w:val="bg-BG"/>
        </w:rPr>
      </w:pPr>
      <w:r w:rsidRPr="00FE6AC6">
        <w:rPr>
          <w:color w:val="000000"/>
          <w:lang w:val="bg-BG"/>
        </w:rPr>
        <w:t>Приемайте Glivec всеки ден, толкова дълго, колкото Ви е казал Вашият лекар.</w:t>
      </w:r>
    </w:p>
    <w:p w14:paraId="3E550B98" w14:textId="77777777" w:rsidR="00426F49" w:rsidRPr="00FE6AC6" w:rsidRDefault="00426F49" w:rsidP="0063575E">
      <w:pPr>
        <w:widowControl w:val="0"/>
        <w:spacing w:line="240" w:lineRule="auto"/>
        <w:ind w:right="-2"/>
        <w:rPr>
          <w:color w:val="000000"/>
          <w:lang w:val="bg-BG"/>
        </w:rPr>
      </w:pPr>
    </w:p>
    <w:p w14:paraId="3E550B99" w14:textId="77777777" w:rsidR="00426F49" w:rsidRPr="00FE6AC6" w:rsidRDefault="00426F49" w:rsidP="0063575E">
      <w:pPr>
        <w:keepNext/>
        <w:widowControl w:val="0"/>
        <w:spacing w:line="240" w:lineRule="auto"/>
        <w:rPr>
          <w:b/>
          <w:color w:val="000000"/>
          <w:lang w:val="bg-BG"/>
        </w:rPr>
      </w:pPr>
      <w:r w:rsidRPr="00FE6AC6">
        <w:rPr>
          <w:b/>
          <w:color w:val="000000"/>
          <w:lang w:val="bg-BG"/>
        </w:rPr>
        <w:t>Ако сте приели повече от необходимата доза Glivec</w:t>
      </w:r>
    </w:p>
    <w:p w14:paraId="3E550B9A" w14:textId="77777777" w:rsidR="00426F49" w:rsidRPr="00FE6AC6" w:rsidRDefault="00426F49" w:rsidP="0063575E">
      <w:pPr>
        <w:widowControl w:val="0"/>
        <w:spacing w:line="240" w:lineRule="auto"/>
        <w:ind w:right="-2"/>
        <w:rPr>
          <w:color w:val="000000"/>
          <w:lang w:val="bg-BG"/>
        </w:rPr>
      </w:pPr>
      <w:r w:rsidRPr="00FE6AC6">
        <w:rPr>
          <w:color w:val="000000"/>
          <w:lang w:val="bg-BG"/>
        </w:rPr>
        <w:t xml:space="preserve">Ако случайно приемете повече капсули, кажете </w:t>
      </w:r>
      <w:r w:rsidRPr="00FE6AC6">
        <w:rPr>
          <w:b/>
          <w:color w:val="000000"/>
          <w:lang w:val="bg-BG"/>
        </w:rPr>
        <w:t>веднага</w:t>
      </w:r>
      <w:r w:rsidRPr="00FE6AC6">
        <w:rPr>
          <w:color w:val="000000"/>
          <w:lang w:val="bg-BG"/>
        </w:rPr>
        <w:t xml:space="preserve"> на Вашия лекар. Може да се наложи медицинска намеса. Вземете опаковката на лекарството със себе си.</w:t>
      </w:r>
    </w:p>
    <w:p w14:paraId="3E550B9B" w14:textId="77777777" w:rsidR="00426F49" w:rsidRPr="00FE6AC6" w:rsidRDefault="00426F49" w:rsidP="0063575E">
      <w:pPr>
        <w:widowControl w:val="0"/>
        <w:numPr>
          <w:ilvl w:val="12"/>
          <w:numId w:val="0"/>
        </w:numPr>
        <w:spacing w:line="240" w:lineRule="auto"/>
        <w:ind w:right="-2"/>
        <w:rPr>
          <w:color w:val="000000"/>
          <w:lang w:val="bg-BG"/>
        </w:rPr>
      </w:pPr>
    </w:p>
    <w:p w14:paraId="3E550B9C" w14:textId="77777777" w:rsidR="00426F49" w:rsidRPr="00FE6AC6" w:rsidRDefault="00426F49" w:rsidP="00572F70">
      <w:pPr>
        <w:keepNext/>
        <w:widowControl w:val="0"/>
        <w:numPr>
          <w:ilvl w:val="12"/>
          <w:numId w:val="0"/>
        </w:numPr>
        <w:spacing w:line="240" w:lineRule="auto"/>
        <w:rPr>
          <w:b/>
          <w:color w:val="000000"/>
          <w:lang w:val="ru-RU"/>
        </w:rPr>
      </w:pPr>
      <w:r w:rsidRPr="00FE6AC6">
        <w:rPr>
          <w:b/>
          <w:noProof/>
          <w:color w:val="000000"/>
          <w:lang w:val="bg-BG"/>
        </w:rPr>
        <w:t xml:space="preserve">Ако сте пропуснали да приемете </w:t>
      </w:r>
      <w:r w:rsidRPr="00FE6AC6">
        <w:rPr>
          <w:b/>
          <w:color w:val="000000"/>
          <w:lang w:val="bg-BG"/>
        </w:rPr>
        <w:t>Glivec</w:t>
      </w:r>
    </w:p>
    <w:p w14:paraId="3E550B9D" w14:textId="77777777" w:rsidR="00426F49" w:rsidRPr="00FE6AC6" w:rsidRDefault="00426F49" w:rsidP="0063575E">
      <w:pPr>
        <w:widowControl w:val="0"/>
        <w:numPr>
          <w:ilvl w:val="0"/>
          <w:numId w:val="23"/>
        </w:numPr>
        <w:tabs>
          <w:tab w:val="clear" w:pos="1128"/>
          <w:tab w:val="num" w:pos="567"/>
        </w:tabs>
        <w:spacing w:line="240" w:lineRule="auto"/>
        <w:ind w:left="567" w:right="-2" w:hanging="567"/>
        <w:rPr>
          <w:noProof/>
          <w:color w:val="000000"/>
          <w:lang w:val="bg-BG"/>
        </w:rPr>
      </w:pPr>
      <w:r w:rsidRPr="00FE6AC6">
        <w:rPr>
          <w:color w:val="000000"/>
          <w:lang w:val="bg-BG"/>
        </w:rPr>
        <w:t>Ако сте пропуснали да приемете една доза, вземете я веднага след като си спомните. Ако е дошло време за следващата доза, прескочете пропуснатата доза.</w:t>
      </w:r>
    </w:p>
    <w:p w14:paraId="3E550B9E" w14:textId="77777777" w:rsidR="00426F49" w:rsidRPr="00FE6AC6" w:rsidRDefault="00426F49" w:rsidP="0063575E">
      <w:pPr>
        <w:widowControl w:val="0"/>
        <w:numPr>
          <w:ilvl w:val="0"/>
          <w:numId w:val="23"/>
        </w:numPr>
        <w:tabs>
          <w:tab w:val="clear" w:pos="1128"/>
          <w:tab w:val="num" w:pos="567"/>
        </w:tabs>
        <w:spacing w:line="240" w:lineRule="auto"/>
        <w:ind w:left="567" w:right="-2" w:hanging="567"/>
        <w:rPr>
          <w:noProof/>
          <w:color w:val="000000"/>
          <w:lang w:val="bg-BG"/>
        </w:rPr>
      </w:pPr>
      <w:r w:rsidRPr="00FE6AC6">
        <w:rPr>
          <w:color w:val="000000"/>
          <w:lang w:val="bg-BG"/>
        </w:rPr>
        <w:t>След това продължете по нормалната схема.</w:t>
      </w:r>
    </w:p>
    <w:p w14:paraId="3E550B9F" w14:textId="77777777" w:rsidR="00426F49" w:rsidRPr="00FE6AC6" w:rsidRDefault="00426F49" w:rsidP="0063575E">
      <w:pPr>
        <w:widowControl w:val="0"/>
        <w:numPr>
          <w:ilvl w:val="0"/>
          <w:numId w:val="23"/>
        </w:numPr>
        <w:tabs>
          <w:tab w:val="clear" w:pos="1128"/>
          <w:tab w:val="num" w:pos="567"/>
        </w:tabs>
        <w:spacing w:line="240" w:lineRule="auto"/>
        <w:ind w:left="567" w:right="-2" w:hanging="567"/>
        <w:rPr>
          <w:noProof/>
          <w:color w:val="000000"/>
          <w:lang w:val="bg-BG"/>
        </w:rPr>
      </w:pPr>
      <w:r w:rsidRPr="00FE6AC6">
        <w:rPr>
          <w:noProof/>
          <w:color w:val="000000"/>
          <w:lang w:val="bg-BG"/>
        </w:rPr>
        <w:t>Не вземайте двойна доза, за да компенсирате пропуснатата доза</w:t>
      </w:r>
      <w:r w:rsidRPr="00FE6AC6">
        <w:rPr>
          <w:color w:val="000000"/>
          <w:szCs w:val="22"/>
          <w:lang w:val="bg-BG"/>
        </w:rPr>
        <w:t>.</w:t>
      </w:r>
    </w:p>
    <w:p w14:paraId="3E550BA0" w14:textId="77777777" w:rsidR="00426F49" w:rsidRPr="00FE6AC6" w:rsidRDefault="00426F49" w:rsidP="0063575E">
      <w:pPr>
        <w:widowControl w:val="0"/>
        <w:numPr>
          <w:ilvl w:val="12"/>
          <w:numId w:val="0"/>
        </w:numPr>
        <w:spacing w:line="240" w:lineRule="auto"/>
        <w:ind w:right="-2"/>
        <w:rPr>
          <w:noProof/>
          <w:color w:val="000000"/>
          <w:lang w:val="bg-BG"/>
        </w:rPr>
      </w:pPr>
    </w:p>
    <w:p w14:paraId="3E550BA1" w14:textId="77777777" w:rsidR="00426F49" w:rsidRPr="00FE6AC6" w:rsidRDefault="00426F49" w:rsidP="0063575E">
      <w:pPr>
        <w:widowControl w:val="0"/>
        <w:numPr>
          <w:ilvl w:val="12"/>
          <w:numId w:val="0"/>
        </w:numPr>
        <w:spacing w:line="240" w:lineRule="auto"/>
        <w:ind w:right="-2"/>
        <w:rPr>
          <w:color w:val="000000"/>
          <w:lang w:val="ru-RU"/>
        </w:rPr>
      </w:pPr>
      <w:r w:rsidRPr="00FE6AC6">
        <w:rPr>
          <w:noProof/>
          <w:color w:val="000000"/>
          <w:lang w:val="bg-BG"/>
        </w:rPr>
        <w:t>Ако имате някакви допълнителни въпроси, свързани с употребата на то</w:t>
      </w:r>
      <w:r w:rsidR="008A3746" w:rsidRPr="00FE6AC6">
        <w:rPr>
          <w:noProof/>
          <w:color w:val="000000"/>
          <w:lang w:val="bg-BG"/>
        </w:rPr>
        <w:t>ва лекарство</w:t>
      </w:r>
      <w:r w:rsidRPr="00FE6AC6">
        <w:rPr>
          <w:noProof/>
          <w:color w:val="000000"/>
          <w:lang w:val="bg-BG"/>
        </w:rPr>
        <w:t>, попитайте Вашия лекар</w:t>
      </w:r>
      <w:r w:rsidR="008A3746" w:rsidRPr="00FE6AC6">
        <w:rPr>
          <w:noProof/>
          <w:color w:val="000000"/>
          <w:lang w:val="bg-BG"/>
        </w:rPr>
        <w:t>,</w:t>
      </w:r>
      <w:r w:rsidRPr="00FE6AC6">
        <w:rPr>
          <w:noProof/>
          <w:color w:val="000000"/>
          <w:lang w:val="bg-BG"/>
        </w:rPr>
        <w:t xml:space="preserve"> фармацевт</w:t>
      </w:r>
      <w:r w:rsidR="008A3746" w:rsidRPr="00FE6AC6">
        <w:rPr>
          <w:noProof/>
          <w:color w:val="000000"/>
          <w:lang w:val="bg-BG"/>
        </w:rPr>
        <w:t xml:space="preserve"> или </w:t>
      </w:r>
      <w:r w:rsidR="008A3746" w:rsidRPr="00FE6AC6">
        <w:rPr>
          <w:noProof/>
          <w:szCs w:val="24"/>
          <w:lang w:val="bg-BG"/>
        </w:rPr>
        <w:t>медицинска сестра</w:t>
      </w:r>
      <w:r w:rsidRPr="00FE6AC6">
        <w:rPr>
          <w:noProof/>
          <w:color w:val="000000"/>
          <w:lang w:val="bg-BG"/>
        </w:rPr>
        <w:t>.</w:t>
      </w:r>
    </w:p>
    <w:p w14:paraId="3E550BA2" w14:textId="77777777" w:rsidR="00426F49" w:rsidRPr="00FE6AC6" w:rsidRDefault="00426F49" w:rsidP="0063575E">
      <w:pPr>
        <w:widowControl w:val="0"/>
        <w:numPr>
          <w:ilvl w:val="12"/>
          <w:numId w:val="0"/>
        </w:numPr>
        <w:spacing w:line="240" w:lineRule="auto"/>
        <w:ind w:right="-2"/>
        <w:rPr>
          <w:color w:val="000000"/>
          <w:lang w:val="bg-BG"/>
        </w:rPr>
      </w:pPr>
    </w:p>
    <w:p w14:paraId="3E550BA3" w14:textId="77777777" w:rsidR="00426F49" w:rsidRPr="00FE6AC6" w:rsidRDefault="00426F49" w:rsidP="0063575E">
      <w:pPr>
        <w:widowControl w:val="0"/>
        <w:numPr>
          <w:ilvl w:val="12"/>
          <w:numId w:val="0"/>
        </w:numPr>
        <w:spacing w:line="240" w:lineRule="auto"/>
        <w:ind w:right="-2"/>
        <w:rPr>
          <w:color w:val="000000"/>
          <w:lang w:val="bg-BG"/>
        </w:rPr>
      </w:pPr>
    </w:p>
    <w:p w14:paraId="3E550BA4" w14:textId="77777777" w:rsidR="001B628D" w:rsidRPr="00FE6AC6" w:rsidRDefault="001B628D" w:rsidP="0063575E">
      <w:pPr>
        <w:keepNext/>
        <w:widowControl w:val="0"/>
        <w:numPr>
          <w:ilvl w:val="12"/>
          <w:numId w:val="0"/>
        </w:numPr>
        <w:spacing w:line="240" w:lineRule="auto"/>
        <w:ind w:left="567" w:hanging="567"/>
        <w:rPr>
          <w:color w:val="000000"/>
          <w:lang w:val="bg-BG"/>
        </w:rPr>
      </w:pPr>
      <w:r w:rsidRPr="00FE6AC6">
        <w:rPr>
          <w:b/>
          <w:color w:val="000000"/>
          <w:lang w:val="bg-BG"/>
        </w:rPr>
        <w:t>4.</w:t>
      </w:r>
      <w:r w:rsidRPr="00FE6AC6">
        <w:rPr>
          <w:b/>
          <w:color w:val="000000"/>
          <w:lang w:val="bg-BG"/>
        </w:rPr>
        <w:tab/>
      </w:r>
      <w:r w:rsidRPr="00FE6AC6">
        <w:rPr>
          <w:b/>
          <w:noProof/>
          <w:szCs w:val="24"/>
          <w:lang w:val="bg-BG"/>
        </w:rPr>
        <w:t>Възможни нежелани реакции</w:t>
      </w:r>
    </w:p>
    <w:p w14:paraId="3E550BA5" w14:textId="77777777" w:rsidR="001B628D" w:rsidRPr="00FE6AC6" w:rsidRDefault="001B628D" w:rsidP="0063575E">
      <w:pPr>
        <w:keepNext/>
        <w:widowControl w:val="0"/>
        <w:numPr>
          <w:ilvl w:val="12"/>
          <w:numId w:val="0"/>
        </w:numPr>
        <w:spacing w:line="240" w:lineRule="auto"/>
        <w:ind w:right="-2"/>
        <w:rPr>
          <w:color w:val="000000"/>
          <w:lang w:val="bg-BG"/>
        </w:rPr>
      </w:pPr>
    </w:p>
    <w:p w14:paraId="3E550BA6" w14:textId="77777777" w:rsidR="001B628D" w:rsidRPr="00FE6AC6" w:rsidRDefault="001B628D" w:rsidP="0063575E">
      <w:pPr>
        <w:widowControl w:val="0"/>
        <w:numPr>
          <w:ilvl w:val="12"/>
          <w:numId w:val="0"/>
        </w:numPr>
        <w:spacing w:line="240" w:lineRule="auto"/>
        <w:ind w:right="-2"/>
        <w:rPr>
          <w:b/>
          <w:color w:val="000000"/>
          <w:lang w:val="bg-BG"/>
        </w:rPr>
      </w:pPr>
      <w:r w:rsidRPr="00FE6AC6">
        <w:rPr>
          <w:noProof/>
          <w:color w:val="000000"/>
          <w:lang w:val="bg-BG"/>
        </w:rPr>
        <w:t xml:space="preserve">Както всички лекарства, това лекарство може да предизвика нежелани реакции, въпреки че не всеки ги получава. </w:t>
      </w:r>
      <w:r w:rsidRPr="00FE6AC6">
        <w:rPr>
          <w:color w:val="000000"/>
          <w:lang w:val="bg-BG"/>
        </w:rPr>
        <w:t>Обикновено те са леки до умерени.</w:t>
      </w:r>
    </w:p>
    <w:p w14:paraId="3E550BA7" w14:textId="77777777" w:rsidR="001B628D" w:rsidRPr="00FE6AC6" w:rsidRDefault="001B628D" w:rsidP="0063575E">
      <w:pPr>
        <w:widowControl w:val="0"/>
        <w:numPr>
          <w:ilvl w:val="12"/>
          <w:numId w:val="0"/>
        </w:numPr>
        <w:spacing w:line="240" w:lineRule="auto"/>
        <w:ind w:right="-2"/>
        <w:rPr>
          <w:color w:val="000000"/>
          <w:lang w:val="bg-BG"/>
        </w:rPr>
      </w:pPr>
    </w:p>
    <w:p w14:paraId="3E550BA8" w14:textId="77777777" w:rsidR="001B628D" w:rsidRPr="00FE6AC6" w:rsidRDefault="001B628D" w:rsidP="0063575E">
      <w:pPr>
        <w:keepNext/>
        <w:widowControl w:val="0"/>
        <w:numPr>
          <w:ilvl w:val="12"/>
          <w:numId w:val="0"/>
        </w:numPr>
        <w:spacing w:line="240" w:lineRule="auto"/>
        <w:ind w:right="-2"/>
        <w:rPr>
          <w:b/>
          <w:color w:val="000000"/>
          <w:lang w:val="bg-BG"/>
        </w:rPr>
      </w:pPr>
      <w:r w:rsidRPr="00FE6AC6">
        <w:rPr>
          <w:b/>
          <w:color w:val="000000"/>
          <w:lang w:val="bg-BG"/>
        </w:rPr>
        <w:t>Някои нежелани реакции могат да бъдат сериозни. Информирайте незабавно Вашия лекар, ако получите някоя от изброените по-долу реакции:</w:t>
      </w:r>
    </w:p>
    <w:p w14:paraId="3E550BA9" w14:textId="77777777" w:rsidR="001B628D" w:rsidRPr="00FE6AC6" w:rsidRDefault="001B628D" w:rsidP="0063575E">
      <w:pPr>
        <w:keepNext/>
        <w:widowControl w:val="0"/>
        <w:numPr>
          <w:ilvl w:val="12"/>
          <w:numId w:val="0"/>
        </w:numPr>
        <w:spacing w:line="240" w:lineRule="auto"/>
        <w:ind w:right="-2"/>
        <w:rPr>
          <w:color w:val="000000"/>
          <w:lang w:val="bg-BG"/>
        </w:rPr>
      </w:pPr>
    </w:p>
    <w:p w14:paraId="3E550BAA" w14:textId="77777777" w:rsidR="001B628D" w:rsidRPr="00FE6AC6" w:rsidRDefault="001B628D" w:rsidP="0063575E">
      <w:pPr>
        <w:keepNext/>
        <w:widowControl w:val="0"/>
        <w:numPr>
          <w:ilvl w:val="12"/>
          <w:numId w:val="0"/>
        </w:numPr>
        <w:spacing w:line="240" w:lineRule="auto"/>
        <w:ind w:right="-2"/>
        <w:rPr>
          <w:i/>
          <w:color w:val="000000"/>
          <w:lang w:val="bg-BG"/>
        </w:rPr>
      </w:pPr>
      <w:r w:rsidRPr="00FE6AC6">
        <w:rPr>
          <w:b/>
          <w:color w:val="000000"/>
          <w:lang w:val="bg-BG"/>
        </w:rPr>
        <w:t xml:space="preserve">Много чести </w:t>
      </w:r>
      <w:r w:rsidRPr="00FE6AC6">
        <w:rPr>
          <w:color w:val="000000"/>
          <w:lang w:val="bg-BG"/>
        </w:rPr>
        <w:t>(може да засегнат повече от 1 на 10 души)</w:t>
      </w:r>
      <w:r w:rsidRPr="00FE6AC6">
        <w:rPr>
          <w:b/>
          <w:color w:val="000000"/>
          <w:lang w:val="bg-BG"/>
        </w:rPr>
        <w:t xml:space="preserve"> или чести </w:t>
      </w:r>
      <w:r w:rsidRPr="00FE6AC6">
        <w:rPr>
          <w:color w:val="000000"/>
          <w:lang w:val="bg-BG"/>
        </w:rPr>
        <w:t>(може да засегнат до 1</w:t>
      </w:r>
      <w:r w:rsidRPr="00FE6AC6">
        <w:rPr>
          <w:b/>
          <w:color w:val="000000"/>
          <w:lang w:val="bg-BG"/>
        </w:rPr>
        <w:t xml:space="preserve"> </w:t>
      </w:r>
      <w:r w:rsidRPr="00FE6AC6">
        <w:rPr>
          <w:color w:val="000000"/>
          <w:lang w:val="bg-BG"/>
        </w:rPr>
        <w:t>на 10 души):</w:t>
      </w:r>
    </w:p>
    <w:p w14:paraId="3E550BAB"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bCs/>
          <w:color w:val="000000"/>
          <w:lang w:val="bg-BG"/>
        </w:rPr>
        <w:t xml:space="preserve">Бързо покачване на теглото. </w:t>
      </w:r>
      <w:r w:rsidRPr="00FE6AC6">
        <w:rPr>
          <w:color w:val="000000"/>
          <w:lang w:val="bg-BG"/>
        </w:rPr>
        <w:t>Glivec може да предизвика задържане на вода в организма (тежка задръжка на течности);</w:t>
      </w:r>
    </w:p>
    <w:p w14:paraId="3E550BAC"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Признаци на инфекция като температура, тежки втрисания, зачервяване на гърлото или ранички в устата. Glivec може да доведе до понижаване на броя на белите кръвни клетки и така да станете по-податливи на инфекции;</w:t>
      </w:r>
    </w:p>
    <w:p w14:paraId="3E550BAD"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Неочаквани кръвотечения или синини (без да сте се наранявали).</w:t>
      </w:r>
    </w:p>
    <w:p w14:paraId="3E550BAE" w14:textId="77777777" w:rsidR="001B628D" w:rsidRPr="00FE6AC6" w:rsidRDefault="001B628D" w:rsidP="0063575E">
      <w:pPr>
        <w:widowControl w:val="0"/>
        <w:tabs>
          <w:tab w:val="clear" w:pos="567"/>
          <w:tab w:val="left" w:pos="-1701"/>
        </w:tabs>
        <w:spacing w:line="240" w:lineRule="auto"/>
        <w:ind w:right="-2"/>
        <w:rPr>
          <w:color w:val="000000"/>
          <w:szCs w:val="22"/>
          <w:lang w:val="bg-BG"/>
        </w:rPr>
      </w:pPr>
    </w:p>
    <w:p w14:paraId="3E550BAF" w14:textId="77777777" w:rsidR="001B628D" w:rsidRPr="00FE6AC6" w:rsidRDefault="001B628D" w:rsidP="0063575E">
      <w:pPr>
        <w:keepNext/>
        <w:widowControl w:val="0"/>
        <w:numPr>
          <w:ilvl w:val="12"/>
          <w:numId w:val="0"/>
        </w:numPr>
        <w:spacing w:line="240" w:lineRule="auto"/>
        <w:rPr>
          <w:i/>
          <w:color w:val="000000"/>
          <w:szCs w:val="22"/>
          <w:lang w:val="bg-BG"/>
        </w:rPr>
      </w:pPr>
      <w:r w:rsidRPr="00FE6AC6">
        <w:rPr>
          <w:b/>
          <w:color w:val="000000"/>
          <w:szCs w:val="22"/>
          <w:lang w:val="bg-BG"/>
        </w:rPr>
        <w:t xml:space="preserve">Нечести </w:t>
      </w:r>
      <w:r w:rsidRPr="00FE6AC6">
        <w:rPr>
          <w:color w:val="000000"/>
          <w:szCs w:val="22"/>
          <w:lang w:val="bg-BG"/>
        </w:rPr>
        <w:t>(може да засегнат до 1 на 100 души)</w:t>
      </w:r>
      <w:r w:rsidRPr="00FE6AC6">
        <w:rPr>
          <w:b/>
          <w:color w:val="000000"/>
          <w:szCs w:val="22"/>
          <w:lang w:val="bg-BG"/>
        </w:rPr>
        <w:t xml:space="preserve"> или редки </w:t>
      </w:r>
      <w:r w:rsidRPr="00FE6AC6">
        <w:rPr>
          <w:color w:val="000000"/>
          <w:szCs w:val="22"/>
          <w:lang w:val="bg-BG"/>
        </w:rPr>
        <w:t>(може да засегнат до 1 на 1 000 души):</w:t>
      </w:r>
    </w:p>
    <w:p w14:paraId="3E550BB0" w14:textId="77777777" w:rsidR="001B628D" w:rsidRPr="00FE6AC6" w:rsidRDefault="001B628D" w:rsidP="0063575E">
      <w:pPr>
        <w:pStyle w:val="Text"/>
        <w:widowControl w:val="0"/>
        <w:numPr>
          <w:ilvl w:val="0"/>
          <w:numId w:val="11"/>
        </w:numPr>
        <w:tabs>
          <w:tab w:val="clear" w:pos="360"/>
        </w:tabs>
        <w:spacing w:before="0"/>
        <w:ind w:left="567" w:hanging="567"/>
        <w:jc w:val="left"/>
        <w:rPr>
          <w:color w:val="000000"/>
          <w:sz w:val="22"/>
          <w:szCs w:val="22"/>
          <w:lang w:val="bg-BG"/>
        </w:rPr>
      </w:pPr>
      <w:r w:rsidRPr="00FE6AC6">
        <w:rPr>
          <w:color w:val="000000"/>
          <w:sz w:val="22"/>
          <w:szCs w:val="22"/>
          <w:lang w:val="bg-BG"/>
        </w:rPr>
        <w:t>Гръдна болка, неправилен сърдечен ритъм (признаци на сърдечни проблеми);</w:t>
      </w:r>
    </w:p>
    <w:p w14:paraId="3E550BB1" w14:textId="77777777" w:rsidR="001B628D" w:rsidRPr="00FE6AC6" w:rsidRDefault="001B628D" w:rsidP="0063575E">
      <w:pPr>
        <w:pStyle w:val="Text"/>
        <w:widowControl w:val="0"/>
        <w:numPr>
          <w:ilvl w:val="0"/>
          <w:numId w:val="11"/>
        </w:numPr>
        <w:tabs>
          <w:tab w:val="clear" w:pos="360"/>
        </w:tabs>
        <w:spacing w:before="0"/>
        <w:ind w:left="567" w:hanging="567"/>
        <w:jc w:val="left"/>
        <w:rPr>
          <w:color w:val="000000"/>
          <w:sz w:val="22"/>
          <w:szCs w:val="22"/>
          <w:lang w:val="bg-BG"/>
        </w:rPr>
      </w:pPr>
      <w:r w:rsidRPr="00FE6AC6">
        <w:rPr>
          <w:color w:val="000000"/>
          <w:sz w:val="22"/>
          <w:szCs w:val="22"/>
          <w:lang w:val="bg-BG"/>
        </w:rPr>
        <w:t>Кашлица, затруднено дишане или болка при дишане (признаци на белодробни проблеми);</w:t>
      </w:r>
    </w:p>
    <w:p w14:paraId="3E550BB2" w14:textId="77777777" w:rsidR="001B628D" w:rsidRPr="00FE6AC6" w:rsidRDefault="001B628D" w:rsidP="0063575E">
      <w:pPr>
        <w:pStyle w:val="Text"/>
        <w:widowControl w:val="0"/>
        <w:numPr>
          <w:ilvl w:val="0"/>
          <w:numId w:val="11"/>
        </w:numPr>
        <w:tabs>
          <w:tab w:val="clear" w:pos="360"/>
        </w:tabs>
        <w:spacing w:before="0"/>
        <w:ind w:left="567" w:hanging="567"/>
        <w:jc w:val="left"/>
        <w:rPr>
          <w:color w:val="000000"/>
          <w:sz w:val="22"/>
          <w:szCs w:val="22"/>
          <w:lang w:val="bg-BG"/>
        </w:rPr>
      </w:pPr>
      <w:r w:rsidRPr="00FE6AC6">
        <w:rPr>
          <w:color w:val="000000"/>
          <w:sz w:val="22"/>
          <w:szCs w:val="22"/>
          <w:lang w:val="bg-BG"/>
        </w:rPr>
        <w:t>Усещане за прималяване, замаяност или припадъци (признаци на ниско кръвно налягане);</w:t>
      </w:r>
    </w:p>
    <w:p w14:paraId="3E550BB3" w14:textId="77777777" w:rsidR="001B628D" w:rsidRPr="00FE6AC6" w:rsidRDefault="001B628D" w:rsidP="0063575E">
      <w:pPr>
        <w:pStyle w:val="Text"/>
        <w:widowControl w:val="0"/>
        <w:numPr>
          <w:ilvl w:val="0"/>
          <w:numId w:val="12"/>
        </w:numPr>
        <w:tabs>
          <w:tab w:val="clear" w:pos="360"/>
        </w:tabs>
        <w:spacing w:before="0"/>
        <w:ind w:left="567" w:hanging="567"/>
        <w:jc w:val="left"/>
        <w:rPr>
          <w:color w:val="000000"/>
          <w:sz w:val="22"/>
          <w:szCs w:val="22"/>
          <w:lang w:val="bg-BG"/>
        </w:rPr>
      </w:pPr>
      <w:r w:rsidRPr="00FE6AC6">
        <w:rPr>
          <w:color w:val="000000"/>
          <w:sz w:val="22"/>
          <w:szCs w:val="22"/>
          <w:lang w:val="bg-BG"/>
        </w:rPr>
        <w:t>Гадене (повдигане), загуба на апетит, тъмно оцветяване на урината, пожълтяване на кожата или очите (признаци на чернодробни проблеми);</w:t>
      </w:r>
    </w:p>
    <w:p w14:paraId="3E550BB4"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 xml:space="preserve">Обрив, зачервена кожа с мехури по устните, очите, кожата или устата, лющене на кожата, висока температура, надигнати червени или морави кожни петна, сърбеж, усещане за парене, гнойна ерупция </w:t>
      </w:r>
      <w:r w:rsidRPr="00FE6AC6">
        <w:rPr>
          <w:color w:val="000000"/>
          <w:lang w:val="ru-RU"/>
        </w:rPr>
        <w:t>(</w:t>
      </w:r>
      <w:r w:rsidRPr="00FE6AC6">
        <w:rPr>
          <w:color w:val="000000"/>
          <w:lang w:val="bg-BG"/>
        </w:rPr>
        <w:t>признаци на кожни проблеми</w:t>
      </w:r>
      <w:r w:rsidRPr="00FE6AC6">
        <w:rPr>
          <w:color w:val="000000"/>
          <w:lang w:val="ru-RU"/>
        </w:rPr>
        <w:t>)</w:t>
      </w:r>
      <w:r w:rsidRPr="00FE6AC6">
        <w:rPr>
          <w:color w:val="000000"/>
          <w:lang w:val="bg-BG"/>
        </w:rPr>
        <w:t>;</w:t>
      </w:r>
    </w:p>
    <w:p w14:paraId="3E550BB5"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Силна болка в корема, кръв в повърнатите от Вас материи, в изпражненията или урината, черни изпражнения (признаци на стомашно-чревни нарушения);</w:t>
      </w:r>
    </w:p>
    <w:p w14:paraId="3E550BB6"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Силно намалено отделяне на урина, усещане за жажда (признаци на бъбречни проблеми);</w:t>
      </w:r>
    </w:p>
    <w:p w14:paraId="3E550BB7"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Гадене (повдигане) с диария и повръщане, болка в корема или висока температура (признаци на чревни проблеми);</w:t>
      </w:r>
    </w:p>
    <w:p w14:paraId="3E550BB8"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szCs w:val="22"/>
          <w:lang w:val="bg-BG"/>
        </w:rPr>
        <w:t>Силно главоболие, слабост или парализа на крайниците или лицето, затруднен говор, внезапна загуба на съзнание (признаци на проблеми от страна на нервната система, като кървене или вътречерепен/мозъчен оток)</w:t>
      </w:r>
      <w:r w:rsidRPr="00FE6AC6">
        <w:rPr>
          <w:color w:val="000000"/>
          <w:lang w:val="ru-RU"/>
        </w:rPr>
        <w:t>;</w:t>
      </w:r>
    </w:p>
    <w:p w14:paraId="3E550BB9"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ru-RU"/>
        </w:rPr>
        <w:t>Бледа кожа, усещане за умора и затруднено дишане, потъмняване на урината (признаци на понижен брой на червените кръвни клетки)</w:t>
      </w:r>
      <w:r w:rsidRPr="00FE6AC6">
        <w:rPr>
          <w:color w:val="000000"/>
          <w:lang w:val="bg-BG"/>
        </w:rPr>
        <w:t>;</w:t>
      </w:r>
    </w:p>
    <w:p w14:paraId="3E550BBA"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Болка в очите или влошаване на зрението, кръвоизливи в очите;</w:t>
      </w:r>
    </w:p>
    <w:p w14:paraId="3E550BBB"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Болка в бедрата или затруднения при ходене;</w:t>
      </w:r>
    </w:p>
    <w:p w14:paraId="3E550BBC"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Изтръпнали или студени пръсти на краката и ръцете (признаци на синдрома на Рейно);</w:t>
      </w:r>
    </w:p>
    <w:p w14:paraId="3E550BBD"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Внезапно отичане и зачервяване на кожата (признаци на кожна инфекция, наречена целулит);</w:t>
      </w:r>
    </w:p>
    <w:p w14:paraId="3E550BBE"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Намален слух;</w:t>
      </w:r>
    </w:p>
    <w:p w14:paraId="3E550BBF"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Мускулна слабост и спазми с нарушен сърдечен ритъм (признаци за промяна на количеството на калий в кръвта);</w:t>
      </w:r>
    </w:p>
    <w:p w14:paraId="3E550BC0"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Образуване на синини;</w:t>
      </w:r>
    </w:p>
    <w:p w14:paraId="3E550BC1"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Болка в стомаха с гадене (повдигане);</w:t>
      </w:r>
    </w:p>
    <w:p w14:paraId="3E550BC2"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 xml:space="preserve">Мускулни спазми с температура, червено-кафяво оцветяване на урината, мускулна болка или слабост </w:t>
      </w:r>
      <w:r w:rsidRPr="00FE6AC6">
        <w:rPr>
          <w:color w:val="000000"/>
          <w:lang w:val="ru-RU"/>
        </w:rPr>
        <w:t>(</w:t>
      </w:r>
      <w:r w:rsidRPr="00FE6AC6">
        <w:rPr>
          <w:color w:val="000000"/>
          <w:lang w:val="bg-BG"/>
        </w:rPr>
        <w:t>признаци на мускулни проблеми</w:t>
      </w:r>
      <w:r w:rsidRPr="00FE6AC6">
        <w:rPr>
          <w:color w:val="000000"/>
          <w:lang w:val="ru-RU"/>
        </w:rPr>
        <w:t>);</w:t>
      </w:r>
    </w:p>
    <w:p w14:paraId="3E550BC3"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ru-RU"/>
        </w:rPr>
        <w:t>Болка в областта на таза, понякога придружена от гадене и повръщане, необяснимо кървене от влагалището, усещане за замаяност или припадъци, поради спадане на кръвното налягане (признаци на проблеми с яйчниците или матката);</w:t>
      </w:r>
    </w:p>
    <w:p w14:paraId="3E550BC4" w14:textId="77777777" w:rsidR="0050241B"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ru-RU"/>
        </w:rPr>
        <w:t xml:space="preserve">Гадене, недостиг на въздух, неправилен сърдечен ритъм, помътняване на урината, умора и/или дискомфорт в ставите, свързани с отклонения в лабораторните показатели (напр. високи нива на калий, пикочна киселина и </w:t>
      </w:r>
      <w:r w:rsidR="004C0FDD" w:rsidRPr="00FE6AC6">
        <w:rPr>
          <w:color w:val="000000"/>
          <w:lang w:val="ru-RU"/>
        </w:rPr>
        <w:t>калций</w:t>
      </w:r>
      <w:r w:rsidRPr="00FE6AC6">
        <w:rPr>
          <w:color w:val="000000"/>
          <w:lang w:val="ru-RU"/>
        </w:rPr>
        <w:t xml:space="preserve"> и ниски нива на </w:t>
      </w:r>
      <w:r w:rsidR="004C0FDD" w:rsidRPr="00FE6AC6">
        <w:rPr>
          <w:color w:val="000000"/>
          <w:lang w:val="ru-RU"/>
        </w:rPr>
        <w:t>фосфор</w:t>
      </w:r>
      <w:r w:rsidRPr="00FE6AC6">
        <w:rPr>
          <w:color w:val="000000"/>
          <w:lang w:val="ru-RU"/>
        </w:rPr>
        <w:t xml:space="preserve"> в кръвта)</w:t>
      </w:r>
      <w:r w:rsidR="0050241B" w:rsidRPr="00FE6AC6">
        <w:rPr>
          <w:color w:val="000000"/>
          <w:lang w:val="ru-RU"/>
        </w:rPr>
        <w:t>;</w:t>
      </w:r>
    </w:p>
    <w:p w14:paraId="3E550BC5" w14:textId="77777777" w:rsidR="001B628D" w:rsidRPr="00FE6AC6" w:rsidRDefault="009975E9"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ru-RU"/>
        </w:rPr>
        <w:t>Кръвни съсиреци в малките кръвоносни съдове (тромботична микроангиопатия)</w:t>
      </w:r>
      <w:r w:rsidR="001B628D" w:rsidRPr="00FE6AC6">
        <w:rPr>
          <w:color w:val="000000"/>
          <w:lang w:val="ru-RU"/>
        </w:rPr>
        <w:t>.</w:t>
      </w:r>
    </w:p>
    <w:p w14:paraId="3E550BC6" w14:textId="77777777" w:rsidR="005B7D7C" w:rsidRPr="00FE6AC6" w:rsidRDefault="005B7D7C" w:rsidP="0063575E">
      <w:pPr>
        <w:pStyle w:val="Text"/>
        <w:widowControl w:val="0"/>
        <w:spacing w:before="0"/>
        <w:jc w:val="left"/>
        <w:rPr>
          <w:color w:val="000000"/>
          <w:sz w:val="22"/>
          <w:szCs w:val="22"/>
          <w:lang w:val="bg-BG"/>
        </w:rPr>
      </w:pPr>
    </w:p>
    <w:p w14:paraId="3E550BC7" w14:textId="77777777" w:rsidR="00044A17" w:rsidRPr="00FE6AC6" w:rsidRDefault="005B7D7C" w:rsidP="0063575E">
      <w:pPr>
        <w:pStyle w:val="Text"/>
        <w:keepNext/>
        <w:widowControl w:val="0"/>
        <w:spacing w:before="0"/>
        <w:jc w:val="left"/>
        <w:rPr>
          <w:color w:val="000000"/>
          <w:sz w:val="22"/>
          <w:szCs w:val="22"/>
          <w:lang w:val="bg-BG"/>
        </w:rPr>
      </w:pPr>
      <w:r w:rsidRPr="00FE6AC6">
        <w:rPr>
          <w:b/>
          <w:color w:val="000000"/>
          <w:sz w:val="22"/>
          <w:szCs w:val="22"/>
          <w:lang w:val="bg-BG"/>
        </w:rPr>
        <w:t>С неизвестна честота</w:t>
      </w:r>
      <w:r w:rsidR="00044A17" w:rsidRPr="00FE6AC6">
        <w:rPr>
          <w:b/>
          <w:color w:val="000000"/>
          <w:sz w:val="22"/>
          <w:szCs w:val="22"/>
          <w:lang w:val="bg-BG"/>
        </w:rPr>
        <w:t xml:space="preserve"> </w:t>
      </w:r>
      <w:r w:rsidR="00044A17" w:rsidRPr="00FE6AC6">
        <w:rPr>
          <w:noProof/>
          <w:sz w:val="22"/>
          <w:szCs w:val="22"/>
          <w:lang w:val="bg-BG"/>
        </w:rPr>
        <w:t>(от наличните данни не може да бъде направена оценка на честотата)</w:t>
      </w:r>
      <w:r w:rsidR="00044A17" w:rsidRPr="00FE6AC6">
        <w:rPr>
          <w:color w:val="000000"/>
          <w:sz w:val="22"/>
          <w:szCs w:val="22"/>
          <w:lang w:val="bg-BG"/>
        </w:rPr>
        <w:t>:</w:t>
      </w:r>
    </w:p>
    <w:p w14:paraId="3E550BC8" w14:textId="77777777" w:rsidR="00AE7D26" w:rsidRPr="00FE6AC6" w:rsidRDefault="005B7D7C" w:rsidP="0063575E">
      <w:pPr>
        <w:pStyle w:val="Text"/>
        <w:widowControl w:val="0"/>
        <w:numPr>
          <w:ilvl w:val="0"/>
          <w:numId w:val="42"/>
        </w:numPr>
        <w:tabs>
          <w:tab w:val="clear" w:pos="357"/>
        </w:tabs>
        <w:spacing w:before="0"/>
        <w:ind w:left="567" w:hanging="567"/>
        <w:jc w:val="left"/>
        <w:rPr>
          <w:sz w:val="22"/>
          <w:szCs w:val="22"/>
          <w:lang w:val="bg-BG"/>
        </w:rPr>
      </w:pPr>
      <w:r w:rsidRPr="00FE6AC6">
        <w:rPr>
          <w:sz w:val="22"/>
          <w:szCs w:val="22"/>
          <w:lang w:val="bg-BG"/>
        </w:rPr>
        <w:t xml:space="preserve">Комбинация от </w:t>
      </w:r>
      <w:r w:rsidR="00E01AB3" w:rsidRPr="00FE6AC6">
        <w:rPr>
          <w:sz w:val="22"/>
          <w:szCs w:val="22"/>
          <w:lang w:val="bg-BG"/>
        </w:rPr>
        <w:t>широко разпространен</w:t>
      </w:r>
      <w:r w:rsidRPr="00FE6AC6">
        <w:rPr>
          <w:sz w:val="22"/>
          <w:szCs w:val="22"/>
          <w:lang w:val="bg-BG"/>
        </w:rPr>
        <w:t xml:space="preserve"> тежък обрив, гадене, висока температура, повишен брой на определени бели кръвни клетки или пожълтяване на кожата или очите (признаци на жълтеница) със задух, гръдна болка/дискомфорт, силно намаляване на количеството на отделената урина, жажда и т.н. (признаци на алергична реакция, свързана с лечението)</w:t>
      </w:r>
      <w:r w:rsidR="00AE7D26" w:rsidRPr="00FE6AC6">
        <w:rPr>
          <w:sz w:val="22"/>
          <w:szCs w:val="22"/>
          <w:lang w:val="bg-BG"/>
        </w:rPr>
        <w:t>;</w:t>
      </w:r>
    </w:p>
    <w:p w14:paraId="3E550BC9" w14:textId="77777777" w:rsidR="005B7D7C" w:rsidRPr="00FE6AC6" w:rsidRDefault="00AE7D26" w:rsidP="0063575E">
      <w:pPr>
        <w:pStyle w:val="Text"/>
        <w:widowControl w:val="0"/>
        <w:numPr>
          <w:ilvl w:val="0"/>
          <w:numId w:val="42"/>
        </w:numPr>
        <w:tabs>
          <w:tab w:val="clear" w:pos="357"/>
        </w:tabs>
        <w:spacing w:before="0"/>
        <w:ind w:left="567" w:hanging="567"/>
        <w:jc w:val="left"/>
        <w:rPr>
          <w:sz w:val="22"/>
          <w:szCs w:val="22"/>
          <w:lang w:val="bg-BG"/>
        </w:rPr>
      </w:pPr>
      <w:r w:rsidRPr="00FE6AC6">
        <w:rPr>
          <w:sz w:val="22"/>
          <w:szCs w:val="22"/>
          <w:lang w:val="bg-BG"/>
        </w:rPr>
        <w:t>Хронична бъбречна недостатъчност</w:t>
      </w:r>
      <w:r w:rsidR="005B7D7C" w:rsidRPr="00FE6AC6">
        <w:rPr>
          <w:sz w:val="22"/>
          <w:szCs w:val="22"/>
          <w:lang w:val="bg-BG"/>
        </w:rPr>
        <w:t>.</w:t>
      </w:r>
    </w:p>
    <w:p w14:paraId="3E550BCA" w14:textId="77777777" w:rsidR="005E1CCC" w:rsidRPr="00FE6AC6" w:rsidRDefault="005E1CCC" w:rsidP="0063575E">
      <w:pPr>
        <w:pStyle w:val="Text"/>
        <w:widowControl w:val="0"/>
        <w:numPr>
          <w:ilvl w:val="0"/>
          <w:numId w:val="42"/>
        </w:numPr>
        <w:tabs>
          <w:tab w:val="clear" w:pos="357"/>
        </w:tabs>
        <w:spacing w:before="0"/>
        <w:ind w:left="567" w:hanging="567"/>
        <w:jc w:val="left"/>
        <w:rPr>
          <w:sz w:val="22"/>
          <w:szCs w:val="22"/>
          <w:lang w:val="bg-BG"/>
        </w:rPr>
      </w:pPr>
      <w:r w:rsidRPr="00FE6AC6">
        <w:rPr>
          <w:sz w:val="22"/>
          <w:szCs w:val="22"/>
          <w:lang w:val="bg-BG"/>
        </w:rPr>
        <w:t>Рецидив (повторно активиране) на инфекция с хепатит В, когато сте имали хепатит B в миналото (инфекция на черния дроб).</w:t>
      </w:r>
    </w:p>
    <w:p w14:paraId="3E550BCB" w14:textId="77777777" w:rsidR="005B7D7C" w:rsidRPr="00FE6AC6" w:rsidRDefault="005B7D7C" w:rsidP="0063575E">
      <w:pPr>
        <w:widowControl w:val="0"/>
        <w:tabs>
          <w:tab w:val="clear" w:pos="567"/>
        </w:tabs>
        <w:spacing w:line="240" w:lineRule="auto"/>
        <w:ind w:right="-2"/>
        <w:rPr>
          <w:color w:val="000000"/>
          <w:lang w:val="bg-BG"/>
        </w:rPr>
      </w:pPr>
    </w:p>
    <w:p w14:paraId="3E550BCC" w14:textId="77777777" w:rsidR="001B628D" w:rsidRPr="00FE6AC6" w:rsidRDefault="001B628D" w:rsidP="0063575E">
      <w:pPr>
        <w:widowControl w:val="0"/>
        <w:tabs>
          <w:tab w:val="clear" w:pos="567"/>
        </w:tabs>
        <w:spacing w:line="240" w:lineRule="auto"/>
        <w:ind w:right="-2"/>
        <w:rPr>
          <w:b/>
          <w:color w:val="000000"/>
          <w:lang w:val="bg-BG"/>
        </w:rPr>
      </w:pPr>
      <w:r w:rsidRPr="00FE6AC6">
        <w:rPr>
          <w:color w:val="000000"/>
          <w:lang w:val="bg-BG"/>
        </w:rPr>
        <w:t xml:space="preserve">Ако получите някоя от изброените по-горе нежелани реакции, </w:t>
      </w:r>
      <w:r w:rsidRPr="00FE6AC6">
        <w:rPr>
          <w:b/>
          <w:color w:val="000000"/>
          <w:lang w:val="bg-BG"/>
        </w:rPr>
        <w:t>информирайте Вашия лекар незабавно.</w:t>
      </w:r>
    </w:p>
    <w:p w14:paraId="3E550BCD" w14:textId="77777777" w:rsidR="001B628D" w:rsidRPr="00FE6AC6" w:rsidRDefault="001B628D" w:rsidP="0063575E">
      <w:pPr>
        <w:widowControl w:val="0"/>
        <w:tabs>
          <w:tab w:val="clear" w:pos="567"/>
        </w:tabs>
        <w:spacing w:line="240" w:lineRule="auto"/>
        <w:ind w:right="-2"/>
        <w:rPr>
          <w:color w:val="000000"/>
          <w:lang w:val="bg-BG"/>
        </w:rPr>
      </w:pPr>
    </w:p>
    <w:p w14:paraId="3E550BCE" w14:textId="77777777" w:rsidR="001B628D" w:rsidRPr="00FE6AC6" w:rsidRDefault="001B628D" w:rsidP="0063575E">
      <w:pPr>
        <w:keepNext/>
        <w:widowControl w:val="0"/>
        <w:spacing w:line="240" w:lineRule="auto"/>
        <w:ind w:right="-2"/>
        <w:rPr>
          <w:b/>
          <w:color w:val="000000"/>
          <w:lang w:val="bg-BG"/>
        </w:rPr>
      </w:pPr>
      <w:r w:rsidRPr="00FE6AC6">
        <w:rPr>
          <w:b/>
          <w:color w:val="000000"/>
          <w:lang w:val="bg-BG"/>
        </w:rPr>
        <w:t>Други нежелани реакции могат да включват:</w:t>
      </w:r>
    </w:p>
    <w:p w14:paraId="3E550BCF" w14:textId="77777777" w:rsidR="001B628D" w:rsidRPr="00FE6AC6" w:rsidRDefault="001B628D" w:rsidP="0063575E">
      <w:pPr>
        <w:keepNext/>
        <w:widowControl w:val="0"/>
        <w:spacing w:line="240" w:lineRule="auto"/>
        <w:ind w:right="-2"/>
        <w:rPr>
          <w:color w:val="000000"/>
          <w:lang w:val="bg-BG"/>
        </w:rPr>
      </w:pPr>
    </w:p>
    <w:p w14:paraId="3E550BD0" w14:textId="77777777" w:rsidR="001B628D" w:rsidRPr="00FE6AC6" w:rsidRDefault="001B628D" w:rsidP="0063575E">
      <w:pPr>
        <w:keepNext/>
        <w:widowControl w:val="0"/>
        <w:spacing w:line="240" w:lineRule="auto"/>
        <w:ind w:right="-2"/>
        <w:rPr>
          <w:color w:val="000000"/>
          <w:lang w:val="bg-BG"/>
        </w:rPr>
      </w:pPr>
      <w:r w:rsidRPr="00FE6AC6">
        <w:rPr>
          <w:b/>
          <w:color w:val="000000"/>
          <w:lang w:val="bg-BG"/>
        </w:rPr>
        <w:t xml:space="preserve">Много чести </w:t>
      </w:r>
      <w:r w:rsidRPr="00FE6AC6">
        <w:rPr>
          <w:color w:val="000000"/>
          <w:lang w:val="bg-BG"/>
        </w:rPr>
        <w:t>(може да засегнат повече от 1 на 10 души):</w:t>
      </w:r>
    </w:p>
    <w:p w14:paraId="3E550BD1" w14:textId="77777777" w:rsidR="001B628D" w:rsidRPr="00FE6AC6" w:rsidRDefault="001B628D" w:rsidP="0063575E">
      <w:pPr>
        <w:widowControl w:val="0"/>
        <w:numPr>
          <w:ilvl w:val="0"/>
          <w:numId w:val="25"/>
        </w:numPr>
        <w:tabs>
          <w:tab w:val="clear" w:pos="927"/>
          <w:tab w:val="num" w:pos="567"/>
        </w:tabs>
        <w:spacing w:line="240" w:lineRule="auto"/>
        <w:ind w:left="567" w:right="-2" w:hanging="567"/>
        <w:rPr>
          <w:b/>
          <w:color w:val="000000"/>
          <w:lang w:val="bg-BG"/>
        </w:rPr>
      </w:pPr>
      <w:r w:rsidRPr="00FE6AC6">
        <w:rPr>
          <w:color w:val="000000"/>
          <w:lang w:val="bg-BG"/>
        </w:rPr>
        <w:t>Главоболие или усещане за умора;</w:t>
      </w:r>
    </w:p>
    <w:p w14:paraId="3E550BD2" w14:textId="77777777" w:rsidR="001B628D" w:rsidRPr="00FE6AC6" w:rsidRDefault="001B628D" w:rsidP="0063575E">
      <w:pPr>
        <w:widowControl w:val="0"/>
        <w:numPr>
          <w:ilvl w:val="0"/>
          <w:numId w:val="26"/>
        </w:numPr>
        <w:tabs>
          <w:tab w:val="clear" w:pos="927"/>
          <w:tab w:val="num" w:pos="567"/>
        </w:tabs>
        <w:spacing w:line="240" w:lineRule="auto"/>
        <w:ind w:left="567" w:right="-2" w:hanging="567"/>
        <w:rPr>
          <w:b/>
          <w:color w:val="000000"/>
          <w:lang w:val="bg-BG"/>
        </w:rPr>
      </w:pPr>
      <w:r w:rsidRPr="00FE6AC6">
        <w:rPr>
          <w:color w:val="000000"/>
          <w:lang w:val="bg-BG"/>
        </w:rPr>
        <w:t>Гадене (повдигане), повръщане, диария или лошо храносмилане;</w:t>
      </w:r>
    </w:p>
    <w:p w14:paraId="3E550BD3" w14:textId="77777777" w:rsidR="001B628D" w:rsidRPr="00FE6AC6" w:rsidRDefault="001B628D" w:rsidP="0063575E">
      <w:pPr>
        <w:widowControl w:val="0"/>
        <w:numPr>
          <w:ilvl w:val="0"/>
          <w:numId w:val="27"/>
        </w:numPr>
        <w:tabs>
          <w:tab w:val="clear" w:pos="927"/>
          <w:tab w:val="num" w:pos="567"/>
        </w:tabs>
        <w:spacing w:line="240" w:lineRule="auto"/>
        <w:ind w:left="567" w:right="-2" w:hanging="567"/>
        <w:rPr>
          <w:b/>
          <w:color w:val="000000"/>
          <w:lang w:val="bg-BG"/>
        </w:rPr>
      </w:pPr>
      <w:r w:rsidRPr="00FE6AC6">
        <w:rPr>
          <w:color w:val="000000"/>
          <w:lang w:val="bg-BG"/>
        </w:rPr>
        <w:t>Обрив;</w:t>
      </w:r>
    </w:p>
    <w:p w14:paraId="3E550BD4" w14:textId="77777777" w:rsidR="001B628D" w:rsidRPr="00FE6AC6" w:rsidRDefault="001B628D" w:rsidP="0063575E">
      <w:pPr>
        <w:widowControl w:val="0"/>
        <w:numPr>
          <w:ilvl w:val="0"/>
          <w:numId w:val="28"/>
        </w:numPr>
        <w:tabs>
          <w:tab w:val="clear" w:pos="927"/>
          <w:tab w:val="num" w:pos="567"/>
        </w:tabs>
        <w:spacing w:line="240" w:lineRule="auto"/>
        <w:ind w:left="567" w:right="-2" w:hanging="567"/>
        <w:rPr>
          <w:b/>
          <w:color w:val="000000"/>
          <w:lang w:val="bg-BG"/>
        </w:rPr>
      </w:pPr>
      <w:r w:rsidRPr="00FE6AC6">
        <w:rPr>
          <w:color w:val="000000"/>
          <w:lang w:val="bg-BG"/>
        </w:rPr>
        <w:t>Мускулни спазми или болки в ставите, мускулите или костите</w:t>
      </w:r>
      <w:r w:rsidR="00F86F31" w:rsidRPr="00FE6AC6">
        <w:rPr>
          <w:color w:val="000000"/>
          <w:lang w:val="bg-BG"/>
        </w:rPr>
        <w:t xml:space="preserve"> по време на лечението с </w:t>
      </w:r>
      <w:r w:rsidR="00F86F31" w:rsidRPr="00FE6AC6">
        <w:rPr>
          <w:color w:val="000000"/>
          <w:lang w:val="en-US"/>
        </w:rPr>
        <w:t>Glivec</w:t>
      </w:r>
      <w:r w:rsidR="00F86F31" w:rsidRPr="00FE6AC6">
        <w:rPr>
          <w:color w:val="000000"/>
          <w:lang w:val="bg-BG"/>
        </w:rPr>
        <w:t xml:space="preserve"> или след като сте спрели приема на </w:t>
      </w:r>
      <w:r w:rsidR="00F86F31" w:rsidRPr="00FE6AC6">
        <w:rPr>
          <w:color w:val="000000"/>
          <w:lang w:val="en-US"/>
        </w:rPr>
        <w:t>Glivec</w:t>
      </w:r>
      <w:r w:rsidRPr="00FE6AC6">
        <w:rPr>
          <w:color w:val="000000"/>
          <w:lang w:val="bg-BG"/>
        </w:rPr>
        <w:t>;</w:t>
      </w:r>
    </w:p>
    <w:p w14:paraId="3E550BD5" w14:textId="77777777" w:rsidR="001B628D" w:rsidRPr="00FE6AC6" w:rsidRDefault="001B628D" w:rsidP="0063575E">
      <w:pPr>
        <w:widowControl w:val="0"/>
        <w:numPr>
          <w:ilvl w:val="0"/>
          <w:numId w:val="29"/>
        </w:numPr>
        <w:tabs>
          <w:tab w:val="clear" w:pos="927"/>
        </w:tabs>
        <w:spacing w:line="240" w:lineRule="auto"/>
        <w:ind w:left="567" w:right="-2" w:hanging="567"/>
        <w:rPr>
          <w:b/>
          <w:color w:val="000000"/>
          <w:lang w:val="bg-BG"/>
        </w:rPr>
      </w:pPr>
      <w:r w:rsidRPr="00FE6AC6">
        <w:rPr>
          <w:color w:val="000000"/>
          <w:lang w:val="bg-BG"/>
        </w:rPr>
        <w:t>Отичане на глезените или подпухване на клепачите;</w:t>
      </w:r>
    </w:p>
    <w:p w14:paraId="3E550BD6" w14:textId="77777777" w:rsidR="001B628D" w:rsidRPr="00FE6AC6" w:rsidRDefault="001B628D" w:rsidP="00572F70">
      <w:pPr>
        <w:keepNext/>
        <w:widowControl w:val="0"/>
        <w:numPr>
          <w:ilvl w:val="0"/>
          <w:numId w:val="30"/>
        </w:numPr>
        <w:tabs>
          <w:tab w:val="clear" w:pos="927"/>
          <w:tab w:val="num" w:pos="567"/>
        </w:tabs>
        <w:spacing w:line="240" w:lineRule="auto"/>
        <w:ind w:left="567" w:hanging="567"/>
        <w:rPr>
          <w:b/>
          <w:color w:val="000000"/>
          <w:lang w:val="bg-BG"/>
        </w:rPr>
      </w:pPr>
      <w:r w:rsidRPr="00FE6AC6">
        <w:rPr>
          <w:color w:val="000000"/>
          <w:lang w:val="bg-BG"/>
        </w:rPr>
        <w:t>Покачване на тегло.</w:t>
      </w:r>
    </w:p>
    <w:p w14:paraId="3E550BD7" w14:textId="77777777" w:rsidR="001B628D" w:rsidRPr="00FE6AC6" w:rsidRDefault="001B628D" w:rsidP="0063575E">
      <w:pPr>
        <w:widowControl w:val="0"/>
        <w:spacing w:line="240" w:lineRule="auto"/>
        <w:ind w:right="-2"/>
        <w:rPr>
          <w:color w:val="000000"/>
          <w:lang w:val="bg-BG"/>
        </w:rPr>
      </w:pPr>
      <w:r w:rsidRPr="00FE6AC6">
        <w:rPr>
          <w:color w:val="000000"/>
          <w:lang w:val="bg-BG"/>
        </w:rPr>
        <w:t xml:space="preserve">Ако някоя от тези реакции Ви засегне в сериозна степен, </w:t>
      </w:r>
      <w:r w:rsidRPr="00FE6AC6">
        <w:rPr>
          <w:b/>
          <w:color w:val="000000"/>
          <w:lang w:val="bg-BG"/>
        </w:rPr>
        <w:t>информирайте Вашия лекар.</w:t>
      </w:r>
    </w:p>
    <w:p w14:paraId="3E550BD8" w14:textId="77777777" w:rsidR="001B628D" w:rsidRPr="00FE6AC6" w:rsidRDefault="001B628D" w:rsidP="0063575E">
      <w:pPr>
        <w:widowControl w:val="0"/>
        <w:spacing w:line="240" w:lineRule="auto"/>
        <w:ind w:right="-2"/>
        <w:rPr>
          <w:color w:val="000000"/>
          <w:lang w:val="bg-BG"/>
        </w:rPr>
      </w:pPr>
    </w:p>
    <w:p w14:paraId="3E550BD9" w14:textId="77777777" w:rsidR="001B628D" w:rsidRPr="00FE6AC6" w:rsidRDefault="001B628D" w:rsidP="0063575E">
      <w:pPr>
        <w:keepNext/>
        <w:widowControl w:val="0"/>
        <w:spacing w:line="240" w:lineRule="auto"/>
        <w:ind w:right="-2"/>
        <w:rPr>
          <w:color w:val="000000"/>
          <w:lang w:val="bg-BG"/>
        </w:rPr>
      </w:pPr>
      <w:r w:rsidRPr="00FE6AC6">
        <w:rPr>
          <w:b/>
          <w:color w:val="000000"/>
          <w:lang w:val="bg-BG"/>
        </w:rPr>
        <w:t xml:space="preserve">Чести </w:t>
      </w:r>
      <w:r w:rsidRPr="00FE6AC6">
        <w:rPr>
          <w:color w:val="000000"/>
          <w:lang w:val="bg-BG"/>
        </w:rPr>
        <w:t>(може да засегнат до 1 на 10 души):</w:t>
      </w:r>
    </w:p>
    <w:p w14:paraId="3E550BDA"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Анорексия, загуба на тегло или нарушения на вкуса;</w:t>
      </w:r>
    </w:p>
    <w:p w14:paraId="3E550BDB"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Усещане за замаяност или слабост;</w:t>
      </w:r>
    </w:p>
    <w:p w14:paraId="3E550BDC"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Нарушения на съня (безсъние);</w:t>
      </w:r>
    </w:p>
    <w:p w14:paraId="3E550BDD"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Сълзене от окото със сърбеж, зачервяване и оток (конюнктивит), насълзяване на очите или замъгляване на зрението;</w:t>
      </w:r>
    </w:p>
    <w:p w14:paraId="3E550BDE"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Кървене от носа;</w:t>
      </w:r>
    </w:p>
    <w:p w14:paraId="3E550BDF"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Болка или подуване на корема, образуване на газове, киселини или запек;</w:t>
      </w:r>
    </w:p>
    <w:p w14:paraId="3E550BE0"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Сърбеж;</w:t>
      </w:r>
    </w:p>
    <w:p w14:paraId="3E550BE1"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Необясним косопад или изтъняване на косата;</w:t>
      </w:r>
    </w:p>
    <w:p w14:paraId="3E550BE2"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Изтръпване на ръцете от китката надолу или стъпалата;</w:t>
      </w:r>
    </w:p>
    <w:p w14:paraId="3E550BE3"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Ранички в устата;</w:t>
      </w:r>
    </w:p>
    <w:p w14:paraId="3E550BE4"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Болка и подуване на ставите;</w:t>
      </w:r>
    </w:p>
    <w:p w14:paraId="3E550BE5"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Сухота в устата, суха кожа, сухота в очите;</w:t>
      </w:r>
    </w:p>
    <w:p w14:paraId="3E550BE6"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Понижена или повишена чувствителност на кожата;</w:t>
      </w:r>
    </w:p>
    <w:p w14:paraId="3E550BE7" w14:textId="77777777" w:rsidR="001B628D" w:rsidRPr="00FE6AC6" w:rsidRDefault="001B628D" w:rsidP="00572F70">
      <w:pPr>
        <w:keepNext/>
        <w:widowControl w:val="0"/>
        <w:numPr>
          <w:ilvl w:val="0"/>
          <w:numId w:val="30"/>
        </w:numPr>
        <w:tabs>
          <w:tab w:val="clear" w:pos="927"/>
          <w:tab w:val="num" w:pos="567"/>
        </w:tabs>
        <w:spacing w:line="240" w:lineRule="auto"/>
        <w:ind w:left="567" w:hanging="567"/>
        <w:rPr>
          <w:color w:val="000000"/>
          <w:lang w:val="bg-BG"/>
        </w:rPr>
      </w:pPr>
      <w:r w:rsidRPr="00FE6AC6">
        <w:rPr>
          <w:color w:val="000000"/>
          <w:lang w:val="bg-BG"/>
        </w:rPr>
        <w:t>Горещи вълни, втрисане или нощни изпотявания.</w:t>
      </w:r>
    </w:p>
    <w:p w14:paraId="3E550BE8" w14:textId="77777777" w:rsidR="001B628D" w:rsidRPr="00FE6AC6" w:rsidRDefault="001B628D" w:rsidP="0063575E">
      <w:pPr>
        <w:widowControl w:val="0"/>
        <w:spacing w:line="240" w:lineRule="auto"/>
        <w:ind w:right="-2"/>
        <w:rPr>
          <w:color w:val="000000"/>
          <w:lang w:val="bg-BG"/>
        </w:rPr>
      </w:pPr>
      <w:r w:rsidRPr="00FE6AC6">
        <w:rPr>
          <w:color w:val="000000"/>
          <w:lang w:val="bg-BG"/>
        </w:rPr>
        <w:t xml:space="preserve">Ако някоя от тези реакции Ви засегне в сериозна степен, </w:t>
      </w:r>
      <w:r w:rsidRPr="00FE6AC6">
        <w:rPr>
          <w:b/>
          <w:color w:val="000000"/>
          <w:lang w:val="bg-BG"/>
        </w:rPr>
        <w:t>информирайте Вашия лекар.</w:t>
      </w:r>
    </w:p>
    <w:p w14:paraId="3E550BE9" w14:textId="77777777" w:rsidR="001B628D" w:rsidRPr="00FE6AC6" w:rsidRDefault="001B628D" w:rsidP="0063575E">
      <w:pPr>
        <w:widowControl w:val="0"/>
        <w:numPr>
          <w:ilvl w:val="12"/>
          <w:numId w:val="0"/>
        </w:numPr>
        <w:spacing w:line="240" w:lineRule="auto"/>
        <w:ind w:right="-2"/>
        <w:rPr>
          <w:color w:val="000000"/>
          <w:lang w:val="bg-BG"/>
        </w:rPr>
      </w:pPr>
    </w:p>
    <w:p w14:paraId="3E550BEA" w14:textId="77777777" w:rsidR="001B628D" w:rsidRPr="00FE6AC6" w:rsidRDefault="001B628D" w:rsidP="0063575E">
      <w:pPr>
        <w:keepNext/>
        <w:widowControl w:val="0"/>
        <w:spacing w:line="240" w:lineRule="auto"/>
        <w:rPr>
          <w:noProof/>
          <w:color w:val="000000"/>
          <w:lang w:val="bg-BG"/>
        </w:rPr>
      </w:pPr>
      <w:r w:rsidRPr="00FE6AC6">
        <w:rPr>
          <w:b/>
          <w:noProof/>
          <w:color w:val="000000"/>
          <w:lang w:val="bg-BG"/>
        </w:rPr>
        <w:t xml:space="preserve">С неизвестна честота </w:t>
      </w:r>
      <w:r w:rsidRPr="00FE6AC6">
        <w:rPr>
          <w:noProof/>
          <w:color w:val="000000"/>
          <w:lang w:val="bg-BG"/>
        </w:rPr>
        <w:t>(от наличните данни не може да бъде направена оценка на честотата):</w:t>
      </w:r>
    </w:p>
    <w:p w14:paraId="3E550BEB" w14:textId="77777777" w:rsidR="001B628D" w:rsidRPr="00FE6AC6" w:rsidRDefault="001B628D" w:rsidP="0063575E">
      <w:pPr>
        <w:widowControl w:val="0"/>
        <w:numPr>
          <w:ilvl w:val="0"/>
          <w:numId w:val="31"/>
        </w:numPr>
        <w:tabs>
          <w:tab w:val="clear" w:pos="720"/>
          <w:tab w:val="num" w:pos="567"/>
        </w:tabs>
        <w:spacing w:line="240" w:lineRule="auto"/>
        <w:ind w:left="567" w:right="-2" w:hanging="567"/>
        <w:rPr>
          <w:noProof/>
          <w:color w:val="000000"/>
          <w:lang w:val="bg-BG"/>
        </w:rPr>
      </w:pPr>
      <w:r w:rsidRPr="00FE6AC6">
        <w:rPr>
          <w:noProof/>
          <w:color w:val="000000"/>
          <w:lang w:val="bg-BG"/>
        </w:rPr>
        <w:t>Зачервяване и/или отичане на дланите на ръцете и долната част на ходилото, което може да бъде съпроводено от мравучкане или пареща болка.</w:t>
      </w:r>
    </w:p>
    <w:p w14:paraId="3E550BEC" w14:textId="77777777" w:rsidR="00E0328B" w:rsidRPr="00FE6AC6" w:rsidRDefault="00E0328B" w:rsidP="00572F70">
      <w:pPr>
        <w:widowControl w:val="0"/>
        <w:numPr>
          <w:ilvl w:val="0"/>
          <w:numId w:val="31"/>
        </w:numPr>
        <w:tabs>
          <w:tab w:val="clear" w:pos="720"/>
          <w:tab w:val="num" w:pos="567"/>
        </w:tabs>
        <w:spacing w:line="240" w:lineRule="auto"/>
        <w:ind w:left="567" w:hanging="567"/>
        <w:rPr>
          <w:noProof/>
          <w:color w:val="000000"/>
          <w:lang w:val="bg-BG"/>
        </w:rPr>
      </w:pPr>
      <w:r w:rsidRPr="00FE6AC6">
        <w:rPr>
          <w:noProof/>
          <w:color w:val="000000"/>
          <w:lang w:val="bg-BG"/>
        </w:rPr>
        <w:t xml:space="preserve">Болезнени и/или </w:t>
      </w:r>
      <w:r w:rsidR="00257594" w:rsidRPr="00FE6AC6">
        <w:rPr>
          <w:noProof/>
          <w:color w:val="000000"/>
          <w:lang w:val="bg-BG"/>
        </w:rPr>
        <w:t>с мехури</w:t>
      </w:r>
      <w:r w:rsidRPr="00FE6AC6">
        <w:rPr>
          <w:noProof/>
          <w:color w:val="000000"/>
          <w:lang w:val="bg-BG"/>
        </w:rPr>
        <w:t xml:space="preserve"> кожни лезии.</w:t>
      </w:r>
    </w:p>
    <w:p w14:paraId="3E550BED" w14:textId="77777777" w:rsidR="001B628D" w:rsidRPr="00FE6AC6" w:rsidRDefault="001B628D" w:rsidP="0063575E">
      <w:pPr>
        <w:keepNext/>
        <w:widowControl w:val="0"/>
        <w:numPr>
          <w:ilvl w:val="0"/>
          <w:numId w:val="31"/>
        </w:numPr>
        <w:tabs>
          <w:tab w:val="clear" w:pos="720"/>
          <w:tab w:val="num" w:pos="567"/>
        </w:tabs>
        <w:spacing w:line="240" w:lineRule="auto"/>
        <w:ind w:left="567" w:hanging="567"/>
        <w:rPr>
          <w:noProof/>
          <w:color w:val="000000"/>
          <w:lang w:val="bg-BG"/>
        </w:rPr>
      </w:pPr>
      <w:r w:rsidRPr="00FE6AC6">
        <w:rPr>
          <w:noProof/>
          <w:color w:val="000000"/>
          <w:lang w:val="bg-BG"/>
        </w:rPr>
        <w:t>Забавяне на растежа при деца и юноши.</w:t>
      </w:r>
    </w:p>
    <w:p w14:paraId="3E550BEE" w14:textId="77777777" w:rsidR="001B628D" w:rsidRPr="00FE6AC6" w:rsidRDefault="001B628D" w:rsidP="0063575E">
      <w:pPr>
        <w:widowControl w:val="0"/>
        <w:spacing w:line="240" w:lineRule="auto"/>
        <w:ind w:right="-2"/>
        <w:rPr>
          <w:b/>
          <w:color w:val="000000"/>
          <w:lang w:val="bg-BG"/>
        </w:rPr>
      </w:pPr>
      <w:r w:rsidRPr="00FE6AC6">
        <w:rPr>
          <w:color w:val="000000"/>
          <w:lang w:val="bg-BG"/>
        </w:rPr>
        <w:t xml:space="preserve">Ако някоя от тези реакции Ви засегне в сериозна степен, </w:t>
      </w:r>
      <w:r w:rsidRPr="00FE6AC6">
        <w:rPr>
          <w:b/>
          <w:color w:val="000000"/>
          <w:lang w:val="bg-BG"/>
        </w:rPr>
        <w:t>информирайте Вашия лекар.</w:t>
      </w:r>
    </w:p>
    <w:p w14:paraId="3E550BEF" w14:textId="77777777" w:rsidR="001B628D" w:rsidRPr="00FE6AC6" w:rsidRDefault="001B628D" w:rsidP="0063575E">
      <w:pPr>
        <w:widowControl w:val="0"/>
        <w:spacing w:line="240" w:lineRule="auto"/>
        <w:ind w:right="-2"/>
        <w:rPr>
          <w:noProof/>
          <w:color w:val="000000"/>
          <w:lang w:val="bg-BG"/>
        </w:rPr>
      </w:pPr>
    </w:p>
    <w:p w14:paraId="3E550BF0" w14:textId="77777777" w:rsidR="001B628D" w:rsidRPr="00FE6AC6" w:rsidRDefault="001B628D" w:rsidP="0063575E">
      <w:pPr>
        <w:keepNext/>
        <w:widowControl w:val="0"/>
        <w:numPr>
          <w:ilvl w:val="12"/>
          <w:numId w:val="0"/>
        </w:numPr>
        <w:tabs>
          <w:tab w:val="clear" w:pos="567"/>
          <w:tab w:val="left" w:pos="720"/>
        </w:tabs>
        <w:spacing w:line="240" w:lineRule="auto"/>
        <w:rPr>
          <w:b/>
          <w:snapToGrid w:val="0"/>
          <w:szCs w:val="22"/>
          <w:lang w:val="bg-BG"/>
        </w:rPr>
      </w:pPr>
      <w:r w:rsidRPr="00FE6AC6">
        <w:rPr>
          <w:b/>
          <w:snapToGrid w:val="0"/>
          <w:szCs w:val="22"/>
          <w:lang w:val="bg-BG"/>
        </w:rPr>
        <w:t>Съобщаване на нежелани реакции</w:t>
      </w:r>
    </w:p>
    <w:p w14:paraId="3E550BF1" w14:textId="77777777" w:rsidR="001B628D" w:rsidRPr="00FE6AC6" w:rsidRDefault="001B628D" w:rsidP="0063575E">
      <w:pPr>
        <w:widowControl w:val="0"/>
        <w:spacing w:line="240" w:lineRule="auto"/>
        <w:ind w:right="-2"/>
        <w:rPr>
          <w:color w:val="000000"/>
          <w:lang w:val="bg-BG"/>
        </w:rPr>
      </w:pPr>
      <w:r w:rsidRPr="00FE6AC6">
        <w:rPr>
          <w:noProof/>
          <w:color w:val="000000"/>
          <w:lang w:val="bg-BG"/>
        </w:rPr>
        <w:t xml:space="preserve">Ако получите някакви нежелани лекарствени реакции, уведомете </w:t>
      </w:r>
      <w:r w:rsidRPr="00FE6AC6">
        <w:rPr>
          <w:color w:val="000000"/>
          <w:lang w:val="bg-BG"/>
        </w:rPr>
        <w:t>Вашия лекар, фармацевт или медицинска сестра.</w:t>
      </w:r>
      <w:r w:rsidRPr="00FE6AC6">
        <w:rPr>
          <w:szCs w:val="24"/>
          <w:lang w:val="bg-BG"/>
        </w:rPr>
        <w:t xml:space="preserve"> Това включва всички възможни</w:t>
      </w:r>
      <w:r w:rsidRPr="00FE6AC6">
        <w:rPr>
          <w:color w:val="FF0000"/>
          <w:lang w:val="bg-BG"/>
        </w:rPr>
        <w:t xml:space="preserve"> </w:t>
      </w:r>
      <w:r w:rsidRPr="00FE6AC6">
        <w:rPr>
          <w:lang w:val="bg-BG"/>
        </w:rPr>
        <w:t>неописани в тази листовка нежелани реакции</w:t>
      </w:r>
      <w:r w:rsidRPr="00FE6AC6">
        <w:rPr>
          <w:noProof/>
          <w:szCs w:val="24"/>
          <w:lang w:val="bg-BG"/>
        </w:rPr>
        <w:t>.</w:t>
      </w:r>
      <w:r w:rsidRPr="00FE6AC6">
        <w:rPr>
          <w:noProof/>
          <w:snapToGrid w:val="0"/>
          <w:szCs w:val="22"/>
          <w:lang w:val="bg-BG"/>
        </w:rPr>
        <w:t xml:space="preserve"> Можете също да съобщите нежелани реакции </w:t>
      </w:r>
      <w:r w:rsidRPr="00FE6AC6">
        <w:rPr>
          <w:snapToGrid w:val="0"/>
          <w:szCs w:val="22"/>
          <w:lang w:val="bg-BG"/>
        </w:rPr>
        <w:t xml:space="preserve">директно </w:t>
      </w:r>
      <w:r w:rsidRPr="00FE6AC6">
        <w:rPr>
          <w:snapToGrid w:val="0"/>
          <w:szCs w:val="22"/>
          <w:shd w:val="clear" w:color="auto" w:fill="D9D9D9"/>
          <w:lang w:val="bg-BG"/>
        </w:rPr>
        <w:t xml:space="preserve">чрез националната система за съобщаване, посочена в </w:t>
      </w:r>
      <w:hyperlink r:id="rId17" w:history="1">
        <w:r w:rsidRPr="00FE6AC6">
          <w:rPr>
            <w:snapToGrid w:val="0"/>
            <w:color w:val="0000FF"/>
            <w:szCs w:val="22"/>
            <w:u w:val="single"/>
            <w:shd w:val="clear" w:color="auto" w:fill="D9D9D9"/>
            <w:lang w:val="bg-BG"/>
          </w:rPr>
          <w:t>Приложение V</w:t>
        </w:r>
      </w:hyperlink>
      <w:r w:rsidRPr="00FE6AC6">
        <w:rPr>
          <w:snapToGrid w:val="0"/>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14:paraId="3E550BF2" w14:textId="77777777" w:rsidR="001B628D" w:rsidRPr="00FE6AC6" w:rsidRDefault="001B628D" w:rsidP="0063575E">
      <w:pPr>
        <w:widowControl w:val="0"/>
        <w:numPr>
          <w:ilvl w:val="12"/>
          <w:numId w:val="0"/>
        </w:numPr>
        <w:spacing w:line="240" w:lineRule="auto"/>
        <w:ind w:right="-2"/>
        <w:rPr>
          <w:color w:val="000000"/>
          <w:lang w:val="bg-BG"/>
        </w:rPr>
      </w:pPr>
    </w:p>
    <w:p w14:paraId="3E550BF3" w14:textId="77777777" w:rsidR="001B628D" w:rsidRPr="00FE6AC6" w:rsidRDefault="001B628D" w:rsidP="0063575E">
      <w:pPr>
        <w:widowControl w:val="0"/>
        <w:numPr>
          <w:ilvl w:val="12"/>
          <w:numId w:val="0"/>
        </w:numPr>
        <w:spacing w:line="240" w:lineRule="auto"/>
        <w:ind w:right="-2"/>
        <w:rPr>
          <w:color w:val="000000"/>
          <w:lang w:val="bg-BG"/>
        </w:rPr>
      </w:pPr>
    </w:p>
    <w:p w14:paraId="3E550BF4" w14:textId="77777777" w:rsidR="001348DB" w:rsidRPr="00FE6AC6" w:rsidRDefault="001348DB" w:rsidP="0063575E">
      <w:pPr>
        <w:keepNext/>
        <w:widowControl w:val="0"/>
        <w:numPr>
          <w:ilvl w:val="12"/>
          <w:numId w:val="0"/>
        </w:numPr>
        <w:spacing w:line="240" w:lineRule="auto"/>
        <w:ind w:left="567" w:hanging="567"/>
        <w:rPr>
          <w:color w:val="000000"/>
          <w:lang w:val="bg-BG"/>
        </w:rPr>
      </w:pPr>
      <w:r w:rsidRPr="00FE6AC6">
        <w:rPr>
          <w:b/>
          <w:color w:val="000000"/>
          <w:lang w:val="bg-BG"/>
        </w:rPr>
        <w:t>5.</w:t>
      </w:r>
      <w:r w:rsidRPr="00FE6AC6">
        <w:rPr>
          <w:b/>
          <w:color w:val="000000"/>
          <w:lang w:val="bg-BG"/>
        </w:rPr>
        <w:tab/>
      </w:r>
      <w:r w:rsidRPr="00FE6AC6">
        <w:rPr>
          <w:b/>
          <w:noProof/>
          <w:szCs w:val="24"/>
          <w:lang w:val="bg-BG"/>
        </w:rPr>
        <w:t>Как да съхранявате</w:t>
      </w:r>
      <w:r w:rsidRPr="00FE6AC6">
        <w:rPr>
          <w:b/>
          <w:lang w:val="bg-BG"/>
        </w:rPr>
        <w:t xml:space="preserve"> </w:t>
      </w:r>
      <w:r w:rsidRPr="00FE6AC6">
        <w:rPr>
          <w:b/>
          <w:lang w:val="en-US"/>
        </w:rPr>
        <w:t>Glivec</w:t>
      </w:r>
    </w:p>
    <w:p w14:paraId="3E550BF5" w14:textId="77777777" w:rsidR="001348DB" w:rsidRPr="00FE6AC6" w:rsidRDefault="001348DB" w:rsidP="0063575E">
      <w:pPr>
        <w:keepNext/>
        <w:widowControl w:val="0"/>
        <w:numPr>
          <w:ilvl w:val="12"/>
          <w:numId w:val="0"/>
        </w:numPr>
        <w:spacing w:line="240" w:lineRule="auto"/>
        <w:rPr>
          <w:color w:val="000000"/>
          <w:lang w:val="bg-BG"/>
        </w:rPr>
      </w:pPr>
    </w:p>
    <w:p w14:paraId="3E550BF6"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Да се съхранява на място, недостъпно за деца.</w:t>
      </w:r>
    </w:p>
    <w:p w14:paraId="3E550BF7"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Не използвайте това лекарство след срока на годност, отбелязан върху картонената опаковка</w:t>
      </w:r>
      <w:r w:rsidR="00E0328B" w:rsidRPr="00FE6AC6">
        <w:rPr>
          <w:color w:val="000000"/>
          <w:lang w:val="bg-BG"/>
        </w:rPr>
        <w:t xml:space="preserve"> след „Годен до:“</w:t>
      </w:r>
      <w:r w:rsidRPr="00FE6AC6">
        <w:rPr>
          <w:color w:val="000000"/>
          <w:lang w:val="bg-BG"/>
        </w:rPr>
        <w:t>.</w:t>
      </w:r>
    </w:p>
    <w:p w14:paraId="3E550BF8"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 xml:space="preserve">Да не се съхранява над </w:t>
      </w:r>
      <w:smartTag w:uri="urn:schemas-microsoft-com:office:smarttags" w:element="metricconverter">
        <w:smartTagPr>
          <w:attr w:name="ProductID" w:val="30ﾰC"/>
        </w:smartTagPr>
        <w:r w:rsidRPr="00FE6AC6">
          <w:rPr>
            <w:color w:val="000000"/>
            <w:lang w:val="bg-BG"/>
          </w:rPr>
          <w:t>30°C</w:t>
        </w:r>
      </w:smartTag>
      <w:r w:rsidRPr="00FE6AC6">
        <w:rPr>
          <w:color w:val="000000"/>
          <w:lang w:val="bg-BG"/>
        </w:rPr>
        <w:t>.</w:t>
      </w:r>
    </w:p>
    <w:p w14:paraId="3E550BF9"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Да се съхранява в оригиналната опаковка, за да се предпази от влага.</w:t>
      </w:r>
    </w:p>
    <w:p w14:paraId="3E550BFA"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noProof/>
          <w:szCs w:val="22"/>
          <w:lang w:val="ru-RU"/>
        </w:rPr>
        <w:t>Не използвайте опаковки</w:t>
      </w:r>
      <w:r w:rsidRPr="00FE6AC6">
        <w:rPr>
          <w:noProof/>
          <w:color w:val="000000"/>
          <w:szCs w:val="22"/>
          <w:lang w:val="bg-BG"/>
        </w:rPr>
        <w:t>,</w:t>
      </w:r>
      <w:r w:rsidRPr="00FE6AC6">
        <w:rPr>
          <w:noProof/>
          <w:color w:val="000000"/>
          <w:szCs w:val="22"/>
          <w:lang w:val="ru-RU"/>
        </w:rPr>
        <w:t xml:space="preserve"> </w:t>
      </w:r>
      <w:r w:rsidRPr="00FE6AC6">
        <w:rPr>
          <w:noProof/>
          <w:szCs w:val="22"/>
          <w:lang w:val="ru-RU"/>
        </w:rPr>
        <w:t>които са повредени или имат признаци на фалшифициране.</w:t>
      </w:r>
    </w:p>
    <w:p w14:paraId="3E550BFB" w14:textId="77777777" w:rsidR="007328E7" w:rsidRPr="00FE6AC6" w:rsidRDefault="007328E7"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14:paraId="3E550BFC" w14:textId="77777777" w:rsidR="001348DB" w:rsidRPr="00FE6AC6" w:rsidRDefault="001348DB" w:rsidP="0063575E">
      <w:pPr>
        <w:widowControl w:val="0"/>
        <w:numPr>
          <w:ilvl w:val="12"/>
          <w:numId w:val="0"/>
        </w:numPr>
        <w:spacing w:line="240" w:lineRule="auto"/>
        <w:ind w:right="-2"/>
        <w:rPr>
          <w:color w:val="000000"/>
          <w:lang w:val="bg-BG"/>
        </w:rPr>
      </w:pPr>
    </w:p>
    <w:p w14:paraId="3E550BFD" w14:textId="77777777" w:rsidR="001348DB" w:rsidRPr="00FE6AC6" w:rsidRDefault="001348DB" w:rsidP="0063575E">
      <w:pPr>
        <w:widowControl w:val="0"/>
        <w:numPr>
          <w:ilvl w:val="12"/>
          <w:numId w:val="0"/>
        </w:numPr>
        <w:spacing w:line="240" w:lineRule="auto"/>
        <w:ind w:right="-2"/>
        <w:rPr>
          <w:color w:val="000000"/>
          <w:lang w:val="bg-BG"/>
        </w:rPr>
      </w:pPr>
    </w:p>
    <w:p w14:paraId="3E550BFE" w14:textId="77777777" w:rsidR="00426F49" w:rsidRPr="00FE6AC6" w:rsidRDefault="00426F49" w:rsidP="0063575E">
      <w:pPr>
        <w:keepNext/>
        <w:widowControl w:val="0"/>
        <w:tabs>
          <w:tab w:val="clear" w:pos="567"/>
        </w:tabs>
        <w:spacing w:line="240" w:lineRule="auto"/>
        <w:ind w:right="-2"/>
        <w:rPr>
          <w:b/>
          <w:color w:val="000000"/>
          <w:lang w:val="bg-BG"/>
        </w:rPr>
      </w:pPr>
      <w:r w:rsidRPr="00FE6AC6">
        <w:rPr>
          <w:b/>
          <w:color w:val="000000"/>
          <w:lang w:val="bg-BG"/>
        </w:rPr>
        <w:t>6.</w:t>
      </w:r>
      <w:r w:rsidRPr="00FE6AC6">
        <w:rPr>
          <w:b/>
          <w:color w:val="000000"/>
          <w:lang w:val="bg-BG"/>
        </w:rPr>
        <w:tab/>
      </w:r>
      <w:r w:rsidR="00257477" w:rsidRPr="00FE6AC6">
        <w:rPr>
          <w:b/>
          <w:noProof/>
          <w:szCs w:val="24"/>
          <w:lang w:val="bg-BG"/>
        </w:rPr>
        <w:t>Съдържание на опаковката и допълнителна информация</w:t>
      </w:r>
    </w:p>
    <w:p w14:paraId="3E550BFF" w14:textId="77777777" w:rsidR="00426F49" w:rsidRPr="00FE6AC6" w:rsidRDefault="00426F49" w:rsidP="0063575E">
      <w:pPr>
        <w:keepNext/>
        <w:widowControl w:val="0"/>
        <w:tabs>
          <w:tab w:val="clear" w:pos="567"/>
        </w:tabs>
        <w:spacing w:line="240" w:lineRule="auto"/>
        <w:ind w:right="-2"/>
        <w:rPr>
          <w:color w:val="000000"/>
          <w:lang w:val="bg-BG"/>
        </w:rPr>
      </w:pPr>
    </w:p>
    <w:p w14:paraId="3E550C00" w14:textId="77777777" w:rsidR="00426F49" w:rsidRPr="00FE6AC6" w:rsidRDefault="00426F49" w:rsidP="0063575E">
      <w:pPr>
        <w:keepNext/>
        <w:widowControl w:val="0"/>
        <w:numPr>
          <w:ilvl w:val="12"/>
          <w:numId w:val="0"/>
        </w:numPr>
        <w:spacing w:line="240" w:lineRule="auto"/>
        <w:rPr>
          <w:b/>
          <w:noProof/>
          <w:color w:val="000000"/>
          <w:lang w:val="bg-BG"/>
        </w:rPr>
      </w:pPr>
      <w:r w:rsidRPr="00FE6AC6">
        <w:rPr>
          <w:b/>
          <w:noProof/>
          <w:color w:val="000000"/>
          <w:lang w:val="bg-BG"/>
        </w:rPr>
        <w:t xml:space="preserve">Какво съдържа </w:t>
      </w:r>
      <w:r w:rsidRPr="00FE6AC6">
        <w:rPr>
          <w:b/>
          <w:noProof/>
          <w:color w:val="000000"/>
        </w:rPr>
        <w:t>Glivec</w:t>
      </w:r>
    </w:p>
    <w:p w14:paraId="3E550C01" w14:textId="77777777" w:rsidR="00426F49" w:rsidRPr="00FE6AC6" w:rsidRDefault="00426F49" w:rsidP="0063575E">
      <w:pPr>
        <w:widowControl w:val="0"/>
        <w:numPr>
          <w:ilvl w:val="0"/>
          <w:numId w:val="4"/>
        </w:numPr>
        <w:tabs>
          <w:tab w:val="clear" w:pos="720"/>
        </w:tabs>
        <w:spacing w:line="240" w:lineRule="auto"/>
        <w:ind w:left="567" w:hanging="567"/>
        <w:rPr>
          <w:color w:val="000000"/>
          <w:lang w:val="bg-BG"/>
        </w:rPr>
      </w:pPr>
      <w:r w:rsidRPr="00FE6AC6">
        <w:rPr>
          <w:color w:val="000000"/>
          <w:lang w:val="bg-BG"/>
        </w:rPr>
        <w:t xml:space="preserve">Активното вещество е иматиниб мезилат. Всяка капсула </w:t>
      </w:r>
      <w:r w:rsidRPr="00FE6AC6">
        <w:rPr>
          <w:color w:val="000000"/>
          <w:lang w:val="en-US"/>
        </w:rPr>
        <w:t>Glivec</w:t>
      </w:r>
      <w:r w:rsidRPr="00FE6AC6">
        <w:rPr>
          <w:color w:val="000000"/>
          <w:lang w:val="bg-BG"/>
        </w:rPr>
        <w:t xml:space="preserve"> съдържа 100</w:t>
      </w:r>
      <w:r w:rsidRPr="00FE6AC6">
        <w:rPr>
          <w:color w:val="000000"/>
          <w:lang w:val="en-US"/>
        </w:rPr>
        <w:t> mg</w:t>
      </w:r>
      <w:r w:rsidRPr="00FE6AC6">
        <w:rPr>
          <w:color w:val="000000"/>
          <w:lang w:val="bg-BG"/>
        </w:rPr>
        <w:t xml:space="preserve"> иматиниб мезилат.</w:t>
      </w:r>
    </w:p>
    <w:p w14:paraId="3E550C02" w14:textId="77777777" w:rsidR="001427CD" w:rsidRPr="00FE6AC6" w:rsidRDefault="00426F49" w:rsidP="0063575E">
      <w:pPr>
        <w:widowControl w:val="0"/>
        <w:numPr>
          <w:ilvl w:val="0"/>
          <w:numId w:val="36"/>
        </w:numPr>
        <w:tabs>
          <w:tab w:val="clear" w:pos="567"/>
          <w:tab w:val="clear" w:pos="720"/>
        </w:tabs>
        <w:spacing w:line="240" w:lineRule="auto"/>
        <w:ind w:left="567" w:right="-2" w:hanging="567"/>
        <w:rPr>
          <w:color w:val="000000"/>
          <w:lang w:val="bg-BG"/>
        </w:rPr>
      </w:pPr>
      <w:r w:rsidRPr="00FE6AC6">
        <w:rPr>
          <w:color w:val="000000"/>
          <w:lang w:val="bg-BG"/>
        </w:rPr>
        <w:t xml:space="preserve">Другите съставки са микрокристална целулоза, кросповидон, магнезиев стеарат и силициев диоксид, колоиден безводен. Капсулата е съставена от желатин, червен железен оксид (E172), жълт железен оксид (E172) и титанов диоксид (Е171). Мастилото е </w:t>
      </w:r>
      <w:r w:rsidR="001427CD" w:rsidRPr="00FE6AC6">
        <w:rPr>
          <w:color w:val="000000"/>
          <w:lang w:val="bg-BG"/>
        </w:rPr>
        <w:t>съставено от червен железен оксид (E172) и шеллак.</w:t>
      </w:r>
    </w:p>
    <w:p w14:paraId="3E550C03" w14:textId="77777777" w:rsidR="00426F49" w:rsidRPr="00FE6AC6" w:rsidRDefault="00426F49" w:rsidP="0063575E">
      <w:pPr>
        <w:widowControl w:val="0"/>
        <w:tabs>
          <w:tab w:val="clear" w:pos="567"/>
        </w:tabs>
        <w:spacing w:line="240" w:lineRule="auto"/>
        <w:ind w:right="-2"/>
        <w:rPr>
          <w:color w:val="000000"/>
          <w:lang w:val="bg-BG"/>
        </w:rPr>
      </w:pPr>
    </w:p>
    <w:p w14:paraId="3E550C04" w14:textId="77777777" w:rsidR="00426F49" w:rsidRPr="00FE6AC6" w:rsidRDefault="00426F49" w:rsidP="0063575E">
      <w:pPr>
        <w:keepNext/>
        <w:widowControl w:val="0"/>
        <w:spacing w:line="240" w:lineRule="auto"/>
        <w:rPr>
          <w:b/>
          <w:noProof/>
          <w:color w:val="000000"/>
          <w:lang w:val="bg-BG"/>
        </w:rPr>
      </w:pPr>
      <w:r w:rsidRPr="00FE6AC6">
        <w:rPr>
          <w:b/>
          <w:noProof/>
          <w:color w:val="000000"/>
          <w:lang w:val="bg-BG"/>
        </w:rPr>
        <w:t xml:space="preserve">Как изглежда </w:t>
      </w:r>
      <w:r w:rsidRPr="00FE6AC6">
        <w:rPr>
          <w:b/>
          <w:noProof/>
          <w:color w:val="000000"/>
        </w:rPr>
        <w:t>Glivec</w:t>
      </w:r>
      <w:r w:rsidRPr="00FE6AC6">
        <w:rPr>
          <w:b/>
          <w:noProof/>
          <w:color w:val="000000"/>
          <w:lang w:val="bg-BG"/>
        </w:rPr>
        <w:t xml:space="preserve"> и какво съдържа опаковката</w:t>
      </w:r>
    </w:p>
    <w:p w14:paraId="3E550C05" w14:textId="77777777" w:rsidR="00426F49" w:rsidRPr="00FE6AC6" w:rsidRDefault="00426F49" w:rsidP="0063575E">
      <w:pPr>
        <w:widowControl w:val="0"/>
        <w:tabs>
          <w:tab w:val="clear" w:pos="567"/>
        </w:tabs>
        <w:spacing w:line="240" w:lineRule="auto"/>
        <w:rPr>
          <w:color w:val="000000"/>
          <w:lang w:val="ru-RU"/>
        </w:rPr>
      </w:pPr>
      <w:r w:rsidRPr="00FE6AC6">
        <w:rPr>
          <w:color w:val="000000"/>
        </w:rPr>
        <w:t>Glivec</w:t>
      </w:r>
      <w:r w:rsidRPr="00FE6AC6">
        <w:rPr>
          <w:color w:val="000000"/>
          <w:lang w:val="ru-RU"/>
        </w:rPr>
        <w:t xml:space="preserve"> 100</w:t>
      </w:r>
      <w:r w:rsidRPr="00FE6AC6">
        <w:rPr>
          <w:color w:val="000000"/>
        </w:rPr>
        <w:t> mg</w:t>
      </w:r>
      <w:r w:rsidRPr="00FE6AC6">
        <w:rPr>
          <w:color w:val="000000"/>
          <w:lang w:val="ru-RU"/>
        </w:rPr>
        <w:t xml:space="preserve"> </w:t>
      </w:r>
      <w:r w:rsidRPr="00FE6AC6">
        <w:rPr>
          <w:color w:val="000000"/>
          <w:lang w:val="bg-BG"/>
        </w:rPr>
        <w:t xml:space="preserve">капсули са оранжеви до сиво-оранжеви и маркирани с </w:t>
      </w:r>
      <w:r w:rsidRPr="00FE6AC6">
        <w:rPr>
          <w:color w:val="000000"/>
          <w:lang w:val="ru-RU"/>
        </w:rPr>
        <w:t>“</w:t>
      </w:r>
      <w:r w:rsidRPr="00FE6AC6">
        <w:rPr>
          <w:color w:val="000000"/>
        </w:rPr>
        <w:t>NVR</w:t>
      </w:r>
      <w:r w:rsidRPr="00FE6AC6">
        <w:rPr>
          <w:color w:val="000000"/>
          <w:lang w:val="ru-RU"/>
        </w:rPr>
        <w:t xml:space="preserve"> </w:t>
      </w:r>
      <w:r w:rsidRPr="00FE6AC6">
        <w:rPr>
          <w:color w:val="000000"/>
        </w:rPr>
        <w:t>SI</w:t>
      </w:r>
      <w:r w:rsidRPr="00FE6AC6">
        <w:rPr>
          <w:color w:val="000000"/>
          <w:lang w:val="ru-RU"/>
        </w:rPr>
        <w:t xml:space="preserve">”. </w:t>
      </w:r>
      <w:r w:rsidRPr="00FE6AC6">
        <w:rPr>
          <w:color w:val="000000"/>
          <w:lang w:val="bg-BG"/>
        </w:rPr>
        <w:t>Те съдържат бял до жълт прах</w:t>
      </w:r>
      <w:r w:rsidRPr="00FE6AC6">
        <w:rPr>
          <w:color w:val="000000"/>
          <w:lang w:val="ru-RU"/>
        </w:rPr>
        <w:t>.</w:t>
      </w:r>
    </w:p>
    <w:p w14:paraId="3E550C06" w14:textId="77777777" w:rsidR="00426F49" w:rsidRPr="00FE6AC6" w:rsidRDefault="00426F49" w:rsidP="0063575E">
      <w:pPr>
        <w:pStyle w:val="Text"/>
        <w:widowControl w:val="0"/>
        <w:spacing w:before="0"/>
        <w:jc w:val="left"/>
        <w:rPr>
          <w:color w:val="000000"/>
          <w:sz w:val="22"/>
          <w:lang w:val="ru-RU"/>
        </w:rPr>
      </w:pPr>
    </w:p>
    <w:p w14:paraId="3E550C07" w14:textId="77777777" w:rsidR="00426F49" w:rsidRPr="00FE6AC6" w:rsidRDefault="00426F49" w:rsidP="0063575E">
      <w:pPr>
        <w:pStyle w:val="EndnoteText"/>
        <w:widowControl w:val="0"/>
        <w:tabs>
          <w:tab w:val="clear" w:pos="567"/>
        </w:tabs>
        <w:rPr>
          <w:color w:val="000000"/>
          <w:lang w:val="bg-BG"/>
        </w:rPr>
      </w:pPr>
      <w:r w:rsidRPr="00FE6AC6">
        <w:rPr>
          <w:color w:val="000000"/>
          <w:lang w:val="bg-BG"/>
        </w:rPr>
        <w:t>Предлагат се в опаковки</w:t>
      </w:r>
      <w:r w:rsidR="00190852" w:rsidRPr="00FE6AC6">
        <w:rPr>
          <w:color w:val="000000"/>
          <w:lang w:val="bg-BG"/>
        </w:rPr>
        <w:t>,</w:t>
      </w:r>
      <w:r w:rsidRPr="00FE6AC6">
        <w:rPr>
          <w:color w:val="000000"/>
          <w:lang w:val="bg-BG"/>
        </w:rPr>
        <w:t xml:space="preserve"> съдържащи 24, 48, 96, 120 или 180</w:t>
      </w:r>
      <w:r w:rsidRPr="00FE6AC6">
        <w:rPr>
          <w:color w:val="000000"/>
        </w:rPr>
        <w:t> </w:t>
      </w:r>
      <w:r w:rsidRPr="00FE6AC6">
        <w:rPr>
          <w:color w:val="000000"/>
          <w:lang w:val="bg-BG"/>
        </w:rPr>
        <w:t>капсули, но те може да не са налични във Вашата страна.</w:t>
      </w:r>
    </w:p>
    <w:p w14:paraId="3E550C08" w14:textId="77777777" w:rsidR="00426F49" w:rsidRPr="00FE6AC6" w:rsidRDefault="00426F49" w:rsidP="0063575E">
      <w:pPr>
        <w:widowControl w:val="0"/>
        <w:spacing w:line="240" w:lineRule="auto"/>
        <w:rPr>
          <w:color w:val="000000"/>
          <w:lang w:val="bg-BG"/>
        </w:rPr>
      </w:pPr>
    </w:p>
    <w:p w14:paraId="3E550C09" w14:textId="77777777" w:rsidR="00426F49" w:rsidRPr="00FE6AC6" w:rsidRDefault="00426F49" w:rsidP="0063575E">
      <w:pPr>
        <w:keepNext/>
        <w:widowControl w:val="0"/>
        <w:spacing w:line="240" w:lineRule="auto"/>
        <w:rPr>
          <w:b/>
          <w:color w:val="000000"/>
          <w:lang w:val="bg-BG"/>
        </w:rPr>
      </w:pPr>
      <w:r w:rsidRPr="00FE6AC6">
        <w:rPr>
          <w:b/>
          <w:color w:val="000000"/>
          <w:lang w:val="bg-BG"/>
        </w:rPr>
        <w:t>Притежател на разрешението за употреба</w:t>
      </w:r>
    </w:p>
    <w:p w14:paraId="3E550C0A" w14:textId="77777777" w:rsidR="00426F49" w:rsidRPr="00FE6AC6" w:rsidRDefault="00426F49" w:rsidP="0063575E">
      <w:pPr>
        <w:keepNext/>
        <w:widowControl w:val="0"/>
        <w:spacing w:line="240" w:lineRule="auto"/>
        <w:rPr>
          <w:color w:val="000000"/>
          <w:lang w:val="bg-BG"/>
        </w:rPr>
      </w:pPr>
      <w:r w:rsidRPr="00FE6AC6">
        <w:rPr>
          <w:color w:val="000000"/>
          <w:lang w:val="bg-BG"/>
        </w:rPr>
        <w:t>Novartis Europharm Limited</w:t>
      </w:r>
    </w:p>
    <w:p w14:paraId="3E550C0B" w14:textId="77777777" w:rsidR="000B10A3" w:rsidRPr="00FE6AC6" w:rsidRDefault="000B10A3" w:rsidP="0063575E">
      <w:pPr>
        <w:keepNext/>
        <w:widowControl w:val="0"/>
        <w:spacing w:line="240" w:lineRule="auto"/>
        <w:rPr>
          <w:color w:val="000000"/>
        </w:rPr>
      </w:pPr>
      <w:r w:rsidRPr="00FE6AC6">
        <w:rPr>
          <w:color w:val="000000"/>
        </w:rPr>
        <w:t>Vista Building</w:t>
      </w:r>
    </w:p>
    <w:p w14:paraId="3E550C0C" w14:textId="77777777" w:rsidR="000B10A3" w:rsidRPr="00FE6AC6" w:rsidRDefault="000B10A3" w:rsidP="0063575E">
      <w:pPr>
        <w:keepNext/>
        <w:widowControl w:val="0"/>
        <w:spacing w:line="240" w:lineRule="auto"/>
        <w:rPr>
          <w:color w:val="000000"/>
        </w:rPr>
      </w:pPr>
      <w:r w:rsidRPr="00FE6AC6">
        <w:rPr>
          <w:color w:val="000000"/>
        </w:rPr>
        <w:t>Elm Park, Merrion Road</w:t>
      </w:r>
    </w:p>
    <w:p w14:paraId="3E550C0D" w14:textId="77777777" w:rsidR="000B10A3" w:rsidRPr="00FE6AC6" w:rsidRDefault="000B10A3" w:rsidP="0063575E">
      <w:pPr>
        <w:keepNext/>
        <w:widowControl w:val="0"/>
        <w:spacing w:line="240" w:lineRule="auto"/>
        <w:rPr>
          <w:color w:val="000000"/>
        </w:rPr>
      </w:pPr>
      <w:r w:rsidRPr="00FE6AC6">
        <w:rPr>
          <w:color w:val="000000"/>
        </w:rPr>
        <w:t>Dublin 4</w:t>
      </w:r>
    </w:p>
    <w:p w14:paraId="3E550C0E" w14:textId="77777777" w:rsidR="000B10A3" w:rsidRPr="00FE6AC6" w:rsidRDefault="000B10A3" w:rsidP="0063575E">
      <w:pPr>
        <w:spacing w:line="240" w:lineRule="auto"/>
        <w:rPr>
          <w:color w:val="000000"/>
        </w:rPr>
      </w:pPr>
      <w:r w:rsidRPr="00FE6AC6">
        <w:rPr>
          <w:color w:val="000000"/>
        </w:rPr>
        <w:t>Ирландия</w:t>
      </w:r>
    </w:p>
    <w:p w14:paraId="3E550C0F" w14:textId="77777777" w:rsidR="00426F49" w:rsidRPr="00FE6AC6" w:rsidRDefault="00426F49" w:rsidP="0063575E">
      <w:pPr>
        <w:widowControl w:val="0"/>
        <w:spacing w:line="240" w:lineRule="auto"/>
        <w:rPr>
          <w:color w:val="000000"/>
          <w:lang w:val="bg-BG"/>
        </w:rPr>
      </w:pPr>
    </w:p>
    <w:p w14:paraId="3E550C10" w14:textId="77777777" w:rsidR="00426F49" w:rsidRPr="00FE6AC6" w:rsidRDefault="00426F49" w:rsidP="0063575E">
      <w:pPr>
        <w:keepNext/>
        <w:widowControl w:val="0"/>
        <w:spacing w:line="240" w:lineRule="auto"/>
        <w:rPr>
          <w:color w:val="000000"/>
          <w:lang w:val="bg-BG"/>
        </w:rPr>
      </w:pPr>
      <w:r w:rsidRPr="00FE6AC6">
        <w:rPr>
          <w:b/>
          <w:color w:val="000000"/>
          <w:lang w:val="bg-BG"/>
        </w:rPr>
        <w:t>Производител</w:t>
      </w:r>
    </w:p>
    <w:p w14:paraId="3E550C11" w14:textId="77777777" w:rsidR="00426F49" w:rsidRPr="00FE6AC6" w:rsidRDefault="00426F49" w:rsidP="0063575E">
      <w:pPr>
        <w:keepNext/>
        <w:widowControl w:val="0"/>
        <w:spacing w:line="240" w:lineRule="auto"/>
        <w:rPr>
          <w:color w:val="000000"/>
          <w:lang w:val="bg-BG"/>
        </w:rPr>
      </w:pPr>
      <w:r w:rsidRPr="00FE6AC6">
        <w:rPr>
          <w:color w:val="000000"/>
          <w:lang w:val="bg-BG"/>
        </w:rPr>
        <w:t>Novartis Pharma GmbH</w:t>
      </w:r>
    </w:p>
    <w:p w14:paraId="3E550C12" w14:textId="77777777" w:rsidR="00426F49" w:rsidRPr="00FE6AC6" w:rsidRDefault="00426F49" w:rsidP="0063575E">
      <w:pPr>
        <w:keepNext/>
        <w:widowControl w:val="0"/>
        <w:spacing w:line="240" w:lineRule="auto"/>
        <w:rPr>
          <w:color w:val="000000"/>
          <w:lang w:val="bg-BG"/>
        </w:rPr>
      </w:pPr>
      <w:r w:rsidRPr="00FE6AC6">
        <w:rPr>
          <w:color w:val="000000"/>
          <w:lang w:val="bg-BG"/>
        </w:rPr>
        <w:t>Roons</w:t>
      </w:r>
      <w:r w:rsidRPr="00697CEB">
        <w:rPr>
          <w:color w:val="000000"/>
          <w:lang w:val="de-CH"/>
        </w:rPr>
        <w:t>t</w:t>
      </w:r>
      <w:r w:rsidRPr="00FE6AC6">
        <w:rPr>
          <w:color w:val="000000"/>
          <w:lang w:val="bg-BG"/>
        </w:rPr>
        <w:t>rasse</w:t>
      </w:r>
    </w:p>
    <w:p w14:paraId="3E550C13" w14:textId="77777777" w:rsidR="00426F49" w:rsidRPr="00FE6AC6" w:rsidRDefault="00426F49" w:rsidP="0063575E">
      <w:pPr>
        <w:keepNext/>
        <w:widowControl w:val="0"/>
        <w:tabs>
          <w:tab w:val="clear" w:pos="567"/>
        </w:tabs>
        <w:spacing w:line="240" w:lineRule="auto"/>
        <w:ind w:right="-2"/>
        <w:rPr>
          <w:color w:val="000000"/>
          <w:lang w:val="bg-BG"/>
        </w:rPr>
      </w:pPr>
      <w:r w:rsidRPr="00FE6AC6">
        <w:rPr>
          <w:color w:val="000000"/>
          <w:lang w:val="bg-BG"/>
        </w:rPr>
        <w:t>D-90429 </w:t>
      </w:r>
      <w:r w:rsidRPr="00697CEB">
        <w:rPr>
          <w:color w:val="000000"/>
          <w:lang w:val="de-CH"/>
        </w:rPr>
        <w:t>N</w:t>
      </w:r>
      <w:r w:rsidRPr="00FE6AC6">
        <w:rPr>
          <w:color w:val="000000"/>
          <w:lang w:val="bg-BG"/>
        </w:rPr>
        <w:t>ü</w:t>
      </w:r>
      <w:r w:rsidRPr="00697CEB">
        <w:rPr>
          <w:color w:val="000000"/>
          <w:lang w:val="de-CH"/>
        </w:rPr>
        <w:t>rnberg</w:t>
      </w:r>
    </w:p>
    <w:p w14:paraId="3E550C14" w14:textId="77777777" w:rsidR="00426F49" w:rsidRPr="00FE6AC6" w:rsidRDefault="00426F49" w:rsidP="0063575E">
      <w:pPr>
        <w:widowControl w:val="0"/>
        <w:spacing w:line="240" w:lineRule="auto"/>
        <w:rPr>
          <w:color w:val="000000"/>
          <w:lang w:val="bg-BG"/>
        </w:rPr>
      </w:pPr>
      <w:r w:rsidRPr="00FE6AC6">
        <w:rPr>
          <w:color w:val="000000"/>
          <w:lang w:val="bg-BG"/>
        </w:rPr>
        <w:t>Германия</w:t>
      </w:r>
    </w:p>
    <w:p w14:paraId="3E550C15" w14:textId="3BF55EDE" w:rsidR="00426F49" w:rsidRDefault="00426F49" w:rsidP="0063575E">
      <w:pPr>
        <w:widowControl w:val="0"/>
        <w:spacing w:line="240" w:lineRule="auto"/>
        <w:ind w:right="-2"/>
        <w:rPr>
          <w:color w:val="000000"/>
          <w:lang w:val="bg-BG"/>
        </w:rPr>
      </w:pPr>
    </w:p>
    <w:p w14:paraId="76C769B1" w14:textId="77777777" w:rsidR="007304AB" w:rsidRPr="007304AB" w:rsidRDefault="007304AB" w:rsidP="007304AB">
      <w:pPr>
        <w:keepNext/>
        <w:widowControl w:val="0"/>
        <w:spacing w:line="240" w:lineRule="auto"/>
        <w:rPr>
          <w:shd w:val="pct15" w:color="auto" w:fill="auto"/>
          <w:lang w:val="bg-BG"/>
        </w:rPr>
      </w:pPr>
      <w:r w:rsidRPr="007304AB">
        <w:rPr>
          <w:shd w:val="pct15" w:color="auto" w:fill="auto"/>
          <w:lang w:val="bg-BG"/>
        </w:rPr>
        <w:t>Sandoz S.R.L.</w:t>
      </w:r>
    </w:p>
    <w:p w14:paraId="5B2EB3BE" w14:textId="77777777" w:rsidR="007304AB" w:rsidRPr="007304AB" w:rsidRDefault="007304AB" w:rsidP="007304AB">
      <w:pPr>
        <w:keepNext/>
        <w:widowControl w:val="0"/>
        <w:spacing w:line="240" w:lineRule="auto"/>
        <w:rPr>
          <w:shd w:val="pct15" w:color="auto" w:fill="auto"/>
          <w:lang w:val="bg-BG"/>
        </w:rPr>
      </w:pPr>
      <w:r w:rsidRPr="007304AB">
        <w:rPr>
          <w:shd w:val="pct15" w:color="auto" w:fill="auto"/>
          <w:lang w:val="bg-BG"/>
        </w:rPr>
        <w:t>Str. Livezeni nr. 7A</w:t>
      </w:r>
    </w:p>
    <w:p w14:paraId="29B27763" w14:textId="77777777" w:rsidR="007304AB" w:rsidRPr="007304AB" w:rsidRDefault="007304AB" w:rsidP="007304AB">
      <w:pPr>
        <w:keepNext/>
        <w:widowControl w:val="0"/>
        <w:spacing w:line="240" w:lineRule="auto"/>
        <w:rPr>
          <w:shd w:val="pct15" w:color="auto" w:fill="auto"/>
          <w:lang w:val="bg-BG"/>
        </w:rPr>
      </w:pPr>
      <w:r w:rsidRPr="007304AB">
        <w:rPr>
          <w:shd w:val="pct15" w:color="auto" w:fill="auto"/>
          <w:lang w:val="bg-BG"/>
        </w:rPr>
        <w:t>540472, Targu Mures</w:t>
      </w:r>
    </w:p>
    <w:p w14:paraId="3E9AD201" w14:textId="77777777" w:rsidR="007304AB" w:rsidRPr="007304AB" w:rsidRDefault="007304AB" w:rsidP="007304AB">
      <w:pPr>
        <w:widowControl w:val="0"/>
        <w:spacing w:line="240" w:lineRule="auto"/>
        <w:rPr>
          <w:shd w:val="pct15" w:color="auto" w:fill="auto"/>
          <w:lang w:val="bg-BG"/>
        </w:rPr>
      </w:pPr>
      <w:r w:rsidRPr="007304AB">
        <w:rPr>
          <w:shd w:val="pct15" w:color="auto" w:fill="auto"/>
          <w:lang w:val="bg-BG"/>
        </w:rPr>
        <w:t>Румъния</w:t>
      </w:r>
    </w:p>
    <w:p w14:paraId="4F45404A" w14:textId="77777777" w:rsidR="007304AB" w:rsidRPr="00FE6AC6" w:rsidRDefault="007304AB" w:rsidP="0063575E">
      <w:pPr>
        <w:widowControl w:val="0"/>
        <w:spacing w:line="240" w:lineRule="auto"/>
        <w:ind w:right="-2"/>
        <w:rPr>
          <w:color w:val="000000"/>
          <w:lang w:val="bg-BG"/>
        </w:rPr>
      </w:pPr>
    </w:p>
    <w:p w14:paraId="3E550C16" w14:textId="77777777" w:rsidR="00426F49" w:rsidRPr="00FE6AC6" w:rsidRDefault="00426F49" w:rsidP="00572F70">
      <w:pPr>
        <w:keepNext/>
        <w:keepLines/>
        <w:widowControl w:val="0"/>
        <w:spacing w:line="240" w:lineRule="auto"/>
        <w:rPr>
          <w:color w:val="000000"/>
          <w:lang w:val="bg-BG"/>
        </w:rPr>
      </w:pPr>
      <w:r w:rsidRPr="00FE6AC6">
        <w:rPr>
          <w:color w:val="000000"/>
          <w:lang w:val="bg-BG"/>
        </w:rPr>
        <w:t>За допълнителна информация относно това лекарство, моля</w:t>
      </w:r>
      <w:r w:rsidRPr="00FE6AC6">
        <w:rPr>
          <w:color w:val="000000"/>
          <w:lang w:val="en-US"/>
        </w:rPr>
        <w:t>q</w:t>
      </w:r>
      <w:r w:rsidRPr="00FE6AC6">
        <w:rPr>
          <w:color w:val="000000"/>
          <w:lang w:val="bg-BG"/>
        </w:rPr>
        <w:t xml:space="preserve"> свържете се с локалния представител на притежателя на разрешението за употреба:</w:t>
      </w:r>
    </w:p>
    <w:p w14:paraId="3E550C17" w14:textId="77777777" w:rsidR="00B1589E" w:rsidRPr="00FE6AC6" w:rsidRDefault="00B1589E" w:rsidP="0063575E">
      <w:pPr>
        <w:keepNext/>
        <w:widowControl w:val="0"/>
        <w:tabs>
          <w:tab w:val="clear" w:pos="567"/>
        </w:tabs>
        <w:spacing w:line="240" w:lineRule="auto"/>
        <w:ind w:right="-449"/>
        <w:rPr>
          <w:color w:val="000000"/>
          <w:szCs w:val="22"/>
          <w:lang w:val="bg-BG"/>
        </w:rPr>
      </w:pPr>
    </w:p>
    <w:tbl>
      <w:tblPr>
        <w:tblW w:w="9300" w:type="dxa"/>
        <w:tblLayout w:type="fixed"/>
        <w:tblLook w:val="0000" w:firstRow="0" w:lastRow="0" w:firstColumn="0" w:lastColumn="0" w:noHBand="0" w:noVBand="0"/>
      </w:tblPr>
      <w:tblGrid>
        <w:gridCol w:w="4650"/>
        <w:gridCol w:w="4650"/>
      </w:tblGrid>
      <w:tr w:rsidR="00B1589E" w:rsidRPr="00FE6AC6" w14:paraId="3E550C20" w14:textId="77777777" w:rsidTr="005552D8">
        <w:trPr>
          <w:cantSplit/>
        </w:trPr>
        <w:tc>
          <w:tcPr>
            <w:tcW w:w="4650" w:type="dxa"/>
          </w:tcPr>
          <w:p w14:paraId="3E550C18" w14:textId="77777777" w:rsidR="00B1589E" w:rsidRPr="00FE6AC6" w:rsidRDefault="00B1589E" w:rsidP="0063575E">
            <w:pPr>
              <w:widowControl w:val="0"/>
              <w:spacing w:line="240" w:lineRule="auto"/>
              <w:rPr>
                <w:b/>
                <w:color w:val="000000"/>
                <w:szCs w:val="22"/>
                <w:lang w:val="fr-FR"/>
              </w:rPr>
            </w:pPr>
            <w:r w:rsidRPr="00FE6AC6">
              <w:rPr>
                <w:b/>
                <w:color w:val="000000"/>
                <w:szCs w:val="22"/>
                <w:lang w:val="fr-FR"/>
              </w:rPr>
              <w:t>België/Belgique/Belgien</w:t>
            </w:r>
          </w:p>
          <w:p w14:paraId="3E550C19"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Novartis Pharma N.V.</w:t>
            </w:r>
          </w:p>
          <w:p w14:paraId="3E550C1A" w14:textId="77777777" w:rsidR="00B1589E" w:rsidRPr="00FE6AC6" w:rsidRDefault="00B1589E" w:rsidP="0063575E">
            <w:pPr>
              <w:widowControl w:val="0"/>
              <w:spacing w:line="240" w:lineRule="auto"/>
              <w:rPr>
                <w:color w:val="000000"/>
                <w:szCs w:val="22"/>
              </w:rPr>
            </w:pPr>
            <w:r w:rsidRPr="00FE6AC6">
              <w:rPr>
                <w:color w:val="000000"/>
                <w:szCs w:val="22"/>
              </w:rPr>
              <w:t>Tél/Tel: +32 2 246 16 11</w:t>
            </w:r>
          </w:p>
          <w:p w14:paraId="3E550C1B" w14:textId="77777777" w:rsidR="00B1589E" w:rsidRPr="00FE6AC6" w:rsidRDefault="00B1589E" w:rsidP="0063575E">
            <w:pPr>
              <w:widowControl w:val="0"/>
              <w:spacing w:line="240" w:lineRule="auto"/>
              <w:rPr>
                <w:b/>
                <w:color w:val="000000"/>
                <w:szCs w:val="22"/>
              </w:rPr>
            </w:pPr>
          </w:p>
        </w:tc>
        <w:tc>
          <w:tcPr>
            <w:tcW w:w="4650" w:type="dxa"/>
          </w:tcPr>
          <w:p w14:paraId="3E550C1C" w14:textId="77777777" w:rsidR="00B1589E" w:rsidRPr="00FE6AC6" w:rsidRDefault="00B1589E" w:rsidP="0063575E">
            <w:pPr>
              <w:widowControl w:val="0"/>
              <w:spacing w:line="240" w:lineRule="auto"/>
              <w:rPr>
                <w:b/>
                <w:color w:val="000000"/>
                <w:szCs w:val="22"/>
                <w:lang w:val="es-ES"/>
              </w:rPr>
            </w:pPr>
            <w:r w:rsidRPr="00FE6AC6">
              <w:rPr>
                <w:b/>
                <w:color w:val="000000"/>
                <w:szCs w:val="22"/>
                <w:lang w:val="es-ES"/>
              </w:rPr>
              <w:t>Lietuva</w:t>
            </w:r>
          </w:p>
          <w:p w14:paraId="3E550C1D" w14:textId="74169977" w:rsidR="00B1589E" w:rsidRPr="00FE6AC6" w:rsidRDefault="0094754E" w:rsidP="0063575E">
            <w:pPr>
              <w:widowControl w:val="0"/>
              <w:spacing w:line="240" w:lineRule="auto"/>
              <w:rPr>
                <w:color w:val="000000"/>
                <w:szCs w:val="22"/>
                <w:lang w:val="es-ES"/>
              </w:rPr>
            </w:pPr>
            <w:r w:rsidRPr="00FE6AC6">
              <w:rPr>
                <w:szCs w:val="22"/>
                <w:lang w:val="es-ES"/>
              </w:rPr>
              <w:t>SIA Novartis Baltics Lietuvos filialas</w:t>
            </w:r>
          </w:p>
          <w:p w14:paraId="3E550C1E" w14:textId="77777777" w:rsidR="00B1589E" w:rsidRPr="00FE6AC6" w:rsidRDefault="00B1589E" w:rsidP="0063575E">
            <w:pPr>
              <w:widowControl w:val="0"/>
              <w:spacing w:line="240" w:lineRule="auto"/>
              <w:rPr>
                <w:color w:val="000000"/>
                <w:szCs w:val="22"/>
                <w:lang w:val="es-ES"/>
              </w:rPr>
            </w:pPr>
            <w:r w:rsidRPr="00FE6AC6">
              <w:rPr>
                <w:color w:val="000000"/>
                <w:szCs w:val="22"/>
                <w:lang w:val="es-ES"/>
              </w:rPr>
              <w:t>Tel: +370 5 269 16 50</w:t>
            </w:r>
          </w:p>
          <w:p w14:paraId="3E550C1F" w14:textId="77777777" w:rsidR="00B1589E" w:rsidRPr="00FE6AC6" w:rsidRDefault="00B1589E" w:rsidP="0063575E">
            <w:pPr>
              <w:widowControl w:val="0"/>
              <w:spacing w:line="240" w:lineRule="auto"/>
              <w:rPr>
                <w:color w:val="000000"/>
                <w:szCs w:val="22"/>
                <w:lang w:val="es-ES"/>
              </w:rPr>
            </w:pPr>
          </w:p>
        </w:tc>
      </w:tr>
      <w:tr w:rsidR="00B1589E" w:rsidRPr="00FE6AC6" w14:paraId="3E550C29" w14:textId="77777777" w:rsidTr="005552D8">
        <w:trPr>
          <w:cantSplit/>
        </w:trPr>
        <w:tc>
          <w:tcPr>
            <w:tcW w:w="4650" w:type="dxa"/>
          </w:tcPr>
          <w:p w14:paraId="3E550C21" w14:textId="77777777" w:rsidR="00B1589E" w:rsidRPr="003B2B39" w:rsidRDefault="00B1589E" w:rsidP="0063575E">
            <w:pPr>
              <w:widowControl w:val="0"/>
              <w:spacing w:line="240" w:lineRule="auto"/>
              <w:rPr>
                <w:b/>
                <w:noProof/>
                <w:color w:val="000000"/>
                <w:szCs w:val="22"/>
                <w:lang w:val="es-ES"/>
              </w:rPr>
            </w:pPr>
            <w:r w:rsidRPr="00FE6AC6">
              <w:rPr>
                <w:b/>
                <w:noProof/>
                <w:color w:val="000000"/>
                <w:szCs w:val="22"/>
              </w:rPr>
              <w:t>България</w:t>
            </w:r>
          </w:p>
          <w:p w14:paraId="3E550C22" w14:textId="77777777" w:rsidR="00B1589E" w:rsidRPr="003B2B39" w:rsidRDefault="00E0328B" w:rsidP="0063575E">
            <w:pPr>
              <w:widowControl w:val="0"/>
              <w:spacing w:line="240" w:lineRule="auto"/>
              <w:rPr>
                <w:noProof/>
                <w:color w:val="000000"/>
                <w:szCs w:val="22"/>
                <w:lang w:val="es-ES"/>
              </w:rPr>
            </w:pPr>
            <w:r w:rsidRPr="003B2B39">
              <w:rPr>
                <w:szCs w:val="22"/>
                <w:lang w:val="es-ES"/>
              </w:rPr>
              <w:t>Novartis Bulgaria EOOD</w:t>
            </w:r>
          </w:p>
          <w:p w14:paraId="3E550C23" w14:textId="77777777" w:rsidR="00B1589E" w:rsidRPr="003B2B39" w:rsidRDefault="00B1589E" w:rsidP="0063575E">
            <w:pPr>
              <w:widowControl w:val="0"/>
              <w:spacing w:line="240" w:lineRule="auto"/>
              <w:rPr>
                <w:noProof/>
                <w:color w:val="000000"/>
                <w:szCs w:val="22"/>
                <w:lang w:val="es-ES"/>
              </w:rPr>
            </w:pPr>
            <w:r w:rsidRPr="00FE6AC6">
              <w:rPr>
                <w:noProof/>
                <w:color w:val="000000"/>
                <w:szCs w:val="22"/>
              </w:rPr>
              <w:t>Тел</w:t>
            </w:r>
            <w:r w:rsidRPr="003B2B39">
              <w:rPr>
                <w:noProof/>
                <w:color w:val="000000"/>
                <w:szCs w:val="22"/>
                <w:lang w:val="es-ES"/>
              </w:rPr>
              <w:t>.: +359 2 489 98 28</w:t>
            </w:r>
          </w:p>
          <w:p w14:paraId="3E550C24" w14:textId="77777777" w:rsidR="00B1589E" w:rsidRPr="00FE6AC6" w:rsidRDefault="00B1589E" w:rsidP="0063575E">
            <w:pPr>
              <w:widowControl w:val="0"/>
              <w:spacing w:line="240" w:lineRule="auto"/>
              <w:rPr>
                <w:b/>
                <w:color w:val="000000"/>
                <w:szCs w:val="22"/>
                <w:lang w:val="pt-BR"/>
              </w:rPr>
            </w:pPr>
          </w:p>
        </w:tc>
        <w:tc>
          <w:tcPr>
            <w:tcW w:w="4650" w:type="dxa"/>
          </w:tcPr>
          <w:p w14:paraId="3E550C25"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Luxembourg/Luxemburg</w:t>
            </w:r>
          </w:p>
          <w:p w14:paraId="3E550C26"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Pharma N.V.</w:t>
            </w:r>
          </w:p>
          <w:p w14:paraId="3E550C27"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Tél/Tel: +32 2 246 16 11</w:t>
            </w:r>
          </w:p>
          <w:p w14:paraId="3E550C28" w14:textId="77777777" w:rsidR="00B1589E" w:rsidRPr="00FE6AC6" w:rsidRDefault="00B1589E" w:rsidP="0063575E">
            <w:pPr>
              <w:widowControl w:val="0"/>
              <w:spacing w:line="240" w:lineRule="auto"/>
              <w:rPr>
                <w:color w:val="000000"/>
                <w:szCs w:val="22"/>
                <w:lang w:val="de-CH"/>
              </w:rPr>
            </w:pPr>
          </w:p>
        </w:tc>
      </w:tr>
      <w:tr w:rsidR="00B1589E" w:rsidRPr="00FE6AC6" w14:paraId="3E550C31" w14:textId="77777777" w:rsidTr="005552D8">
        <w:trPr>
          <w:cantSplit/>
        </w:trPr>
        <w:tc>
          <w:tcPr>
            <w:tcW w:w="4650" w:type="dxa"/>
          </w:tcPr>
          <w:p w14:paraId="3E550C2A"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Česká republika</w:t>
            </w:r>
          </w:p>
          <w:p w14:paraId="3E550C2B"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s.r.o.</w:t>
            </w:r>
          </w:p>
          <w:p w14:paraId="3E550C2C" w14:textId="77777777" w:rsidR="00B1589E" w:rsidRPr="00FE6AC6" w:rsidRDefault="00B1589E" w:rsidP="0063575E">
            <w:pPr>
              <w:widowControl w:val="0"/>
              <w:spacing w:line="240" w:lineRule="auto"/>
              <w:rPr>
                <w:color w:val="000000"/>
                <w:szCs w:val="22"/>
              </w:rPr>
            </w:pPr>
            <w:r w:rsidRPr="00FE6AC6">
              <w:rPr>
                <w:color w:val="000000"/>
                <w:szCs w:val="22"/>
              </w:rPr>
              <w:t>Tel: +420 225 775 111</w:t>
            </w:r>
          </w:p>
          <w:p w14:paraId="3E550C2D" w14:textId="77777777" w:rsidR="00B1589E" w:rsidRPr="00FE6AC6" w:rsidRDefault="00B1589E" w:rsidP="0063575E">
            <w:pPr>
              <w:widowControl w:val="0"/>
              <w:spacing w:line="240" w:lineRule="auto"/>
              <w:rPr>
                <w:b/>
                <w:color w:val="000000"/>
                <w:szCs w:val="22"/>
              </w:rPr>
            </w:pPr>
          </w:p>
        </w:tc>
        <w:tc>
          <w:tcPr>
            <w:tcW w:w="4650" w:type="dxa"/>
          </w:tcPr>
          <w:p w14:paraId="3E550C2E"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Magyarország</w:t>
            </w:r>
          </w:p>
          <w:p w14:paraId="3E550C2F"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Hungária Kft.</w:t>
            </w:r>
          </w:p>
          <w:p w14:paraId="3E550C30"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Tel.: +36 1 457 65 00</w:t>
            </w:r>
          </w:p>
        </w:tc>
      </w:tr>
      <w:tr w:rsidR="00B1589E" w:rsidRPr="00FE6AC6" w14:paraId="3E550C39" w14:textId="77777777" w:rsidTr="005552D8">
        <w:trPr>
          <w:cantSplit/>
        </w:trPr>
        <w:tc>
          <w:tcPr>
            <w:tcW w:w="4650" w:type="dxa"/>
          </w:tcPr>
          <w:p w14:paraId="3E550C32" w14:textId="77777777" w:rsidR="00B1589E" w:rsidRPr="00FE6AC6" w:rsidRDefault="00B1589E" w:rsidP="0063575E">
            <w:pPr>
              <w:widowControl w:val="0"/>
              <w:spacing w:line="240" w:lineRule="auto"/>
              <w:rPr>
                <w:b/>
                <w:color w:val="000000"/>
                <w:szCs w:val="22"/>
              </w:rPr>
            </w:pPr>
            <w:r w:rsidRPr="00FE6AC6">
              <w:rPr>
                <w:b/>
                <w:color w:val="000000"/>
                <w:szCs w:val="22"/>
              </w:rPr>
              <w:t>Danmark</w:t>
            </w:r>
          </w:p>
          <w:p w14:paraId="3E550C33" w14:textId="77777777" w:rsidR="00B1589E" w:rsidRPr="00FE6AC6" w:rsidRDefault="00B1589E" w:rsidP="0063575E">
            <w:pPr>
              <w:widowControl w:val="0"/>
              <w:spacing w:line="240" w:lineRule="auto"/>
              <w:rPr>
                <w:color w:val="000000"/>
                <w:szCs w:val="22"/>
              </w:rPr>
            </w:pPr>
            <w:r w:rsidRPr="00FE6AC6">
              <w:rPr>
                <w:color w:val="000000"/>
                <w:szCs w:val="22"/>
              </w:rPr>
              <w:t>Novartis Healthcare A/S</w:t>
            </w:r>
          </w:p>
          <w:p w14:paraId="3E550C34" w14:textId="77777777" w:rsidR="00B1589E" w:rsidRPr="00FE6AC6" w:rsidRDefault="00B1589E" w:rsidP="0063575E">
            <w:pPr>
              <w:widowControl w:val="0"/>
              <w:spacing w:line="240" w:lineRule="auto"/>
              <w:rPr>
                <w:color w:val="000000"/>
                <w:szCs w:val="22"/>
              </w:rPr>
            </w:pPr>
            <w:r w:rsidRPr="00FE6AC6">
              <w:rPr>
                <w:color w:val="000000"/>
                <w:szCs w:val="22"/>
              </w:rPr>
              <w:t>Tlf: +45 39 16 84 00</w:t>
            </w:r>
          </w:p>
          <w:p w14:paraId="3E550C35" w14:textId="77777777" w:rsidR="00B1589E" w:rsidRPr="00FE6AC6" w:rsidRDefault="00B1589E" w:rsidP="0063575E">
            <w:pPr>
              <w:widowControl w:val="0"/>
              <w:spacing w:line="240" w:lineRule="auto"/>
              <w:rPr>
                <w:b/>
                <w:color w:val="000000"/>
                <w:szCs w:val="22"/>
              </w:rPr>
            </w:pPr>
          </w:p>
        </w:tc>
        <w:tc>
          <w:tcPr>
            <w:tcW w:w="4650" w:type="dxa"/>
          </w:tcPr>
          <w:p w14:paraId="3E550C36"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Malta</w:t>
            </w:r>
          </w:p>
          <w:p w14:paraId="3E550C37"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Pharma Services Inc.</w:t>
            </w:r>
          </w:p>
          <w:p w14:paraId="3E550C38" w14:textId="77777777" w:rsidR="00B1589E" w:rsidRPr="00FE6AC6" w:rsidRDefault="00B1589E" w:rsidP="0063575E">
            <w:pPr>
              <w:widowControl w:val="0"/>
              <w:spacing w:line="240" w:lineRule="auto"/>
              <w:rPr>
                <w:color w:val="000000"/>
                <w:szCs w:val="22"/>
              </w:rPr>
            </w:pPr>
            <w:r w:rsidRPr="00FE6AC6">
              <w:rPr>
                <w:color w:val="000000"/>
                <w:szCs w:val="22"/>
              </w:rPr>
              <w:t xml:space="preserve">Tel: +356 </w:t>
            </w:r>
            <w:r w:rsidRPr="00FE6AC6">
              <w:rPr>
                <w:color w:val="000000"/>
              </w:rPr>
              <w:t>2122 2872</w:t>
            </w:r>
          </w:p>
        </w:tc>
      </w:tr>
      <w:tr w:rsidR="00B1589E" w:rsidRPr="00FE6AC6" w14:paraId="3E550C41" w14:textId="77777777" w:rsidTr="005552D8">
        <w:trPr>
          <w:cantSplit/>
        </w:trPr>
        <w:tc>
          <w:tcPr>
            <w:tcW w:w="4650" w:type="dxa"/>
          </w:tcPr>
          <w:p w14:paraId="3E550C3A"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Deutschland</w:t>
            </w:r>
          </w:p>
          <w:p w14:paraId="3E550C3B"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Pharma GmbH</w:t>
            </w:r>
          </w:p>
          <w:p w14:paraId="3E550C3C"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Tel: +49 911 273 0</w:t>
            </w:r>
          </w:p>
          <w:p w14:paraId="3E550C3D" w14:textId="77777777" w:rsidR="00B1589E" w:rsidRPr="00FE6AC6" w:rsidRDefault="00B1589E" w:rsidP="0063575E">
            <w:pPr>
              <w:widowControl w:val="0"/>
              <w:spacing w:line="240" w:lineRule="auto"/>
              <w:rPr>
                <w:b/>
                <w:color w:val="000000"/>
                <w:szCs w:val="22"/>
                <w:lang w:val="de-CH"/>
              </w:rPr>
            </w:pPr>
          </w:p>
        </w:tc>
        <w:tc>
          <w:tcPr>
            <w:tcW w:w="4650" w:type="dxa"/>
          </w:tcPr>
          <w:p w14:paraId="3E550C3E"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Nederland</w:t>
            </w:r>
          </w:p>
          <w:p w14:paraId="3E550C3F"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Pharma B.V.</w:t>
            </w:r>
          </w:p>
          <w:p w14:paraId="3E550C40" w14:textId="046598DE" w:rsidR="00B1589E" w:rsidRPr="00FE6AC6" w:rsidRDefault="00B1589E" w:rsidP="0063575E">
            <w:pPr>
              <w:widowControl w:val="0"/>
              <w:spacing w:line="240" w:lineRule="auto"/>
              <w:rPr>
                <w:color w:val="000000"/>
                <w:szCs w:val="22"/>
              </w:rPr>
            </w:pPr>
            <w:r w:rsidRPr="00FE6AC6">
              <w:rPr>
                <w:color w:val="000000"/>
                <w:szCs w:val="22"/>
              </w:rPr>
              <w:t xml:space="preserve">Tel: +31 </w:t>
            </w:r>
            <w:r w:rsidR="006033B4">
              <w:rPr>
                <w:color w:val="000000"/>
                <w:szCs w:val="22"/>
              </w:rPr>
              <w:t>88 04 52</w:t>
            </w:r>
            <w:r w:rsidRPr="00FE6AC6">
              <w:rPr>
                <w:color w:val="000000"/>
                <w:szCs w:val="22"/>
              </w:rPr>
              <w:t xml:space="preserve"> </w:t>
            </w:r>
            <w:r w:rsidR="006863A5" w:rsidRPr="00FE6AC6">
              <w:rPr>
                <w:color w:val="000000"/>
                <w:szCs w:val="22"/>
              </w:rPr>
              <w:t>555</w:t>
            </w:r>
          </w:p>
        </w:tc>
      </w:tr>
      <w:tr w:rsidR="00B1589E" w:rsidRPr="00FE6AC6" w14:paraId="3E550C49" w14:textId="77777777" w:rsidTr="005552D8">
        <w:trPr>
          <w:cantSplit/>
        </w:trPr>
        <w:tc>
          <w:tcPr>
            <w:tcW w:w="4650" w:type="dxa"/>
          </w:tcPr>
          <w:p w14:paraId="3E550C42" w14:textId="77777777" w:rsidR="00B1589E" w:rsidRPr="00FE6AC6" w:rsidRDefault="00B1589E" w:rsidP="0063575E">
            <w:pPr>
              <w:widowControl w:val="0"/>
              <w:spacing w:line="240" w:lineRule="auto"/>
              <w:rPr>
                <w:b/>
                <w:color w:val="000000"/>
                <w:szCs w:val="22"/>
                <w:lang w:val="it-IT"/>
              </w:rPr>
            </w:pPr>
            <w:r w:rsidRPr="00FE6AC6">
              <w:rPr>
                <w:b/>
                <w:color w:val="000000"/>
                <w:szCs w:val="22"/>
                <w:lang w:val="it-IT"/>
              </w:rPr>
              <w:t>Eesti</w:t>
            </w:r>
          </w:p>
          <w:p w14:paraId="3E550C43" w14:textId="77777777" w:rsidR="00B1589E" w:rsidRPr="00FE6AC6" w:rsidRDefault="0094754E" w:rsidP="0063575E">
            <w:pPr>
              <w:widowControl w:val="0"/>
              <w:spacing w:line="240" w:lineRule="auto"/>
              <w:rPr>
                <w:color w:val="000000"/>
                <w:szCs w:val="22"/>
                <w:lang w:val="it-IT"/>
              </w:rPr>
            </w:pPr>
            <w:r w:rsidRPr="00FE6AC6">
              <w:rPr>
                <w:color w:val="000000"/>
                <w:szCs w:val="22"/>
                <w:lang w:val="it-IT"/>
              </w:rPr>
              <w:t>SIA Novartis Baltics Eesti filiaal</w:t>
            </w:r>
          </w:p>
          <w:p w14:paraId="3E550C44" w14:textId="77777777" w:rsidR="00B1589E" w:rsidRPr="00FE6AC6" w:rsidRDefault="00B1589E" w:rsidP="0063575E">
            <w:pPr>
              <w:widowControl w:val="0"/>
              <w:spacing w:line="240" w:lineRule="auto"/>
              <w:rPr>
                <w:color w:val="000000"/>
                <w:szCs w:val="22"/>
                <w:lang w:val="it-IT"/>
              </w:rPr>
            </w:pPr>
            <w:r w:rsidRPr="00FE6AC6">
              <w:rPr>
                <w:color w:val="000000"/>
                <w:szCs w:val="22"/>
                <w:lang w:val="it-IT"/>
              </w:rPr>
              <w:t>Tel: +372 66 30 810</w:t>
            </w:r>
          </w:p>
          <w:p w14:paraId="3E550C45" w14:textId="77777777" w:rsidR="00B1589E" w:rsidRPr="00FE6AC6" w:rsidRDefault="00B1589E" w:rsidP="0063575E">
            <w:pPr>
              <w:widowControl w:val="0"/>
              <w:spacing w:line="240" w:lineRule="auto"/>
              <w:rPr>
                <w:b/>
                <w:color w:val="000000"/>
                <w:szCs w:val="22"/>
                <w:lang w:val="it-IT"/>
              </w:rPr>
            </w:pPr>
          </w:p>
        </w:tc>
        <w:tc>
          <w:tcPr>
            <w:tcW w:w="4650" w:type="dxa"/>
          </w:tcPr>
          <w:p w14:paraId="3E550C46"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Norge</w:t>
            </w:r>
          </w:p>
          <w:p w14:paraId="3E550C47"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Norge AS</w:t>
            </w:r>
          </w:p>
          <w:p w14:paraId="3E550C48"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Tlf: +47 23 05 20 00</w:t>
            </w:r>
          </w:p>
        </w:tc>
      </w:tr>
      <w:tr w:rsidR="00B1589E" w:rsidRPr="004015AA" w14:paraId="3E550C51" w14:textId="77777777" w:rsidTr="005552D8">
        <w:trPr>
          <w:cantSplit/>
        </w:trPr>
        <w:tc>
          <w:tcPr>
            <w:tcW w:w="4650" w:type="dxa"/>
          </w:tcPr>
          <w:p w14:paraId="3E550C4A" w14:textId="77777777" w:rsidR="00B1589E" w:rsidRPr="00FE6AC6" w:rsidRDefault="00B1589E" w:rsidP="0063575E">
            <w:pPr>
              <w:widowControl w:val="0"/>
              <w:spacing w:line="240" w:lineRule="auto"/>
              <w:rPr>
                <w:b/>
                <w:color w:val="000000"/>
                <w:szCs w:val="22"/>
                <w:lang w:val="pt-BR"/>
              </w:rPr>
            </w:pPr>
            <w:r w:rsidRPr="00FE6AC6">
              <w:rPr>
                <w:b/>
                <w:color w:val="000000"/>
                <w:szCs w:val="22"/>
              </w:rPr>
              <w:t>Ελλάδα</w:t>
            </w:r>
          </w:p>
          <w:p w14:paraId="3E550C4B"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(Hellas) A.E.B.E.</w:t>
            </w:r>
          </w:p>
          <w:p w14:paraId="3E550C4C" w14:textId="77777777" w:rsidR="00B1589E" w:rsidRPr="00FE6AC6" w:rsidRDefault="00B1589E" w:rsidP="0063575E">
            <w:pPr>
              <w:widowControl w:val="0"/>
              <w:spacing w:line="240" w:lineRule="auto"/>
              <w:rPr>
                <w:color w:val="000000"/>
                <w:szCs w:val="22"/>
                <w:lang w:val="pt-BR"/>
              </w:rPr>
            </w:pPr>
            <w:r w:rsidRPr="00FE6AC6">
              <w:rPr>
                <w:color w:val="000000"/>
                <w:szCs w:val="22"/>
              </w:rPr>
              <w:t>Τηλ</w:t>
            </w:r>
            <w:r w:rsidRPr="00FE6AC6">
              <w:rPr>
                <w:color w:val="000000"/>
                <w:szCs w:val="22"/>
                <w:lang w:val="pt-BR"/>
              </w:rPr>
              <w:t>: +30 210 281 17 12</w:t>
            </w:r>
          </w:p>
          <w:p w14:paraId="3E550C4D" w14:textId="77777777" w:rsidR="00B1589E" w:rsidRPr="00FE6AC6" w:rsidRDefault="00B1589E" w:rsidP="0063575E">
            <w:pPr>
              <w:widowControl w:val="0"/>
              <w:spacing w:line="240" w:lineRule="auto"/>
              <w:rPr>
                <w:b/>
                <w:color w:val="000000"/>
                <w:szCs w:val="22"/>
                <w:lang w:val="pt-BR"/>
              </w:rPr>
            </w:pPr>
          </w:p>
        </w:tc>
        <w:tc>
          <w:tcPr>
            <w:tcW w:w="4650" w:type="dxa"/>
          </w:tcPr>
          <w:p w14:paraId="3E550C4E"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Österreich</w:t>
            </w:r>
          </w:p>
          <w:p w14:paraId="3E550C4F"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Pharma GmbH</w:t>
            </w:r>
          </w:p>
          <w:p w14:paraId="3E550C50"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Tel: +43 1 86 6570</w:t>
            </w:r>
          </w:p>
        </w:tc>
      </w:tr>
      <w:tr w:rsidR="00B1589E" w:rsidRPr="003B2B39" w14:paraId="3E550C59" w14:textId="77777777" w:rsidTr="005552D8">
        <w:trPr>
          <w:cantSplit/>
        </w:trPr>
        <w:tc>
          <w:tcPr>
            <w:tcW w:w="4650" w:type="dxa"/>
          </w:tcPr>
          <w:p w14:paraId="3E550C52"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España</w:t>
            </w:r>
          </w:p>
          <w:p w14:paraId="3E550C53"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Farmacéutica, S.A.</w:t>
            </w:r>
          </w:p>
          <w:p w14:paraId="3E550C54" w14:textId="77777777" w:rsidR="00B1589E" w:rsidRPr="00FE6AC6" w:rsidRDefault="00B1589E" w:rsidP="0063575E">
            <w:pPr>
              <w:widowControl w:val="0"/>
              <w:spacing w:line="240" w:lineRule="auto"/>
              <w:rPr>
                <w:color w:val="000000"/>
                <w:szCs w:val="22"/>
              </w:rPr>
            </w:pPr>
            <w:r w:rsidRPr="00FE6AC6">
              <w:rPr>
                <w:color w:val="000000"/>
                <w:szCs w:val="22"/>
              </w:rPr>
              <w:t>Tel: +34 93 306 42 00</w:t>
            </w:r>
          </w:p>
          <w:p w14:paraId="3E550C55" w14:textId="77777777" w:rsidR="00B1589E" w:rsidRPr="00FE6AC6" w:rsidRDefault="00B1589E" w:rsidP="0063575E">
            <w:pPr>
              <w:widowControl w:val="0"/>
              <w:spacing w:line="240" w:lineRule="auto"/>
              <w:rPr>
                <w:b/>
                <w:color w:val="000000"/>
                <w:szCs w:val="22"/>
              </w:rPr>
            </w:pPr>
          </w:p>
        </w:tc>
        <w:tc>
          <w:tcPr>
            <w:tcW w:w="4650" w:type="dxa"/>
          </w:tcPr>
          <w:p w14:paraId="3E550C56"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Polska</w:t>
            </w:r>
          </w:p>
          <w:p w14:paraId="3E550C57"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Poland Sp. z o.o.</w:t>
            </w:r>
          </w:p>
          <w:p w14:paraId="3E550C58"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 xml:space="preserve">Tel.: +48 22 </w:t>
            </w:r>
            <w:r w:rsidRPr="003B2B39">
              <w:rPr>
                <w:szCs w:val="22"/>
                <w:lang w:val="fr-CH"/>
              </w:rPr>
              <w:t>375 4888</w:t>
            </w:r>
          </w:p>
        </w:tc>
      </w:tr>
      <w:tr w:rsidR="00B1589E" w:rsidRPr="00FE6AC6" w14:paraId="3E550C61" w14:textId="77777777" w:rsidTr="005552D8">
        <w:trPr>
          <w:cantSplit/>
        </w:trPr>
        <w:tc>
          <w:tcPr>
            <w:tcW w:w="4650" w:type="dxa"/>
          </w:tcPr>
          <w:p w14:paraId="3E550C5A" w14:textId="77777777" w:rsidR="00B1589E" w:rsidRPr="00FE6AC6" w:rsidRDefault="00B1589E" w:rsidP="0063575E">
            <w:pPr>
              <w:widowControl w:val="0"/>
              <w:spacing w:line="240" w:lineRule="auto"/>
              <w:rPr>
                <w:b/>
                <w:color w:val="000000"/>
                <w:szCs w:val="22"/>
                <w:lang w:val="fr-FR"/>
              </w:rPr>
            </w:pPr>
            <w:r w:rsidRPr="00FE6AC6">
              <w:rPr>
                <w:b/>
                <w:color w:val="000000"/>
                <w:szCs w:val="22"/>
                <w:lang w:val="fr-FR"/>
              </w:rPr>
              <w:t>France</w:t>
            </w:r>
          </w:p>
          <w:p w14:paraId="3E550C5B"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Novartis Pharma S.A.S.</w:t>
            </w:r>
          </w:p>
          <w:p w14:paraId="3E550C5C"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Tél: +33 1 55 47 66 00</w:t>
            </w:r>
          </w:p>
          <w:p w14:paraId="3E550C5D" w14:textId="77777777" w:rsidR="00B1589E" w:rsidRPr="00FE6AC6" w:rsidRDefault="00B1589E" w:rsidP="0063575E">
            <w:pPr>
              <w:widowControl w:val="0"/>
              <w:spacing w:line="240" w:lineRule="auto"/>
              <w:rPr>
                <w:b/>
                <w:color w:val="000000"/>
                <w:szCs w:val="22"/>
                <w:lang w:val="fr-FR"/>
              </w:rPr>
            </w:pPr>
          </w:p>
        </w:tc>
        <w:tc>
          <w:tcPr>
            <w:tcW w:w="4650" w:type="dxa"/>
          </w:tcPr>
          <w:p w14:paraId="3E550C5E"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Portugal</w:t>
            </w:r>
          </w:p>
          <w:p w14:paraId="3E550C5F"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Farma - Produtos Farmacêuticos, S.A.</w:t>
            </w:r>
          </w:p>
          <w:p w14:paraId="3E550C60" w14:textId="77777777" w:rsidR="00B1589E" w:rsidRPr="00FE6AC6" w:rsidRDefault="00B1589E" w:rsidP="0063575E">
            <w:pPr>
              <w:widowControl w:val="0"/>
              <w:spacing w:line="240" w:lineRule="auto"/>
              <w:rPr>
                <w:color w:val="000000"/>
                <w:szCs w:val="22"/>
              </w:rPr>
            </w:pPr>
            <w:r w:rsidRPr="00FE6AC6">
              <w:rPr>
                <w:color w:val="000000"/>
                <w:szCs w:val="22"/>
              </w:rPr>
              <w:t>Tel: +351 21 000 8600</w:t>
            </w:r>
          </w:p>
        </w:tc>
      </w:tr>
      <w:tr w:rsidR="00B1589E" w:rsidRPr="00FE6AC6" w14:paraId="3E550C69" w14:textId="77777777" w:rsidTr="005552D8">
        <w:trPr>
          <w:cantSplit/>
        </w:trPr>
        <w:tc>
          <w:tcPr>
            <w:tcW w:w="4650" w:type="dxa"/>
          </w:tcPr>
          <w:p w14:paraId="3E550C62" w14:textId="77777777" w:rsidR="00B1589E" w:rsidRPr="00697CEB" w:rsidRDefault="00B1589E" w:rsidP="0063575E">
            <w:pPr>
              <w:widowControl w:val="0"/>
              <w:spacing w:line="240" w:lineRule="auto"/>
              <w:rPr>
                <w:rFonts w:eastAsia="PMingLiU"/>
                <w:b/>
                <w:lang w:val="de-CH"/>
              </w:rPr>
            </w:pPr>
            <w:r w:rsidRPr="00697CEB">
              <w:rPr>
                <w:rFonts w:eastAsia="PMingLiU"/>
                <w:b/>
                <w:lang w:val="de-CH"/>
              </w:rPr>
              <w:t>Hrvatska</w:t>
            </w:r>
          </w:p>
          <w:p w14:paraId="3E550C63" w14:textId="77777777" w:rsidR="00B1589E" w:rsidRPr="00697CEB" w:rsidRDefault="00B1589E" w:rsidP="0063575E">
            <w:pPr>
              <w:widowControl w:val="0"/>
              <w:spacing w:line="240" w:lineRule="auto"/>
              <w:rPr>
                <w:lang w:val="de-CH"/>
              </w:rPr>
            </w:pPr>
            <w:r w:rsidRPr="00697CEB">
              <w:rPr>
                <w:lang w:val="de-CH"/>
              </w:rPr>
              <w:t>Novartis Hrvatska d.o.o.</w:t>
            </w:r>
          </w:p>
          <w:p w14:paraId="3E550C64" w14:textId="77777777" w:rsidR="00B1589E" w:rsidRPr="00FE6AC6" w:rsidRDefault="00B1589E" w:rsidP="0063575E">
            <w:pPr>
              <w:widowControl w:val="0"/>
              <w:spacing w:line="240" w:lineRule="auto"/>
            </w:pPr>
            <w:r w:rsidRPr="00FE6AC6">
              <w:t>Tel. +385 1 6274 220</w:t>
            </w:r>
          </w:p>
          <w:p w14:paraId="3E550C65" w14:textId="77777777" w:rsidR="00B1589E" w:rsidRPr="00FE6AC6" w:rsidRDefault="00B1589E" w:rsidP="0063575E">
            <w:pPr>
              <w:widowControl w:val="0"/>
              <w:spacing w:line="240" w:lineRule="auto"/>
              <w:rPr>
                <w:b/>
                <w:color w:val="000000"/>
                <w:szCs w:val="22"/>
                <w:lang w:val="fr-FR"/>
              </w:rPr>
            </w:pPr>
          </w:p>
        </w:tc>
        <w:tc>
          <w:tcPr>
            <w:tcW w:w="4650" w:type="dxa"/>
          </w:tcPr>
          <w:p w14:paraId="3E550C66" w14:textId="77777777" w:rsidR="00B1589E" w:rsidRPr="00FE6AC6" w:rsidRDefault="00B1589E" w:rsidP="0063575E">
            <w:pPr>
              <w:widowControl w:val="0"/>
              <w:spacing w:line="240" w:lineRule="auto"/>
              <w:rPr>
                <w:b/>
                <w:noProof/>
                <w:color w:val="000000"/>
                <w:szCs w:val="22"/>
                <w:lang w:val="it-IT"/>
              </w:rPr>
            </w:pPr>
            <w:r w:rsidRPr="00FE6AC6">
              <w:rPr>
                <w:b/>
                <w:noProof/>
                <w:color w:val="000000"/>
                <w:szCs w:val="22"/>
                <w:lang w:val="it-IT"/>
              </w:rPr>
              <w:t>România</w:t>
            </w:r>
          </w:p>
          <w:p w14:paraId="3E550C67" w14:textId="77777777" w:rsidR="00B1589E" w:rsidRPr="00FE6AC6" w:rsidRDefault="00B1589E" w:rsidP="0063575E">
            <w:pPr>
              <w:widowControl w:val="0"/>
              <w:spacing w:line="240" w:lineRule="auto"/>
              <w:rPr>
                <w:noProof/>
                <w:color w:val="000000"/>
                <w:szCs w:val="22"/>
                <w:lang w:val="it-IT"/>
              </w:rPr>
            </w:pPr>
            <w:r w:rsidRPr="00FE6AC6">
              <w:rPr>
                <w:noProof/>
                <w:color w:val="000000"/>
                <w:szCs w:val="22"/>
                <w:lang w:val="it-IT"/>
              </w:rPr>
              <w:t xml:space="preserve">Novartis Pharma Services </w:t>
            </w:r>
            <w:r w:rsidRPr="00FE6AC6">
              <w:rPr>
                <w:color w:val="2F2F2F"/>
                <w:szCs w:val="22"/>
              </w:rPr>
              <w:t>Romania SRL</w:t>
            </w:r>
          </w:p>
          <w:p w14:paraId="3E550C68" w14:textId="77777777" w:rsidR="00B1589E" w:rsidRPr="00FE6AC6" w:rsidRDefault="00B1589E" w:rsidP="0063575E">
            <w:pPr>
              <w:widowControl w:val="0"/>
              <w:spacing w:line="240" w:lineRule="auto"/>
              <w:rPr>
                <w:color w:val="000000"/>
                <w:szCs w:val="22"/>
              </w:rPr>
            </w:pPr>
            <w:r w:rsidRPr="00FE6AC6">
              <w:rPr>
                <w:noProof/>
                <w:color w:val="000000"/>
                <w:szCs w:val="22"/>
                <w:lang w:val="it-IT"/>
              </w:rPr>
              <w:t>Tel: +40 21 31299 01</w:t>
            </w:r>
          </w:p>
        </w:tc>
      </w:tr>
      <w:tr w:rsidR="00B1589E" w:rsidRPr="00FE6AC6" w14:paraId="3E550C71" w14:textId="77777777" w:rsidTr="005552D8">
        <w:trPr>
          <w:cantSplit/>
        </w:trPr>
        <w:tc>
          <w:tcPr>
            <w:tcW w:w="4650" w:type="dxa"/>
          </w:tcPr>
          <w:p w14:paraId="3E550C6A" w14:textId="77777777" w:rsidR="00B1589E" w:rsidRPr="00FE6AC6" w:rsidRDefault="00B1589E" w:rsidP="0063575E">
            <w:pPr>
              <w:widowControl w:val="0"/>
              <w:spacing w:line="240" w:lineRule="auto"/>
              <w:rPr>
                <w:b/>
                <w:color w:val="000000"/>
                <w:szCs w:val="22"/>
              </w:rPr>
            </w:pPr>
            <w:r w:rsidRPr="00FE6AC6">
              <w:rPr>
                <w:b/>
                <w:color w:val="000000"/>
                <w:szCs w:val="22"/>
              </w:rPr>
              <w:t>Ireland</w:t>
            </w:r>
          </w:p>
          <w:p w14:paraId="3E550C6B" w14:textId="77777777" w:rsidR="00B1589E" w:rsidRPr="00FE6AC6" w:rsidRDefault="00B1589E" w:rsidP="0063575E">
            <w:pPr>
              <w:widowControl w:val="0"/>
              <w:spacing w:line="240" w:lineRule="auto"/>
              <w:rPr>
                <w:color w:val="000000"/>
                <w:szCs w:val="22"/>
              </w:rPr>
            </w:pPr>
            <w:r w:rsidRPr="00FE6AC6">
              <w:rPr>
                <w:color w:val="000000"/>
                <w:szCs w:val="22"/>
              </w:rPr>
              <w:t>Novartis Ireland Limited</w:t>
            </w:r>
          </w:p>
          <w:p w14:paraId="3E550C6C" w14:textId="77777777" w:rsidR="00B1589E" w:rsidRPr="00FE6AC6" w:rsidRDefault="00B1589E" w:rsidP="0063575E">
            <w:pPr>
              <w:widowControl w:val="0"/>
              <w:spacing w:line="240" w:lineRule="auto"/>
              <w:rPr>
                <w:color w:val="000000"/>
                <w:szCs w:val="22"/>
              </w:rPr>
            </w:pPr>
            <w:r w:rsidRPr="00FE6AC6">
              <w:rPr>
                <w:color w:val="000000"/>
                <w:szCs w:val="22"/>
              </w:rPr>
              <w:t>Tel: +353 1 260 12 55</w:t>
            </w:r>
          </w:p>
          <w:p w14:paraId="3E550C6D" w14:textId="77777777" w:rsidR="00B1589E" w:rsidRPr="00FE6AC6" w:rsidRDefault="00B1589E" w:rsidP="0063575E">
            <w:pPr>
              <w:widowControl w:val="0"/>
              <w:spacing w:line="240" w:lineRule="auto"/>
              <w:rPr>
                <w:b/>
                <w:color w:val="000000"/>
                <w:szCs w:val="22"/>
              </w:rPr>
            </w:pPr>
          </w:p>
        </w:tc>
        <w:tc>
          <w:tcPr>
            <w:tcW w:w="4650" w:type="dxa"/>
          </w:tcPr>
          <w:p w14:paraId="3E550C6E" w14:textId="77777777" w:rsidR="00B1589E" w:rsidRPr="00FE6AC6" w:rsidRDefault="00B1589E" w:rsidP="0063575E">
            <w:pPr>
              <w:widowControl w:val="0"/>
              <w:spacing w:line="240" w:lineRule="auto"/>
              <w:rPr>
                <w:b/>
                <w:color w:val="000000"/>
                <w:szCs w:val="22"/>
                <w:lang w:val="fr-FR"/>
              </w:rPr>
            </w:pPr>
            <w:r w:rsidRPr="00FE6AC6">
              <w:rPr>
                <w:b/>
                <w:color w:val="000000"/>
                <w:szCs w:val="22"/>
                <w:lang w:val="fr-FR"/>
              </w:rPr>
              <w:t>Slovenija</w:t>
            </w:r>
          </w:p>
          <w:p w14:paraId="3E550C6F"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Novartis Pharma Services Inc.</w:t>
            </w:r>
          </w:p>
          <w:p w14:paraId="3E550C70"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Tel: +386 1 300 75 50</w:t>
            </w:r>
          </w:p>
        </w:tc>
      </w:tr>
      <w:tr w:rsidR="00B1589E" w:rsidRPr="00FE6AC6" w14:paraId="3E550C7A" w14:textId="77777777" w:rsidTr="005552D8">
        <w:trPr>
          <w:cantSplit/>
        </w:trPr>
        <w:tc>
          <w:tcPr>
            <w:tcW w:w="4650" w:type="dxa"/>
          </w:tcPr>
          <w:p w14:paraId="3E550C72" w14:textId="77777777" w:rsidR="00B1589E" w:rsidRPr="00FE6AC6" w:rsidRDefault="00B1589E" w:rsidP="0063575E">
            <w:pPr>
              <w:widowControl w:val="0"/>
              <w:spacing w:line="240" w:lineRule="auto"/>
              <w:rPr>
                <w:b/>
                <w:color w:val="000000"/>
                <w:szCs w:val="22"/>
              </w:rPr>
            </w:pPr>
            <w:r w:rsidRPr="00FE6AC6">
              <w:rPr>
                <w:b/>
                <w:color w:val="000000"/>
                <w:szCs w:val="22"/>
              </w:rPr>
              <w:t>Ísland</w:t>
            </w:r>
          </w:p>
          <w:p w14:paraId="3E550C73" w14:textId="77777777" w:rsidR="00B1589E" w:rsidRPr="00FE6AC6" w:rsidRDefault="00B1589E" w:rsidP="0063575E">
            <w:pPr>
              <w:widowControl w:val="0"/>
              <w:spacing w:line="240" w:lineRule="auto"/>
              <w:rPr>
                <w:color w:val="000000"/>
                <w:szCs w:val="22"/>
              </w:rPr>
            </w:pPr>
            <w:r w:rsidRPr="00FE6AC6">
              <w:rPr>
                <w:color w:val="000000"/>
                <w:szCs w:val="22"/>
              </w:rPr>
              <w:t>Vistor hf.</w:t>
            </w:r>
          </w:p>
          <w:p w14:paraId="3E550C74" w14:textId="77777777" w:rsidR="00B1589E" w:rsidRPr="00FE6AC6" w:rsidRDefault="00B1589E" w:rsidP="0063575E">
            <w:pPr>
              <w:widowControl w:val="0"/>
              <w:spacing w:line="240" w:lineRule="auto"/>
              <w:rPr>
                <w:color w:val="000000"/>
                <w:szCs w:val="22"/>
              </w:rPr>
            </w:pPr>
            <w:r w:rsidRPr="00FE6AC6">
              <w:rPr>
                <w:noProof/>
                <w:color w:val="000000"/>
                <w:lang w:val="it-IT"/>
              </w:rPr>
              <w:t>S</w:t>
            </w:r>
            <w:r w:rsidRPr="00FE6AC6">
              <w:rPr>
                <w:noProof/>
                <w:color w:val="000000"/>
                <w:lang w:val="cs-CZ"/>
              </w:rPr>
              <w:t>í</w:t>
            </w:r>
            <w:r w:rsidRPr="00FE6AC6">
              <w:rPr>
                <w:noProof/>
                <w:color w:val="000000"/>
                <w:lang w:val="it-IT"/>
              </w:rPr>
              <w:t>mi</w:t>
            </w:r>
            <w:r w:rsidRPr="00FE6AC6">
              <w:rPr>
                <w:color w:val="000000"/>
                <w:szCs w:val="22"/>
              </w:rPr>
              <w:t>: +354 535 7000</w:t>
            </w:r>
          </w:p>
          <w:p w14:paraId="3E550C75" w14:textId="77777777" w:rsidR="00B1589E" w:rsidRPr="00FE6AC6" w:rsidRDefault="00B1589E" w:rsidP="0063575E">
            <w:pPr>
              <w:widowControl w:val="0"/>
              <w:spacing w:line="240" w:lineRule="auto"/>
              <w:rPr>
                <w:b/>
                <w:color w:val="000000"/>
                <w:szCs w:val="22"/>
              </w:rPr>
            </w:pPr>
          </w:p>
        </w:tc>
        <w:tc>
          <w:tcPr>
            <w:tcW w:w="4650" w:type="dxa"/>
          </w:tcPr>
          <w:p w14:paraId="3E550C76"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Slovenská republika</w:t>
            </w:r>
          </w:p>
          <w:p w14:paraId="3E550C77"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Slovakia s.r.o.</w:t>
            </w:r>
          </w:p>
          <w:p w14:paraId="3E550C78" w14:textId="77777777" w:rsidR="00B1589E" w:rsidRPr="00FE6AC6" w:rsidRDefault="00B1589E" w:rsidP="0063575E">
            <w:pPr>
              <w:widowControl w:val="0"/>
              <w:spacing w:line="240" w:lineRule="auto"/>
              <w:rPr>
                <w:color w:val="000000"/>
                <w:szCs w:val="22"/>
              </w:rPr>
            </w:pPr>
            <w:r w:rsidRPr="00FE6AC6">
              <w:rPr>
                <w:color w:val="000000"/>
                <w:szCs w:val="22"/>
              </w:rPr>
              <w:t>Tel: +421 2 5542 5439</w:t>
            </w:r>
          </w:p>
          <w:p w14:paraId="3E550C79" w14:textId="77777777" w:rsidR="00B1589E" w:rsidRPr="00FE6AC6" w:rsidRDefault="00B1589E" w:rsidP="0063575E">
            <w:pPr>
              <w:widowControl w:val="0"/>
              <w:spacing w:line="240" w:lineRule="auto"/>
              <w:rPr>
                <w:color w:val="000000"/>
                <w:szCs w:val="22"/>
              </w:rPr>
            </w:pPr>
          </w:p>
        </w:tc>
      </w:tr>
      <w:tr w:rsidR="00B1589E" w:rsidRPr="004015AA" w14:paraId="3E550C82" w14:textId="77777777" w:rsidTr="005552D8">
        <w:trPr>
          <w:cantSplit/>
        </w:trPr>
        <w:tc>
          <w:tcPr>
            <w:tcW w:w="4650" w:type="dxa"/>
          </w:tcPr>
          <w:p w14:paraId="3E550C7B"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Italia</w:t>
            </w:r>
          </w:p>
          <w:p w14:paraId="3E550C7C"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Farma S.p.A.</w:t>
            </w:r>
          </w:p>
          <w:p w14:paraId="3E550C7D" w14:textId="77777777" w:rsidR="00B1589E" w:rsidRPr="00FE6AC6" w:rsidRDefault="00B1589E" w:rsidP="0063575E">
            <w:pPr>
              <w:widowControl w:val="0"/>
              <w:spacing w:line="240" w:lineRule="auto"/>
              <w:rPr>
                <w:b/>
                <w:color w:val="000000"/>
                <w:szCs w:val="22"/>
              </w:rPr>
            </w:pPr>
            <w:r w:rsidRPr="00FE6AC6">
              <w:rPr>
                <w:color w:val="000000"/>
                <w:szCs w:val="22"/>
              </w:rPr>
              <w:t>Tel: +39 02 96 54 1</w:t>
            </w:r>
          </w:p>
        </w:tc>
        <w:tc>
          <w:tcPr>
            <w:tcW w:w="4650" w:type="dxa"/>
          </w:tcPr>
          <w:p w14:paraId="3E550C7E" w14:textId="77777777" w:rsidR="00B1589E" w:rsidRPr="00FE6AC6" w:rsidRDefault="00B1589E" w:rsidP="0063575E">
            <w:pPr>
              <w:widowControl w:val="0"/>
              <w:spacing w:line="240" w:lineRule="auto"/>
              <w:rPr>
                <w:b/>
                <w:color w:val="000000"/>
                <w:szCs w:val="22"/>
                <w:lang w:val="fr-FR"/>
              </w:rPr>
            </w:pPr>
            <w:r w:rsidRPr="00FE6AC6">
              <w:rPr>
                <w:b/>
                <w:color w:val="000000"/>
                <w:szCs w:val="22"/>
                <w:lang w:val="fr-FR"/>
              </w:rPr>
              <w:t>Suomi/Finland</w:t>
            </w:r>
          </w:p>
          <w:p w14:paraId="3E550C7F"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Novartis Finland Oy</w:t>
            </w:r>
          </w:p>
          <w:p w14:paraId="3E550C80"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 xml:space="preserve">Puh/Tel: </w:t>
            </w:r>
            <w:r w:rsidRPr="00FE6AC6">
              <w:rPr>
                <w:color w:val="000000"/>
                <w:szCs w:val="22"/>
                <w:lang w:val="de-CH" w:bidi="he-IL"/>
              </w:rPr>
              <w:t>+358 (0)10 6133 200</w:t>
            </w:r>
          </w:p>
          <w:p w14:paraId="3E550C81" w14:textId="77777777" w:rsidR="00B1589E" w:rsidRPr="00FE6AC6" w:rsidRDefault="00B1589E" w:rsidP="0063575E">
            <w:pPr>
              <w:widowControl w:val="0"/>
              <w:spacing w:line="240" w:lineRule="auto"/>
              <w:rPr>
                <w:color w:val="000000"/>
                <w:szCs w:val="22"/>
                <w:lang w:val="fr-FR"/>
              </w:rPr>
            </w:pPr>
          </w:p>
        </w:tc>
      </w:tr>
      <w:tr w:rsidR="00B1589E" w:rsidRPr="004015AA" w14:paraId="3E550C8B" w14:textId="77777777" w:rsidTr="005552D8">
        <w:trPr>
          <w:cantSplit/>
        </w:trPr>
        <w:tc>
          <w:tcPr>
            <w:tcW w:w="4650" w:type="dxa"/>
          </w:tcPr>
          <w:p w14:paraId="3E550C83" w14:textId="77777777" w:rsidR="00B1589E" w:rsidRPr="00FE6AC6" w:rsidRDefault="00B1589E" w:rsidP="0063575E">
            <w:pPr>
              <w:widowControl w:val="0"/>
              <w:spacing w:line="240" w:lineRule="auto"/>
              <w:rPr>
                <w:b/>
                <w:color w:val="000000"/>
                <w:szCs w:val="22"/>
                <w:lang w:val="fr-FR"/>
              </w:rPr>
            </w:pPr>
            <w:r w:rsidRPr="00FE6AC6">
              <w:rPr>
                <w:b/>
                <w:color w:val="000000"/>
                <w:szCs w:val="22"/>
              </w:rPr>
              <w:t>Κύπρος</w:t>
            </w:r>
          </w:p>
          <w:p w14:paraId="3E550C84" w14:textId="77777777" w:rsidR="00B1589E" w:rsidRPr="00FE6AC6" w:rsidRDefault="00B1589E" w:rsidP="0063575E">
            <w:pPr>
              <w:widowControl w:val="0"/>
              <w:spacing w:line="240" w:lineRule="auto"/>
              <w:rPr>
                <w:color w:val="000000"/>
                <w:szCs w:val="22"/>
                <w:lang w:val="fr-FR"/>
              </w:rPr>
            </w:pPr>
            <w:r w:rsidRPr="00FE6AC6">
              <w:rPr>
                <w:color w:val="000000"/>
                <w:szCs w:val="22"/>
                <w:lang w:val="fr-FR" w:bidi="he-IL"/>
              </w:rPr>
              <w:t>Novartis Pharma Services Inc.</w:t>
            </w:r>
          </w:p>
          <w:p w14:paraId="3E550C85" w14:textId="77777777" w:rsidR="00B1589E" w:rsidRPr="00FE6AC6" w:rsidRDefault="00B1589E" w:rsidP="0063575E">
            <w:pPr>
              <w:widowControl w:val="0"/>
              <w:spacing w:line="240" w:lineRule="auto"/>
              <w:rPr>
                <w:color w:val="000000"/>
                <w:szCs w:val="22"/>
                <w:lang w:val="fr-FR"/>
              </w:rPr>
            </w:pPr>
            <w:r w:rsidRPr="00FE6AC6">
              <w:rPr>
                <w:color w:val="000000"/>
                <w:szCs w:val="22"/>
              </w:rPr>
              <w:t>Τηλ</w:t>
            </w:r>
            <w:r w:rsidRPr="00FE6AC6">
              <w:rPr>
                <w:color w:val="000000"/>
                <w:szCs w:val="22"/>
                <w:lang w:val="fr-FR"/>
              </w:rPr>
              <w:t>: +357 22 690 690</w:t>
            </w:r>
          </w:p>
          <w:p w14:paraId="3E550C86" w14:textId="77777777" w:rsidR="00B1589E" w:rsidRPr="00FE6AC6" w:rsidRDefault="00B1589E" w:rsidP="0063575E">
            <w:pPr>
              <w:widowControl w:val="0"/>
              <w:spacing w:line="240" w:lineRule="auto"/>
              <w:rPr>
                <w:b/>
                <w:color w:val="000000"/>
                <w:szCs w:val="22"/>
                <w:lang w:val="fr-FR"/>
              </w:rPr>
            </w:pPr>
          </w:p>
        </w:tc>
        <w:tc>
          <w:tcPr>
            <w:tcW w:w="4650" w:type="dxa"/>
          </w:tcPr>
          <w:p w14:paraId="3E550C87"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Sverige</w:t>
            </w:r>
          </w:p>
          <w:p w14:paraId="3E550C88"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Sverige AB</w:t>
            </w:r>
          </w:p>
          <w:p w14:paraId="3E550C89"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Tel: +46 8 732 32 00</w:t>
            </w:r>
          </w:p>
          <w:p w14:paraId="3E550C8A" w14:textId="77777777" w:rsidR="00B1589E" w:rsidRPr="00FE6AC6" w:rsidRDefault="00B1589E" w:rsidP="0063575E">
            <w:pPr>
              <w:widowControl w:val="0"/>
              <w:spacing w:line="240" w:lineRule="auto"/>
              <w:rPr>
                <w:color w:val="000000"/>
                <w:szCs w:val="22"/>
                <w:lang w:val="de-CH"/>
              </w:rPr>
            </w:pPr>
          </w:p>
        </w:tc>
      </w:tr>
      <w:tr w:rsidR="00B1589E" w:rsidRPr="00FE6AC6" w14:paraId="3E550C94" w14:textId="77777777" w:rsidTr="005552D8">
        <w:trPr>
          <w:cantSplit/>
        </w:trPr>
        <w:tc>
          <w:tcPr>
            <w:tcW w:w="4650" w:type="dxa"/>
          </w:tcPr>
          <w:p w14:paraId="3E550C8C" w14:textId="77777777" w:rsidR="00B1589E" w:rsidRPr="00FE6AC6" w:rsidRDefault="00B1589E" w:rsidP="0063575E">
            <w:pPr>
              <w:widowControl w:val="0"/>
              <w:spacing w:line="240" w:lineRule="auto"/>
              <w:rPr>
                <w:b/>
                <w:color w:val="000000"/>
                <w:szCs w:val="22"/>
                <w:lang w:val="it-IT"/>
              </w:rPr>
            </w:pPr>
            <w:r w:rsidRPr="00FE6AC6">
              <w:rPr>
                <w:b/>
                <w:color w:val="000000"/>
                <w:szCs w:val="22"/>
                <w:lang w:val="it-IT"/>
              </w:rPr>
              <w:t>Latvija</w:t>
            </w:r>
          </w:p>
          <w:p w14:paraId="3E550C8D" w14:textId="284F474B" w:rsidR="00B1589E" w:rsidRPr="00FE6AC6" w:rsidRDefault="00E0328B" w:rsidP="0063575E">
            <w:pPr>
              <w:widowControl w:val="0"/>
              <w:spacing w:line="240" w:lineRule="auto"/>
              <w:rPr>
                <w:color w:val="000000"/>
                <w:szCs w:val="22"/>
                <w:lang w:val="it-IT"/>
              </w:rPr>
            </w:pPr>
            <w:r w:rsidRPr="00FE6AC6">
              <w:rPr>
                <w:szCs w:val="22"/>
                <w:lang w:val="it-IT"/>
              </w:rPr>
              <w:t>SIA Novartis Baltics</w:t>
            </w:r>
          </w:p>
          <w:p w14:paraId="3E550C8E" w14:textId="77777777" w:rsidR="00B1589E" w:rsidRPr="00FE6AC6" w:rsidRDefault="00B1589E" w:rsidP="0063575E">
            <w:pPr>
              <w:widowControl w:val="0"/>
              <w:spacing w:line="240" w:lineRule="auto"/>
              <w:rPr>
                <w:color w:val="000000"/>
                <w:szCs w:val="22"/>
                <w:lang w:val="it-IT"/>
              </w:rPr>
            </w:pPr>
            <w:r w:rsidRPr="00FE6AC6">
              <w:rPr>
                <w:color w:val="000000"/>
                <w:szCs w:val="22"/>
                <w:lang w:val="it-IT"/>
              </w:rPr>
              <w:t>Tel: +371 67 887 070</w:t>
            </w:r>
          </w:p>
          <w:p w14:paraId="3E550C8F" w14:textId="77777777" w:rsidR="00B1589E" w:rsidRPr="00FE6AC6" w:rsidRDefault="00B1589E" w:rsidP="0063575E">
            <w:pPr>
              <w:widowControl w:val="0"/>
              <w:spacing w:line="240" w:lineRule="auto"/>
              <w:rPr>
                <w:b/>
                <w:color w:val="000000"/>
                <w:szCs w:val="22"/>
                <w:lang w:val="it-IT"/>
              </w:rPr>
            </w:pPr>
          </w:p>
        </w:tc>
        <w:tc>
          <w:tcPr>
            <w:tcW w:w="4650" w:type="dxa"/>
          </w:tcPr>
          <w:p w14:paraId="3E550C90" w14:textId="77777777" w:rsidR="00B1589E" w:rsidRPr="00FE6AC6" w:rsidRDefault="00B1589E" w:rsidP="0063575E">
            <w:pPr>
              <w:widowControl w:val="0"/>
              <w:spacing w:line="240" w:lineRule="auto"/>
              <w:rPr>
                <w:b/>
                <w:color w:val="000000"/>
                <w:szCs w:val="22"/>
              </w:rPr>
            </w:pPr>
            <w:r w:rsidRPr="00FE6AC6">
              <w:rPr>
                <w:b/>
                <w:color w:val="000000"/>
                <w:szCs w:val="22"/>
              </w:rPr>
              <w:t>United Kingdom</w:t>
            </w:r>
          </w:p>
          <w:p w14:paraId="3E550C91" w14:textId="77777777" w:rsidR="00B1589E" w:rsidRPr="00FE6AC6" w:rsidRDefault="00B1589E" w:rsidP="0063575E">
            <w:pPr>
              <w:widowControl w:val="0"/>
              <w:spacing w:line="240" w:lineRule="auto"/>
              <w:rPr>
                <w:color w:val="000000"/>
                <w:szCs w:val="22"/>
              </w:rPr>
            </w:pPr>
            <w:r w:rsidRPr="00FE6AC6">
              <w:rPr>
                <w:color w:val="000000"/>
                <w:szCs w:val="22"/>
              </w:rPr>
              <w:t>Novartis Pharmaceuticals UK Ltd.</w:t>
            </w:r>
          </w:p>
          <w:p w14:paraId="3E550C92" w14:textId="77777777" w:rsidR="00B1589E" w:rsidRPr="00FE6AC6" w:rsidRDefault="00B1589E" w:rsidP="0063575E">
            <w:pPr>
              <w:widowControl w:val="0"/>
              <w:spacing w:line="240" w:lineRule="auto"/>
              <w:rPr>
                <w:color w:val="000000"/>
                <w:szCs w:val="22"/>
              </w:rPr>
            </w:pPr>
            <w:r w:rsidRPr="00FE6AC6">
              <w:rPr>
                <w:color w:val="000000"/>
                <w:szCs w:val="22"/>
              </w:rPr>
              <w:t>Tel: +44 1276 698370</w:t>
            </w:r>
          </w:p>
          <w:p w14:paraId="3E550C93" w14:textId="77777777" w:rsidR="00B1589E" w:rsidRPr="00FE6AC6" w:rsidRDefault="00B1589E" w:rsidP="0063575E">
            <w:pPr>
              <w:widowControl w:val="0"/>
              <w:spacing w:line="240" w:lineRule="auto"/>
              <w:rPr>
                <w:color w:val="000000"/>
                <w:szCs w:val="22"/>
              </w:rPr>
            </w:pPr>
          </w:p>
        </w:tc>
      </w:tr>
    </w:tbl>
    <w:p w14:paraId="3E550C95" w14:textId="77777777" w:rsidR="00B1589E" w:rsidRPr="00FE6AC6" w:rsidRDefault="00B1589E" w:rsidP="0063575E">
      <w:pPr>
        <w:widowControl w:val="0"/>
        <w:tabs>
          <w:tab w:val="clear" w:pos="567"/>
        </w:tabs>
        <w:spacing w:line="240" w:lineRule="auto"/>
        <w:ind w:right="-449"/>
        <w:rPr>
          <w:color w:val="000000"/>
          <w:szCs w:val="22"/>
        </w:rPr>
      </w:pPr>
    </w:p>
    <w:p w14:paraId="3E550C96" w14:textId="77777777" w:rsidR="00426F49" w:rsidRPr="00FE6AC6" w:rsidRDefault="00426F49" w:rsidP="0063575E">
      <w:pPr>
        <w:widowControl w:val="0"/>
        <w:spacing w:line="240" w:lineRule="auto"/>
        <w:ind w:right="-2"/>
        <w:rPr>
          <w:b/>
          <w:color w:val="000000"/>
        </w:rPr>
      </w:pPr>
      <w:r w:rsidRPr="00FE6AC6">
        <w:rPr>
          <w:b/>
          <w:color w:val="000000"/>
          <w:lang w:val="bg-BG"/>
        </w:rPr>
        <w:t>Дата на последно</w:t>
      </w:r>
      <w:r w:rsidR="005A5CEA" w:rsidRPr="00FE6AC6">
        <w:rPr>
          <w:b/>
          <w:color w:val="000000"/>
        </w:rPr>
        <w:t xml:space="preserve"> </w:t>
      </w:r>
      <w:r w:rsidR="00257477" w:rsidRPr="00FE6AC6">
        <w:rPr>
          <w:b/>
          <w:noProof/>
          <w:szCs w:val="24"/>
          <w:lang w:val="ru-RU"/>
        </w:rPr>
        <w:t>преразглеждане</w:t>
      </w:r>
      <w:r w:rsidRPr="00FE6AC6">
        <w:rPr>
          <w:b/>
          <w:color w:val="000000"/>
          <w:lang w:val="bg-BG"/>
        </w:rPr>
        <w:t xml:space="preserve"> на листовката</w:t>
      </w:r>
    </w:p>
    <w:p w14:paraId="3E550C97" w14:textId="77777777" w:rsidR="00426F49" w:rsidRPr="00FE6AC6" w:rsidRDefault="00426F49" w:rsidP="0063575E">
      <w:pPr>
        <w:widowControl w:val="0"/>
        <w:tabs>
          <w:tab w:val="clear" w:pos="567"/>
        </w:tabs>
        <w:spacing w:line="240" w:lineRule="auto"/>
        <w:ind w:right="-449"/>
        <w:rPr>
          <w:color w:val="000000"/>
          <w:szCs w:val="22"/>
          <w:lang w:val="bg-BG"/>
        </w:rPr>
      </w:pPr>
    </w:p>
    <w:p w14:paraId="3E550C98" w14:textId="77777777" w:rsidR="00257477" w:rsidRPr="00FE6AC6" w:rsidRDefault="00257477" w:rsidP="0063575E">
      <w:pPr>
        <w:keepNext/>
        <w:widowControl w:val="0"/>
        <w:tabs>
          <w:tab w:val="clear" w:pos="567"/>
        </w:tabs>
        <w:spacing w:line="240" w:lineRule="auto"/>
        <w:ind w:right="-448"/>
        <w:rPr>
          <w:noProof/>
          <w:lang w:val="ru-RU"/>
        </w:rPr>
      </w:pPr>
      <w:r w:rsidRPr="00FE6AC6">
        <w:rPr>
          <w:b/>
          <w:noProof/>
          <w:szCs w:val="24"/>
          <w:lang w:val="bg-BG"/>
        </w:rPr>
        <w:t>Други източници на информация</w:t>
      </w:r>
    </w:p>
    <w:p w14:paraId="3E550C99" w14:textId="77777777" w:rsidR="00426F49" w:rsidRPr="00FE6AC6" w:rsidRDefault="00426F49" w:rsidP="0063575E">
      <w:pPr>
        <w:widowControl w:val="0"/>
        <w:tabs>
          <w:tab w:val="clear" w:pos="567"/>
        </w:tabs>
        <w:spacing w:line="240" w:lineRule="auto"/>
        <w:ind w:right="-449"/>
        <w:rPr>
          <w:color w:val="000000"/>
          <w:szCs w:val="22"/>
          <w:lang w:val="ru-RU"/>
        </w:rPr>
      </w:pPr>
      <w:r w:rsidRPr="00FE6AC6">
        <w:rPr>
          <w:noProof/>
          <w:lang w:val="ru-RU"/>
        </w:rPr>
        <w:t>Подробна информация за това лекарств</w:t>
      </w:r>
      <w:r w:rsidRPr="00FE6AC6">
        <w:rPr>
          <w:noProof/>
          <w:lang w:val="it-IT"/>
        </w:rPr>
        <w:t>o</w:t>
      </w:r>
      <w:r w:rsidRPr="00FE6AC6">
        <w:rPr>
          <w:noProof/>
          <w:lang w:val="ru-RU"/>
        </w:rPr>
        <w:t xml:space="preserve"> е предоставена на уебсайта на Европейската агенция по лекарствата </w:t>
      </w:r>
      <w:r w:rsidRPr="00FE6AC6">
        <w:rPr>
          <w:noProof/>
          <w:color w:val="000000"/>
          <w:lang w:val="it-IT"/>
        </w:rPr>
        <w:t>http</w:t>
      </w:r>
      <w:r w:rsidRPr="00FE6AC6">
        <w:rPr>
          <w:noProof/>
          <w:color w:val="000000"/>
          <w:lang w:val="ru-RU"/>
        </w:rPr>
        <w:t>://</w:t>
      </w:r>
      <w:r w:rsidRPr="00FE6AC6">
        <w:rPr>
          <w:noProof/>
          <w:color w:val="000000"/>
          <w:lang w:val="it-IT"/>
        </w:rPr>
        <w:t>www</w:t>
      </w:r>
      <w:r w:rsidRPr="00FE6AC6">
        <w:rPr>
          <w:noProof/>
          <w:color w:val="000000"/>
          <w:lang w:val="ru-RU"/>
        </w:rPr>
        <w:t>.</w:t>
      </w:r>
      <w:r w:rsidRPr="00FE6AC6">
        <w:rPr>
          <w:noProof/>
          <w:color w:val="000000"/>
          <w:lang w:val="it-IT"/>
        </w:rPr>
        <w:t>ema</w:t>
      </w:r>
      <w:r w:rsidRPr="00FE6AC6">
        <w:rPr>
          <w:noProof/>
          <w:color w:val="000000"/>
          <w:lang w:val="ru-RU"/>
        </w:rPr>
        <w:t>.</w:t>
      </w:r>
      <w:r w:rsidRPr="00FE6AC6">
        <w:rPr>
          <w:noProof/>
          <w:color w:val="000000"/>
          <w:lang w:val="it-IT"/>
        </w:rPr>
        <w:t>europa</w:t>
      </w:r>
      <w:r w:rsidRPr="00FE6AC6">
        <w:rPr>
          <w:noProof/>
          <w:color w:val="000000"/>
          <w:lang w:val="ru-RU"/>
        </w:rPr>
        <w:t>.</w:t>
      </w:r>
      <w:r w:rsidRPr="00FE6AC6">
        <w:rPr>
          <w:noProof/>
          <w:color w:val="000000"/>
          <w:lang w:val="it-IT"/>
        </w:rPr>
        <w:t>eu</w:t>
      </w:r>
    </w:p>
    <w:p w14:paraId="3E550C9A" w14:textId="77777777" w:rsidR="00426F49" w:rsidRPr="00FE6AC6" w:rsidRDefault="00426F49" w:rsidP="0063575E">
      <w:pPr>
        <w:widowControl w:val="0"/>
        <w:tabs>
          <w:tab w:val="clear" w:pos="567"/>
        </w:tabs>
        <w:spacing w:line="240" w:lineRule="auto"/>
        <w:ind w:right="-449"/>
        <w:rPr>
          <w:color w:val="000000"/>
          <w:szCs w:val="22"/>
          <w:lang w:val="ru-RU"/>
        </w:rPr>
      </w:pPr>
    </w:p>
    <w:p w14:paraId="3E550C9B" w14:textId="77777777" w:rsidR="00426F49" w:rsidRPr="00FE6AC6" w:rsidRDefault="00426F49" w:rsidP="0063575E">
      <w:pPr>
        <w:widowControl w:val="0"/>
        <w:tabs>
          <w:tab w:val="clear" w:pos="567"/>
        </w:tabs>
        <w:spacing w:line="240" w:lineRule="auto"/>
        <w:jc w:val="center"/>
        <w:outlineLvl w:val="0"/>
        <w:rPr>
          <w:b/>
          <w:color w:val="000000"/>
          <w:lang w:val="bg-BG"/>
        </w:rPr>
      </w:pPr>
      <w:r w:rsidRPr="00FE6AC6">
        <w:rPr>
          <w:color w:val="000000"/>
          <w:lang w:val="bg-BG"/>
        </w:rPr>
        <w:br w:type="page"/>
      </w:r>
      <w:r w:rsidR="00786F7E" w:rsidRPr="00FE6AC6">
        <w:rPr>
          <w:b/>
          <w:noProof/>
          <w:szCs w:val="24"/>
          <w:lang w:val="bg-BG"/>
        </w:rPr>
        <w:t>Листовка: информация за потребителя</w:t>
      </w:r>
    </w:p>
    <w:p w14:paraId="3E550C9C" w14:textId="77777777" w:rsidR="00426F49" w:rsidRPr="00FE6AC6" w:rsidRDefault="00426F49" w:rsidP="0063575E">
      <w:pPr>
        <w:widowControl w:val="0"/>
        <w:tabs>
          <w:tab w:val="clear" w:pos="567"/>
        </w:tabs>
        <w:spacing w:line="240" w:lineRule="auto"/>
        <w:jc w:val="center"/>
        <w:outlineLvl w:val="0"/>
        <w:rPr>
          <w:color w:val="000000"/>
          <w:lang w:val="bg-BG"/>
        </w:rPr>
      </w:pPr>
    </w:p>
    <w:p w14:paraId="3E550C9D" w14:textId="2440F876" w:rsidR="00426F49" w:rsidRDefault="00426F49" w:rsidP="0063575E">
      <w:pPr>
        <w:widowControl w:val="0"/>
        <w:tabs>
          <w:tab w:val="clear" w:pos="567"/>
        </w:tabs>
        <w:spacing w:line="240" w:lineRule="auto"/>
        <w:jc w:val="center"/>
        <w:rPr>
          <w:b/>
          <w:color w:val="000000"/>
          <w:lang w:val="bg-BG"/>
        </w:rPr>
      </w:pPr>
      <w:r w:rsidRPr="00FE6AC6">
        <w:rPr>
          <w:b/>
          <w:color w:val="000000"/>
        </w:rPr>
        <w:t>Glivec</w:t>
      </w:r>
      <w:r w:rsidRPr="00FE6AC6">
        <w:rPr>
          <w:b/>
          <w:color w:val="000000"/>
          <w:lang w:val="bg-BG"/>
        </w:rPr>
        <w:t xml:space="preserve"> 100</w:t>
      </w:r>
      <w:r w:rsidRPr="00FE6AC6">
        <w:rPr>
          <w:b/>
          <w:color w:val="000000"/>
        </w:rPr>
        <w:t> mg</w:t>
      </w:r>
      <w:r w:rsidRPr="00FE6AC6">
        <w:rPr>
          <w:b/>
          <w:color w:val="000000"/>
          <w:lang w:val="bg-BG"/>
        </w:rPr>
        <w:t xml:space="preserve"> филмирани таблетки</w:t>
      </w:r>
    </w:p>
    <w:p w14:paraId="6B8880A2" w14:textId="63DA7CA2" w:rsidR="00E825CD" w:rsidRPr="004015AA" w:rsidRDefault="006033B4" w:rsidP="006033B4">
      <w:pPr>
        <w:widowControl w:val="0"/>
        <w:tabs>
          <w:tab w:val="clear" w:pos="567"/>
        </w:tabs>
        <w:spacing w:line="240" w:lineRule="auto"/>
        <w:jc w:val="center"/>
        <w:rPr>
          <w:b/>
          <w:color w:val="000000"/>
          <w:lang w:val="bg-BG"/>
        </w:rPr>
      </w:pPr>
      <w:r w:rsidRPr="00FE6AC6">
        <w:rPr>
          <w:b/>
          <w:color w:val="000000"/>
        </w:rPr>
        <w:t>Glivec</w:t>
      </w:r>
      <w:r w:rsidRPr="00FE6AC6">
        <w:rPr>
          <w:b/>
          <w:color w:val="000000"/>
          <w:lang w:val="bg-BG"/>
        </w:rPr>
        <w:t xml:space="preserve"> </w:t>
      </w:r>
      <w:r w:rsidRPr="00697CEB">
        <w:rPr>
          <w:b/>
          <w:color w:val="000000"/>
          <w:lang w:val="bg-BG"/>
        </w:rPr>
        <w:t>4</w:t>
      </w:r>
      <w:r w:rsidRPr="00FE6AC6">
        <w:rPr>
          <w:b/>
          <w:color w:val="000000"/>
          <w:lang w:val="bg-BG"/>
        </w:rPr>
        <w:t>00</w:t>
      </w:r>
      <w:r w:rsidRPr="00FE6AC6">
        <w:rPr>
          <w:b/>
          <w:color w:val="000000"/>
        </w:rPr>
        <w:t> mg</w:t>
      </w:r>
      <w:r w:rsidRPr="00FE6AC6">
        <w:rPr>
          <w:b/>
          <w:color w:val="000000"/>
          <w:lang w:val="bg-BG"/>
        </w:rPr>
        <w:t xml:space="preserve"> филмирани таблетки</w:t>
      </w:r>
    </w:p>
    <w:p w14:paraId="3E550C9E" w14:textId="77777777" w:rsidR="00426F49" w:rsidRPr="00FE6AC6" w:rsidRDefault="005552D8" w:rsidP="0063575E">
      <w:pPr>
        <w:widowControl w:val="0"/>
        <w:tabs>
          <w:tab w:val="clear" w:pos="567"/>
        </w:tabs>
        <w:spacing w:line="240" w:lineRule="auto"/>
        <w:jc w:val="center"/>
        <w:rPr>
          <w:color w:val="000000"/>
          <w:lang w:val="bg-BG"/>
        </w:rPr>
      </w:pPr>
      <w:r w:rsidRPr="00FE6AC6">
        <w:rPr>
          <w:color w:val="000000"/>
          <w:lang w:val="bg-BG"/>
        </w:rPr>
        <w:t>и</w:t>
      </w:r>
      <w:r w:rsidR="00426F49" w:rsidRPr="00FE6AC6">
        <w:rPr>
          <w:color w:val="000000"/>
          <w:lang w:val="bg-BG"/>
        </w:rPr>
        <w:t>матиниб (</w:t>
      </w:r>
      <w:r w:rsidR="0055257C" w:rsidRPr="00FE6AC6">
        <w:rPr>
          <w:color w:val="000000"/>
          <w:lang w:val="de-CH"/>
        </w:rPr>
        <w:t>i</w:t>
      </w:r>
      <w:r w:rsidR="00426F49" w:rsidRPr="00FE6AC6">
        <w:rPr>
          <w:color w:val="000000"/>
        </w:rPr>
        <w:t>matinib</w:t>
      </w:r>
      <w:r w:rsidR="00426F49" w:rsidRPr="00FE6AC6">
        <w:rPr>
          <w:color w:val="000000"/>
          <w:lang w:val="bg-BG"/>
        </w:rPr>
        <w:t>)</w:t>
      </w:r>
    </w:p>
    <w:p w14:paraId="3E550C9F" w14:textId="77777777" w:rsidR="00426F49" w:rsidRPr="00FE6AC6" w:rsidRDefault="00426F49" w:rsidP="0063575E">
      <w:pPr>
        <w:widowControl w:val="0"/>
        <w:tabs>
          <w:tab w:val="clear" w:pos="567"/>
        </w:tabs>
        <w:spacing w:line="240" w:lineRule="auto"/>
        <w:rPr>
          <w:color w:val="000000"/>
          <w:lang w:val="bg-BG"/>
        </w:rPr>
      </w:pPr>
    </w:p>
    <w:p w14:paraId="3E550CA0" w14:textId="77777777" w:rsidR="002C79B9" w:rsidRPr="00FE6AC6" w:rsidRDefault="00613193" w:rsidP="0063575E">
      <w:pPr>
        <w:widowControl w:val="0"/>
        <w:spacing w:line="240" w:lineRule="auto"/>
        <w:rPr>
          <w:snapToGrid w:val="0"/>
          <w:szCs w:val="22"/>
          <w:lang w:val="bg-BG"/>
        </w:rPr>
      </w:pPr>
      <w:r w:rsidRPr="00FE6AC6">
        <w:rPr>
          <w:noProof/>
          <w:snapToGrid w:val="0"/>
          <w:lang w:val="en-US"/>
        </w:rPr>
        <w:drawing>
          <wp:inline distT="0" distB="0" distL="0" distR="0" wp14:anchorId="3E550FEC" wp14:editId="3E550FED">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2C79B9" w:rsidRPr="00FE6AC6">
        <w:rPr>
          <w:snapToGrid w:val="0"/>
          <w:szCs w:val="22"/>
          <w:lang w:val="bg-BG"/>
        </w:rPr>
        <w:t xml:space="preserve">Този </w:t>
      </w:r>
      <w:r w:rsidR="002C79B9" w:rsidRPr="00FE6AC6">
        <w:rPr>
          <w:noProof/>
          <w:snapToGrid w:val="0"/>
          <w:szCs w:val="22"/>
          <w:lang w:val="bg-BG"/>
        </w:rPr>
        <w:t>лекарствен продукт подлежи на допълнително наблюдение.</w:t>
      </w:r>
      <w:r w:rsidR="002C79B9" w:rsidRPr="00FE6AC6">
        <w:rPr>
          <w:snapToGrid w:val="0"/>
          <w:szCs w:val="22"/>
          <w:lang w:val="bg-BG"/>
        </w:rPr>
        <w:t xml:space="preserve"> </w:t>
      </w:r>
      <w:r w:rsidR="002C79B9" w:rsidRPr="00FE6AC6">
        <w:rPr>
          <w:noProof/>
          <w:snapToGrid w:val="0"/>
          <w:szCs w:val="22"/>
          <w:lang w:val="bg-BG"/>
        </w:rPr>
        <w:t>Това ще позволи бързото установяване на нова информация относно безопасността.</w:t>
      </w:r>
      <w:r w:rsidR="002C79B9" w:rsidRPr="00FE6AC6">
        <w:rPr>
          <w:snapToGrid w:val="0"/>
          <w:szCs w:val="22"/>
          <w:lang w:val="bg-BG"/>
        </w:rPr>
        <w:t xml:space="preserve"> </w:t>
      </w:r>
      <w:r w:rsidR="002C79B9" w:rsidRPr="00FE6AC6">
        <w:rPr>
          <w:noProof/>
          <w:snapToGrid w:val="0"/>
          <w:szCs w:val="22"/>
          <w:lang w:val="bg-BG"/>
        </w:rPr>
        <w:t>Можете да дадете своя принос като съобщите всяка нежелана реакция, която сте получили.</w:t>
      </w:r>
      <w:r w:rsidR="002C79B9" w:rsidRPr="00FE6AC6">
        <w:rPr>
          <w:snapToGrid w:val="0"/>
          <w:szCs w:val="22"/>
          <w:lang w:val="bg-BG"/>
        </w:rPr>
        <w:t xml:space="preserve"> </w:t>
      </w:r>
      <w:r w:rsidR="002C79B9" w:rsidRPr="00FE6AC6">
        <w:rPr>
          <w:noProof/>
          <w:snapToGrid w:val="0"/>
          <w:szCs w:val="22"/>
          <w:lang w:val="bg-BG"/>
        </w:rPr>
        <w:t>За начина на съобщаване на нежелани реакции вижте края на точка</w:t>
      </w:r>
      <w:r w:rsidR="002C79B9" w:rsidRPr="00FE6AC6">
        <w:rPr>
          <w:noProof/>
          <w:snapToGrid w:val="0"/>
          <w:szCs w:val="22"/>
          <w:lang w:val="de-CH"/>
        </w:rPr>
        <w:t> </w:t>
      </w:r>
      <w:r w:rsidR="002C79B9" w:rsidRPr="00FE6AC6">
        <w:rPr>
          <w:noProof/>
          <w:snapToGrid w:val="0"/>
          <w:szCs w:val="22"/>
          <w:lang w:val="bg-BG"/>
        </w:rPr>
        <w:t>4.</w:t>
      </w:r>
    </w:p>
    <w:p w14:paraId="3E550CA1" w14:textId="77777777" w:rsidR="00426F49" w:rsidRPr="00FE6AC6" w:rsidRDefault="00426F49" w:rsidP="0063575E">
      <w:pPr>
        <w:widowControl w:val="0"/>
        <w:tabs>
          <w:tab w:val="clear" w:pos="567"/>
        </w:tabs>
        <w:spacing w:line="240" w:lineRule="auto"/>
        <w:rPr>
          <w:color w:val="000000"/>
          <w:lang w:val="bg-BG"/>
        </w:rPr>
      </w:pPr>
    </w:p>
    <w:p w14:paraId="3E550CA2" w14:textId="77777777" w:rsidR="001348DB" w:rsidRPr="00FE6AC6" w:rsidRDefault="001348DB" w:rsidP="0063575E">
      <w:pPr>
        <w:widowControl w:val="0"/>
        <w:tabs>
          <w:tab w:val="clear" w:pos="567"/>
          <w:tab w:val="left" w:pos="0"/>
        </w:tabs>
        <w:suppressAutoHyphens/>
        <w:spacing w:line="240" w:lineRule="auto"/>
        <w:rPr>
          <w:color w:val="000000"/>
          <w:lang w:val="bg-BG"/>
        </w:rPr>
      </w:pPr>
      <w:r w:rsidRPr="00FE6AC6">
        <w:rPr>
          <w:b/>
          <w:color w:val="000000"/>
          <w:lang w:val="bg-BG"/>
        </w:rPr>
        <w:t>Прочетете внимателно цялата листовка, преди да започнете да приемате това лекарство</w:t>
      </w:r>
      <w:r w:rsidRPr="00FE6AC6">
        <w:rPr>
          <w:b/>
          <w:noProof/>
          <w:szCs w:val="24"/>
          <w:lang w:val="bg-BG"/>
        </w:rPr>
        <w:t>, тъй като тя съдържа важна за Вас информация</w:t>
      </w:r>
      <w:r w:rsidRPr="00FE6AC6">
        <w:rPr>
          <w:b/>
          <w:color w:val="000000"/>
          <w:lang w:val="bg-BG"/>
        </w:rPr>
        <w:t>.</w:t>
      </w:r>
    </w:p>
    <w:p w14:paraId="3E550CA3" w14:textId="77777777" w:rsidR="001348DB" w:rsidRPr="00FE6AC6" w:rsidRDefault="001348DB" w:rsidP="0063575E">
      <w:pPr>
        <w:widowControl w:val="0"/>
        <w:numPr>
          <w:ilvl w:val="0"/>
          <w:numId w:val="1"/>
        </w:numPr>
        <w:spacing w:line="240" w:lineRule="auto"/>
        <w:ind w:left="567" w:right="-2" w:hanging="567"/>
        <w:rPr>
          <w:color w:val="000000"/>
          <w:lang w:val="bg-BG"/>
        </w:rPr>
      </w:pPr>
      <w:r w:rsidRPr="00FE6AC6">
        <w:rPr>
          <w:color w:val="000000"/>
          <w:lang w:val="bg-BG"/>
        </w:rPr>
        <w:t>Запазете тази листовка. Може да се наложи да я прочетете отново.</w:t>
      </w:r>
    </w:p>
    <w:p w14:paraId="3E550CA4" w14:textId="77777777" w:rsidR="001348DB" w:rsidRPr="00FE6AC6" w:rsidRDefault="001348DB" w:rsidP="0063575E">
      <w:pPr>
        <w:widowControl w:val="0"/>
        <w:numPr>
          <w:ilvl w:val="0"/>
          <w:numId w:val="1"/>
        </w:numPr>
        <w:spacing w:line="240" w:lineRule="auto"/>
        <w:ind w:left="567" w:right="-2" w:hanging="567"/>
        <w:rPr>
          <w:color w:val="000000"/>
          <w:lang w:val="bg-BG"/>
        </w:rPr>
      </w:pPr>
      <w:r w:rsidRPr="00FE6AC6">
        <w:rPr>
          <w:color w:val="000000"/>
          <w:lang w:val="bg-BG"/>
        </w:rPr>
        <w:t>Ако имате някакви допълнителни въпроси, попитайте Вашия лекар, фармацевт или медицинска сестра.</w:t>
      </w:r>
    </w:p>
    <w:p w14:paraId="3E550CA5" w14:textId="77777777" w:rsidR="001348DB" w:rsidRPr="00FE6AC6" w:rsidRDefault="001348DB" w:rsidP="0063575E">
      <w:pPr>
        <w:widowControl w:val="0"/>
        <w:numPr>
          <w:ilvl w:val="0"/>
          <w:numId w:val="1"/>
        </w:numPr>
        <w:spacing w:line="240" w:lineRule="auto"/>
        <w:ind w:left="567" w:right="-2" w:hanging="567"/>
        <w:rPr>
          <w:color w:val="000000"/>
          <w:lang w:val="bg-BG"/>
        </w:rPr>
      </w:pPr>
      <w:r w:rsidRPr="00FE6AC6">
        <w:rPr>
          <w:color w:val="000000"/>
          <w:lang w:val="bg-BG"/>
        </w:rPr>
        <w:t xml:space="preserve">Това лекарство е предписано </w:t>
      </w:r>
      <w:r w:rsidRPr="00FE6AC6">
        <w:rPr>
          <w:lang w:val="bg-BG"/>
        </w:rPr>
        <w:t xml:space="preserve">лично </w:t>
      </w:r>
      <w:r w:rsidRPr="00FE6AC6">
        <w:rPr>
          <w:color w:val="000000"/>
          <w:lang w:val="bg-BG"/>
        </w:rPr>
        <w:t>на Вас. Не го преотстъпвайте на други хора</w:t>
      </w:r>
      <w:r w:rsidRPr="00FE6AC6">
        <w:rPr>
          <w:noProof/>
          <w:color w:val="000000"/>
          <w:lang w:val="bg-BG"/>
        </w:rPr>
        <w:t>.</w:t>
      </w:r>
      <w:r w:rsidR="0075776C" w:rsidRPr="00FE6AC6">
        <w:rPr>
          <w:noProof/>
          <w:color w:val="000000"/>
          <w:lang w:val="bg-BG"/>
        </w:rPr>
        <w:t xml:space="preserve"> </w:t>
      </w:r>
      <w:r w:rsidRPr="00FE6AC6">
        <w:rPr>
          <w:noProof/>
          <w:color w:val="000000"/>
          <w:lang w:val="bg-BG"/>
        </w:rPr>
        <w:t>То може да им навреди, независимо че признаците на тяхното заболяване са същите като Вашите</w:t>
      </w:r>
      <w:r w:rsidRPr="00FE6AC6">
        <w:rPr>
          <w:color w:val="000000"/>
          <w:lang w:val="bg-BG"/>
        </w:rPr>
        <w:t>.</w:t>
      </w:r>
    </w:p>
    <w:p w14:paraId="3E550CA6" w14:textId="77777777" w:rsidR="001348DB" w:rsidRPr="00FE6AC6" w:rsidRDefault="001348DB" w:rsidP="0063575E">
      <w:pPr>
        <w:widowControl w:val="0"/>
        <w:numPr>
          <w:ilvl w:val="0"/>
          <w:numId w:val="1"/>
        </w:numPr>
        <w:spacing w:line="240" w:lineRule="auto"/>
        <w:ind w:left="567" w:right="-2" w:hanging="567"/>
        <w:rPr>
          <w:color w:val="000000"/>
          <w:lang w:val="bg-BG"/>
        </w:rPr>
      </w:pPr>
      <w:r w:rsidRPr="00FE6AC6">
        <w:rPr>
          <w:noProof/>
          <w:color w:val="000000"/>
          <w:lang w:val="bg-BG"/>
        </w:rPr>
        <w:t>Ако получите някакви нежелани реакции, уведомете Вашия лекар, фармацевт или медицинска сестра.</w:t>
      </w:r>
      <w:r w:rsidRPr="00FE6AC6">
        <w:rPr>
          <w:szCs w:val="24"/>
          <w:lang w:val="bg-BG"/>
        </w:rPr>
        <w:t xml:space="preserve"> Това включва и всички възможни</w:t>
      </w:r>
      <w:r w:rsidRPr="00FE6AC6">
        <w:rPr>
          <w:color w:val="FF0000"/>
          <w:szCs w:val="24"/>
          <w:lang w:val="bg-BG"/>
        </w:rPr>
        <w:t xml:space="preserve"> </w:t>
      </w:r>
      <w:r w:rsidRPr="00FE6AC6">
        <w:rPr>
          <w:noProof/>
          <w:szCs w:val="24"/>
          <w:lang w:val="bg-BG"/>
        </w:rPr>
        <w:t>нежелани реакции, неописани в тази листовка.</w:t>
      </w:r>
      <w:r w:rsidR="006863A5" w:rsidRPr="00FE6AC6">
        <w:rPr>
          <w:noProof/>
          <w:szCs w:val="22"/>
          <w:lang w:val="bg-BG"/>
        </w:rPr>
        <w:t xml:space="preserve"> Вижте точка 4.</w:t>
      </w:r>
    </w:p>
    <w:p w14:paraId="3E550CA7" w14:textId="77777777" w:rsidR="001348DB" w:rsidRPr="00FE6AC6" w:rsidRDefault="001348DB" w:rsidP="0063575E">
      <w:pPr>
        <w:widowControl w:val="0"/>
        <w:spacing w:line="240" w:lineRule="auto"/>
        <w:ind w:right="-2"/>
        <w:rPr>
          <w:color w:val="000000"/>
          <w:lang w:val="bg-BG"/>
        </w:rPr>
      </w:pPr>
    </w:p>
    <w:p w14:paraId="3E550CA8" w14:textId="77777777" w:rsidR="001348DB" w:rsidRPr="00FE6AC6" w:rsidRDefault="001348DB" w:rsidP="0063575E">
      <w:pPr>
        <w:widowControl w:val="0"/>
        <w:spacing w:line="240" w:lineRule="auto"/>
        <w:ind w:right="-2"/>
        <w:rPr>
          <w:color w:val="000000"/>
          <w:lang w:val="bg-BG"/>
        </w:rPr>
      </w:pPr>
    </w:p>
    <w:p w14:paraId="3E550CA9" w14:textId="77777777" w:rsidR="001348DB" w:rsidRPr="00FE6AC6" w:rsidRDefault="001348DB" w:rsidP="0063575E">
      <w:pPr>
        <w:widowControl w:val="0"/>
        <w:numPr>
          <w:ilvl w:val="12"/>
          <w:numId w:val="0"/>
        </w:numPr>
        <w:spacing w:line="240" w:lineRule="auto"/>
        <w:ind w:right="-2"/>
        <w:outlineLvl w:val="0"/>
        <w:rPr>
          <w:color w:val="000000"/>
          <w:lang w:val="bg-BG"/>
        </w:rPr>
      </w:pPr>
      <w:r w:rsidRPr="00FE6AC6">
        <w:rPr>
          <w:b/>
          <w:noProof/>
          <w:szCs w:val="24"/>
          <w:lang w:val="bg-BG"/>
        </w:rPr>
        <w:t>Какво съдържа</w:t>
      </w:r>
      <w:r w:rsidRPr="00FE6AC6">
        <w:rPr>
          <w:b/>
          <w:color w:val="000000"/>
          <w:lang w:val="bg-BG"/>
        </w:rPr>
        <w:t xml:space="preserve"> тази листовка</w:t>
      </w:r>
    </w:p>
    <w:p w14:paraId="3E550CAA"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1.</w:t>
      </w:r>
      <w:r w:rsidRPr="00FE6AC6">
        <w:rPr>
          <w:color w:val="000000"/>
          <w:lang w:val="bg-BG"/>
        </w:rPr>
        <w:tab/>
        <w:t>Какво представлява Glivec и за какво се използва</w:t>
      </w:r>
    </w:p>
    <w:p w14:paraId="3E550CAB"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2.</w:t>
      </w:r>
      <w:r w:rsidRPr="00FE6AC6">
        <w:rPr>
          <w:color w:val="000000"/>
          <w:lang w:val="bg-BG"/>
        </w:rPr>
        <w:tab/>
      </w:r>
      <w:r w:rsidRPr="00FE6AC6">
        <w:rPr>
          <w:noProof/>
          <w:szCs w:val="24"/>
          <w:lang w:val="bg-BG"/>
        </w:rPr>
        <w:t>Какво трябва да знаете, п</w:t>
      </w:r>
      <w:r w:rsidRPr="00FE6AC6">
        <w:rPr>
          <w:color w:val="000000"/>
          <w:lang w:val="bg-BG"/>
        </w:rPr>
        <w:t>реди да приемете Glivec</w:t>
      </w:r>
    </w:p>
    <w:p w14:paraId="3E550CAC"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3.</w:t>
      </w:r>
      <w:r w:rsidRPr="00FE6AC6">
        <w:rPr>
          <w:color w:val="000000"/>
          <w:lang w:val="bg-BG"/>
        </w:rPr>
        <w:tab/>
        <w:t>Как да приемате Glivec</w:t>
      </w:r>
    </w:p>
    <w:p w14:paraId="3E550CAD"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4.</w:t>
      </w:r>
      <w:r w:rsidRPr="00FE6AC6">
        <w:rPr>
          <w:color w:val="000000"/>
          <w:lang w:val="bg-BG"/>
        </w:rPr>
        <w:tab/>
        <w:t>Възможни нежелани реакции</w:t>
      </w:r>
    </w:p>
    <w:p w14:paraId="3E550CAE" w14:textId="77777777" w:rsidR="001348DB" w:rsidRPr="00FE6AC6" w:rsidRDefault="001348DB" w:rsidP="0063575E">
      <w:pPr>
        <w:widowControl w:val="0"/>
        <w:tabs>
          <w:tab w:val="clear" w:pos="567"/>
        </w:tabs>
        <w:spacing w:line="240" w:lineRule="auto"/>
        <w:ind w:right="-29"/>
        <w:rPr>
          <w:color w:val="000000"/>
          <w:lang w:val="bg-BG"/>
        </w:rPr>
      </w:pPr>
      <w:r w:rsidRPr="00FE6AC6">
        <w:rPr>
          <w:color w:val="000000"/>
          <w:lang w:val="bg-BG"/>
        </w:rPr>
        <w:t>5.</w:t>
      </w:r>
      <w:r w:rsidRPr="00FE6AC6">
        <w:rPr>
          <w:color w:val="000000"/>
          <w:lang w:val="bg-BG"/>
        </w:rPr>
        <w:tab/>
        <w:t>Как да съхранявате Glivec</w:t>
      </w:r>
    </w:p>
    <w:p w14:paraId="3E550CAF" w14:textId="77777777" w:rsidR="001348DB" w:rsidRPr="00FE6AC6" w:rsidRDefault="001348DB" w:rsidP="0063575E">
      <w:pPr>
        <w:widowControl w:val="0"/>
        <w:spacing w:line="240" w:lineRule="auto"/>
        <w:ind w:right="-29"/>
        <w:rPr>
          <w:color w:val="000000"/>
          <w:lang w:val="bg-BG"/>
        </w:rPr>
      </w:pPr>
      <w:r w:rsidRPr="00FE6AC6">
        <w:rPr>
          <w:color w:val="000000"/>
          <w:lang w:val="bg-BG"/>
        </w:rPr>
        <w:t>6.</w:t>
      </w:r>
      <w:r w:rsidRPr="00FE6AC6">
        <w:rPr>
          <w:color w:val="000000"/>
          <w:lang w:val="bg-BG"/>
        </w:rPr>
        <w:tab/>
      </w:r>
      <w:r w:rsidRPr="00FE6AC6">
        <w:rPr>
          <w:noProof/>
          <w:szCs w:val="24"/>
          <w:lang w:val="bg-BG"/>
        </w:rPr>
        <w:t>Съдържание на опаковката и д</w:t>
      </w:r>
      <w:r w:rsidRPr="00FE6AC6">
        <w:rPr>
          <w:color w:val="000000"/>
          <w:lang w:val="bg-BG"/>
        </w:rPr>
        <w:t>опълнителна информация</w:t>
      </w:r>
    </w:p>
    <w:p w14:paraId="3E550CB0" w14:textId="77777777" w:rsidR="001348DB" w:rsidRPr="00FE6AC6" w:rsidRDefault="001348DB" w:rsidP="0063575E">
      <w:pPr>
        <w:widowControl w:val="0"/>
        <w:numPr>
          <w:ilvl w:val="12"/>
          <w:numId w:val="0"/>
        </w:numPr>
        <w:spacing w:line="240" w:lineRule="auto"/>
        <w:rPr>
          <w:color w:val="000000"/>
          <w:lang w:val="bg-BG"/>
        </w:rPr>
      </w:pPr>
    </w:p>
    <w:p w14:paraId="3E550CB1" w14:textId="77777777" w:rsidR="001348DB" w:rsidRPr="00FE6AC6" w:rsidRDefault="001348DB" w:rsidP="0063575E">
      <w:pPr>
        <w:widowControl w:val="0"/>
        <w:spacing w:line="240" w:lineRule="auto"/>
        <w:rPr>
          <w:color w:val="000000"/>
          <w:lang w:val="bg-BG"/>
        </w:rPr>
      </w:pPr>
    </w:p>
    <w:p w14:paraId="3E550CB2" w14:textId="77777777" w:rsidR="001348DB" w:rsidRPr="00FE6AC6" w:rsidRDefault="001348DB" w:rsidP="0063575E">
      <w:pPr>
        <w:keepNext/>
        <w:widowControl w:val="0"/>
        <w:tabs>
          <w:tab w:val="clear" w:pos="567"/>
        </w:tabs>
        <w:spacing w:line="240" w:lineRule="auto"/>
        <w:rPr>
          <w:b/>
          <w:color w:val="000000"/>
          <w:lang w:val="bg-BG"/>
        </w:rPr>
      </w:pPr>
      <w:r w:rsidRPr="00FE6AC6">
        <w:rPr>
          <w:b/>
          <w:color w:val="000000"/>
          <w:lang w:val="bg-BG"/>
        </w:rPr>
        <w:t>1.</w:t>
      </w:r>
      <w:r w:rsidRPr="00FE6AC6">
        <w:rPr>
          <w:b/>
          <w:color w:val="000000"/>
          <w:lang w:val="bg-BG"/>
        </w:rPr>
        <w:tab/>
      </w:r>
      <w:r w:rsidRPr="00FE6AC6">
        <w:rPr>
          <w:b/>
          <w:noProof/>
          <w:szCs w:val="24"/>
          <w:lang w:val="bg-BG"/>
        </w:rPr>
        <w:t>Какво представлява</w:t>
      </w:r>
      <w:r w:rsidRPr="00FE6AC6">
        <w:rPr>
          <w:b/>
          <w:lang w:val="bg-BG"/>
        </w:rPr>
        <w:t xml:space="preserve"> </w:t>
      </w:r>
      <w:r w:rsidRPr="00FE6AC6">
        <w:rPr>
          <w:b/>
          <w:lang w:val="en-US"/>
        </w:rPr>
        <w:t>Glivec</w:t>
      </w:r>
      <w:r w:rsidRPr="00FE6AC6">
        <w:rPr>
          <w:b/>
          <w:lang w:val="bg-BG"/>
        </w:rPr>
        <w:t xml:space="preserve"> </w:t>
      </w:r>
      <w:r w:rsidRPr="00FE6AC6">
        <w:rPr>
          <w:b/>
          <w:noProof/>
          <w:szCs w:val="24"/>
          <w:lang w:val="bg-BG"/>
        </w:rPr>
        <w:t>и за какво</w:t>
      </w:r>
      <w:r w:rsidRPr="00FE6AC6">
        <w:rPr>
          <w:b/>
          <w:lang w:val="bg-BG"/>
        </w:rPr>
        <w:t xml:space="preserve"> се използва</w:t>
      </w:r>
    </w:p>
    <w:p w14:paraId="3E550CB3" w14:textId="77777777" w:rsidR="001348DB" w:rsidRPr="00FE6AC6" w:rsidRDefault="001348DB" w:rsidP="0063575E">
      <w:pPr>
        <w:keepNext/>
        <w:widowControl w:val="0"/>
        <w:tabs>
          <w:tab w:val="clear" w:pos="567"/>
        </w:tabs>
        <w:spacing w:line="240" w:lineRule="auto"/>
        <w:rPr>
          <w:color w:val="000000"/>
          <w:lang w:val="bg-BG"/>
        </w:rPr>
      </w:pPr>
    </w:p>
    <w:p w14:paraId="3E550CB4"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Glivec е лекарство, което съдържа активно вещество, наречено иматиниб.</w:t>
      </w:r>
      <w:r w:rsidRPr="00FE6AC6">
        <w:rPr>
          <w:color w:val="000000"/>
          <w:lang w:val="ru-RU"/>
        </w:rPr>
        <w:t xml:space="preserve"> Т</w:t>
      </w:r>
      <w:r w:rsidRPr="00FE6AC6">
        <w:rPr>
          <w:color w:val="000000"/>
          <w:lang w:val="bg-BG"/>
        </w:rPr>
        <w:t>ова лекарство действа като потиска растежа на абнормните клетки при изброените по-долу заболявания, включващи няколко вида рак.</w:t>
      </w:r>
    </w:p>
    <w:p w14:paraId="3E550CB5" w14:textId="77777777" w:rsidR="001348DB" w:rsidRPr="00FE6AC6" w:rsidRDefault="001348DB" w:rsidP="0063575E">
      <w:pPr>
        <w:widowControl w:val="0"/>
        <w:tabs>
          <w:tab w:val="clear" w:pos="567"/>
        </w:tabs>
        <w:spacing w:line="240" w:lineRule="auto"/>
        <w:ind w:right="-2"/>
        <w:rPr>
          <w:color w:val="000000"/>
          <w:lang w:val="ru-RU"/>
        </w:rPr>
      </w:pPr>
    </w:p>
    <w:p w14:paraId="3E550CB6" w14:textId="77777777" w:rsidR="001348DB" w:rsidRPr="00FE6AC6" w:rsidRDefault="001348DB" w:rsidP="0063575E">
      <w:pPr>
        <w:keepNext/>
        <w:widowControl w:val="0"/>
        <w:tabs>
          <w:tab w:val="clear" w:pos="567"/>
        </w:tabs>
        <w:spacing w:line="240" w:lineRule="auto"/>
        <w:rPr>
          <w:b/>
          <w:color w:val="000000"/>
          <w:lang w:val="bg-BG"/>
        </w:rPr>
      </w:pPr>
      <w:r w:rsidRPr="00FE6AC6">
        <w:rPr>
          <w:b/>
          <w:color w:val="000000"/>
          <w:lang w:val="bg-BG"/>
        </w:rPr>
        <w:t>Glivec се използва за лечение на деца и възрастни при:</w:t>
      </w:r>
    </w:p>
    <w:p w14:paraId="3E550CB7" w14:textId="77777777" w:rsidR="001348DB" w:rsidRPr="00FE6AC6" w:rsidRDefault="001348DB" w:rsidP="0063575E">
      <w:pPr>
        <w:keepNext/>
        <w:widowControl w:val="0"/>
        <w:tabs>
          <w:tab w:val="clear" w:pos="567"/>
        </w:tabs>
        <w:spacing w:line="240" w:lineRule="auto"/>
        <w:rPr>
          <w:color w:val="000000"/>
          <w:lang w:val="bg-BG"/>
        </w:rPr>
      </w:pPr>
    </w:p>
    <w:p w14:paraId="3E550CB8" w14:textId="77777777" w:rsidR="001348DB" w:rsidRPr="00FE6AC6" w:rsidRDefault="001348DB" w:rsidP="0063575E">
      <w:pPr>
        <w:widowControl w:val="0"/>
        <w:numPr>
          <w:ilvl w:val="0"/>
          <w:numId w:val="20"/>
        </w:numPr>
        <w:tabs>
          <w:tab w:val="clear" w:pos="1128"/>
          <w:tab w:val="num" w:pos="567"/>
        </w:tabs>
        <w:spacing w:line="240" w:lineRule="auto"/>
        <w:ind w:left="567" w:right="-2" w:hanging="567"/>
        <w:rPr>
          <w:color w:val="000000"/>
          <w:lang w:val="bg-BG"/>
        </w:rPr>
      </w:pPr>
      <w:r w:rsidRPr="00FE6AC6">
        <w:rPr>
          <w:b/>
          <w:color w:val="000000"/>
          <w:lang w:val="bg-BG"/>
        </w:rPr>
        <w:t>Хронична миелоидна левкемия (ХМЛ).</w:t>
      </w:r>
      <w:r w:rsidRPr="00FE6AC6">
        <w:rPr>
          <w:color w:val="000000"/>
          <w:lang w:val="bg-BG"/>
        </w:rPr>
        <w:t xml:space="preserve"> Левкемията представлява рак на белите кръвни клетки. </w:t>
      </w:r>
      <w:r w:rsidR="00F84F63" w:rsidRPr="00FE6AC6">
        <w:rPr>
          <w:color w:val="000000"/>
          <w:lang w:val="bg-BG"/>
        </w:rPr>
        <w:t>Обикновено т</w:t>
      </w:r>
      <w:r w:rsidRPr="00FE6AC6">
        <w:rPr>
          <w:color w:val="000000"/>
          <w:lang w:val="bg-BG"/>
        </w:rPr>
        <w:t xml:space="preserve">ези </w:t>
      </w:r>
      <w:r w:rsidR="00F84F63" w:rsidRPr="00FE6AC6">
        <w:rPr>
          <w:color w:val="000000"/>
          <w:lang w:val="bg-BG"/>
        </w:rPr>
        <w:t xml:space="preserve">бели </w:t>
      </w:r>
      <w:r w:rsidRPr="00FE6AC6">
        <w:rPr>
          <w:color w:val="000000"/>
          <w:lang w:val="bg-BG"/>
        </w:rPr>
        <w:t>клетки помагат на организма в борбата му с инфекциите. Хронична</w:t>
      </w:r>
      <w:r w:rsidR="009F5866" w:rsidRPr="00FE6AC6">
        <w:rPr>
          <w:color w:val="000000"/>
          <w:lang w:val="bg-BG"/>
        </w:rPr>
        <w:t>та</w:t>
      </w:r>
      <w:r w:rsidRPr="00FE6AC6">
        <w:rPr>
          <w:color w:val="000000"/>
          <w:lang w:val="bg-BG"/>
        </w:rPr>
        <w:t xml:space="preserve"> миелоидна левкемия е вид левкемия, при която определени, различни от нормалните, бели кръвни клетки (наречени миелоидни клетки), започват да се размножават неконтролируемо.</w:t>
      </w:r>
    </w:p>
    <w:p w14:paraId="3E550CB9" w14:textId="77777777" w:rsidR="00F84F63" w:rsidRPr="00FE6AC6" w:rsidRDefault="00F84F63" w:rsidP="0063575E">
      <w:pPr>
        <w:widowControl w:val="0"/>
        <w:numPr>
          <w:ilvl w:val="0"/>
          <w:numId w:val="20"/>
        </w:numPr>
        <w:tabs>
          <w:tab w:val="clear" w:pos="1128"/>
          <w:tab w:val="num" w:pos="567"/>
        </w:tabs>
        <w:spacing w:line="240" w:lineRule="auto"/>
        <w:ind w:left="567" w:right="-2" w:hanging="567"/>
        <w:rPr>
          <w:color w:val="000000"/>
          <w:lang w:val="bg-BG"/>
        </w:rPr>
      </w:pPr>
      <w:r w:rsidRPr="00FE6AC6">
        <w:rPr>
          <w:b/>
          <w:color w:val="000000"/>
          <w:lang w:val="bg-BG"/>
        </w:rPr>
        <w:t>Положителна за Филаделфийска хромозома остра лимфобластна левкемия (</w:t>
      </w:r>
      <w:r w:rsidRPr="00FE6AC6">
        <w:rPr>
          <w:b/>
          <w:color w:val="000000"/>
          <w:lang w:val="en-US"/>
        </w:rPr>
        <w:t>Ph</w:t>
      </w:r>
      <w:r w:rsidRPr="00FE6AC6">
        <w:rPr>
          <w:b/>
          <w:color w:val="000000"/>
          <w:lang w:val="ru-RU"/>
        </w:rPr>
        <w:t>-положителна ОЛЛ).</w:t>
      </w:r>
      <w:r w:rsidRPr="00FE6AC6">
        <w:rPr>
          <w:color w:val="000000"/>
          <w:lang w:val="ru-RU"/>
        </w:rPr>
        <w:t xml:space="preserve"> Левкемията представлява рак на белите кръвни клетки. </w:t>
      </w:r>
      <w:r w:rsidRPr="00FE6AC6">
        <w:rPr>
          <w:color w:val="000000"/>
          <w:lang w:val="bg-BG"/>
        </w:rPr>
        <w:t xml:space="preserve">Обикновено тези бели клетки помагат на организма в борбата му с инфекциите. Острата лимфобластна левкемия е вид левкемия, при която определени, различни от нормалните, бели кръвни клетки (наречени лимфобласти), започват да се размножават неконтролируемо. </w:t>
      </w:r>
      <w:r w:rsidRPr="00FE6AC6">
        <w:rPr>
          <w:color w:val="000000"/>
          <w:lang w:val="en-US"/>
        </w:rPr>
        <w:t>Glivec</w:t>
      </w:r>
      <w:r w:rsidRPr="00FE6AC6">
        <w:rPr>
          <w:color w:val="000000"/>
          <w:lang w:val="ru-RU"/>
        </w:rPr>
        <w:t xml:space="preserve"> </w:t>
      </w:r>
      <w:r w:rsidRPr="00FE6AC6">
        <w:rPr>
          <w:color w:val="000000"/>
          <w:lang w:val="bg-BG"/>
        </w:rPr>
        <w:t>потиска растежа на тези клетки.</w:t>
      </w:r>
    </w:p>
    <w:p w14:paraId="3E550CBA" w14:textId="77777777" w:rsidR="001348DB" w:rsidRPr="00FE6AC6" w:rsidRDefault="001348DB" w:rsidP="0063575E">
      <w:pPr>
        <w:widowControl w:val="0"/>
        <w:tabs>
          <w:tab w:val="clear" w:pos="567"/>
        </w:tabs>
        <w:spacing w:line="240" w:lineRule="auto"/>
        <w:ind w:right="-2"/>
        <w:rPr>
          <w:color w:val="000000"/>
          <w:lang w:val="bg-BG"/>
        </w:rPr>
      </w:pPr>
    </w:p>
    <w:p w14:paraId="3E550CBB" w14:textId="77777777" w:rsidR="001348DB" w:rsidRPr="00FE6AC6" w:rsidRDefault="001348DB" w:rsidP="0063575E">
      <w:pPr>
        <w:keepNext/>
        <w:widowControl w:val="0"/>
        <w:tabs>
          <w:tab w:val="clear" w:pos="567"/>
        </w:tabs>
        <w:spacing w:line="240" w:lineRule="auto"/>
        <w:rPr>
          <w:b/>
          <w:color w:val="000000"/>
          <w:lang w:val="bg-BG"/>
        </w:rPr>
      </w:pPr>
      <w:r w:rsidRPr="00FE6AC6">
        <w:rPr>
          <w:b/>
          <w:color w:val="000000"/>
          <w:lang w:val="bg-BG"/>
        </w:rPr>
        <w:t>Glivec се използва също и за лечение на възрастни при:</w:t>
      </w:r>
    </w:p>
    <w:p w14:paraId="3E550CBC" w14:textId="77777777" w:rsidR="001348DB" w:rsidRPr="00FE6AC6" w:rsidRDefault="001348DB" w:rsidP="0063575E">
      <w:pPr>
        <w:keepNext/>
        <w:widowControl w:val="0"/>
        <w:tabs>
          <w:tab w:val="clear" w:pos="567"/>
        </w:tabs>
        <w:spacing w:line="240" w:lineRule="auto"/>
        <w:rPr>
          <w:color w:val="000000"/>
          <w:lang w:val="bg-BG"/>
        </w:rPr>
      </w:pPr>
    </w:p>
    <w:p w14:paraId="3E550CBD" w14:textId="77777777" w:rsidR="001348DB" w:rsidRPr="00FE6AC6" w:rsidRDefault="001348DB" w:rsidP="0063575E">
      <w:pPr>
        <w:pStyle w:val="Listlevel1"/>
        <w:widowControl w:val="0"/>
        <w:numPr>
          <w:ilvl w:val="0"/>
          <w:numId w:val="20"/>
        </w:numPr>
        <w:tabs>
          <w:tab w:val="clear" w:pos="1128"/>
          <w:tab w:val="num" w:pos="567"/>
        </w:tabs>
        <w:spacing w:before="0" w:after="0"/>
        <w:ind w:left="567" w:hanging="567"/>
        <w:rPr>
          <w:color w:val="000000"/>
          <w:sz w:val="22"/>
          <w:szCs w:val="22"/>
          <w:lang w:val="bg-BG"/>
        </w:rPr>
      </w:pPr>
      <w:r w:rsidRPr="00FE6AC6">
        <w:rPr>
          <w:b/>
          <w:color w:val="000000"/>
          <w:sz w:val="22"/>
          <w:szCs w:val="22"/>
          <w:lang w:val="bg-BG"/>
        </w:rPr>
        <w:t>Миелодиспластичен синдром/миелопролиферативни заболявания (МДС/МПЗ).</w:t>
      </w:r>
      <w:r w:rsidRPr="00FE6AC6">
        <w:rPr>
          <w:color w:val="000000"/>
          <w:sz w:val="22"/>
          <w:szCs w:val="22"/>
          <w:lang w:val="bg-BG"/>
        </w:rPr>
        <w:t xml:space="preserve"> Това са група заболявания на кръвта, при които някои кръвни клетки започват да се размножават неконтролируемо. </w:t>
      </w:r>
      <w:r w:rsidRPr="00FE6AC6">
        <w:rPr>
          <w:color w:val="000000"/>
          <w:sz w:val="22"/>
          <w:szCs w:val="22"/>
          <w:lang w:val="en-GB"/>
        </w:rPr>
        <w:t>Glivec</w:t>
      </w:r>
      <w:r w:rsidRPr="00FE6AC6">
        <w:rPr>
          <w:color w:val="000000"/>
          <w:sz w:val="22"/>
          <w:szCs w:val="22"/>
          <w:lang w:val="bg-BG"/>
        </w:rPr>
        <w:t xml:space="preserve"> </w:t>
      </w:r>
      <w:r w:rsidR="00F84F63" w:rsidRPr="00FE6AC6">
        <w:rPr>
          <w:color w:val="000000"/>
          <w:sz w:val="22"/>
          <w:szCs w:val="22"/>
          <w:lang w:val="bg-BG"/>
        </w:rPr>
        <w:t>потиска</w:t>
      </w:r>
      <w:r w:rsidRPr="00FE6AC6">
        <w:rPr>
          <w:color w:val="000000"/>
          <w:sz w:val="22"/>
          <w:szCs w:val="22"/>
          <w:lang w:val="bg-BG"/>
        </w:rPr>
        <w:t xml:space="preserve"> растежа на тези клетки при някои подтипове на тези заболявания.</w:t>
      </w:r>
    </w:p>
    <w:p w14:paraId="3E550CBE" w14:textId="77777777" w:rsidR="001348DB" w:rsidRPr="00FE6AC6" w:rsidRDefault="001348DB" w:rsidP="0063575E">
      <w:pPr>
        <w:pStyle w:val="Text"/>
        <w:widowControl w:val="0"/>
        <w:numPr>
          <w:ilvl w:val="0"/>
          <w:numId w:val="20"/>
        </w:numPr>
        <w:tabs>
          <w:tab w:val="clear" w:pos="1128"/>
          <w:tab w:val="num" w:pos="567"/>
        </w:tabs>
        <w:spacing w:before="0"/>
        <w:ind w:left="567" w:hanging="567"/>
        <w:jc w:val="left"/>
        <w:rPr>
          <w:color w:val="000000"/>
          <w:sz w:val="22"/>
          <w:szCs w:val="22"/>
          <w:lang w:val="bg-BG"/>
        </w:rPr>
      </w:pPr>
      <w:r w:rsidRPr="00FE6AC6">
        <w:rPr>
          <w:b/>
          <w:bCs/>
          <w:color w:val="000000"/>
          <w:sz w:val="22"/>
          <w:szCs w:val="22"/>
          <w:lang w:val="bg-BG"/>
        </w:rPr>
        <w:t>Хипереозинофилен синдром (ХЕС) и/или хронична еозинофилна левкемия (ХЕЛ).</w:t>
      </w:r>
      <w:r w:rsidRPr="00FE6AC6">
        <w:rPr>
          <w:color w:val="000000"/>
          <w:sz w:val="22"/>
          <w:szCs w:val="22"/>
          <w:lang w:val="bg-BG"/>
        </w:rPr>
        <w:t xml:space="preserve"> Това са заболявания на кръвта</w:t>
      </w:r>
      <w:r w:rsidR="0075776C" w:rsidRPr="00FE6AC6">
        <w:rPr>
          <w:color w:val="000000"/>
          <w:sz w:val="22"/>
          <w:szCs w:val="22"/>
          <w:lang w:val="bg-BG"/>
        </w:rPr>
        <w:t>,</w:t>
      </w:r>
      <w:r w:rsidRPr="00FE6AC6">
        <w:rPr>
          <w:color w:val="000000"/>
          <w:sz w:val="22"/>
          <w:szCs w:val="22"/>
          <w:lang w:val="bg-BG"/>
        </w:rPr>
        <w:t xml:space="preserve"> при които някои клетки (наречени еозинофили) започват да се размножават неконтролируемо. </w:t>
      </w:r>
      <w:r w:rsidRPr="00FE6AC6">
        <w:rPr>
          <w:color w:val="000000"/>
          <w:sz w:val="22"/>
          <w:szCs w:val="22"/>
          <w:lang w:val="en-GB"/>
        </w:rPr>
        <w:t>Glivec</w:t>
      </w:r>
      <w:r w:rsidRPr="00FE6AC6">
        <w:rPr>
          <w:color w:val="000000"/>
          <w:sz w:val="22"/>
          <w:szCs w:val="22"/>
          <w:lang w:val="bg-BG"/>
        </w:rPr>
        <w:t xml:space="preserve"> </w:t>
      </w:r>
      <w:r w:rsidR="00F84F63" w:rsidRPr="00FE6AC6">
        <w:rPr>
          <w:color w:val="000000"/>
          <w:sz w:val="22"/>
          <w:szCs w:val="22"/>
          <w:lang w:val="bg-BG"/>
        </w:rPr>
        <w:t>потиска</w:t>
      </w:r>
      <w:r w:rsidRPr="00FE6AC6">
        <w:rPr>
          <w:color w:val="000000"/>
          <w:sz w:val="22"/>
          <w:szCs w:val="22"/>
          <w:lang w:val="bg-BG"/>
        </w:rPr>
        <w:t xml:space="preserve"> растежа на тези клетки при някои подтипове на тези заболявания.</w:t>
      </w:r>
    </w:p>
    <w:p w14:paraId="3E550CBF" w14:textId="77777777" w:rsidR="001348DB" w:rsidRPr="00FE6AC6" w:rsidRDefault="001348DB" w:rsidP="0063575E">
      <w:pPr>
        <w:widowControl w:val="0"/>
        <w:numPr>
          <w:ilvl w:val="0"/>
          <w:numId w:val="20"/>
        </w:numPr>
        <w:tabs>
          <w:tab w:val="clear" w:pos="1128"/>
          <w:tab w:val="num" w:pos="567"/>
        </w:tabs>
        <w:spacing w:line="240" w:lineRule="auto"/>
        <w:ind w:left="567" w:right="-2" w:hanging="567"/>
        <w:rPr>
          <w:color w:val="000000"/>
          <w:lang w:val="bg-BG"/>
        </w:rPr>
      </w:pPr>
      <w:r w:rsidRPr="00FE6AC6">
        <w:rPr>
          <w:b/>
          <w:color w:val="000000"/>
          <w:lang w:val="bg-BG"/>
        </w:rPr>
        <w:t>Гастро-интестинални стромални тумори (ГИСТ).</w:t>
      </w:r>
      <w:r w:rsidRPr="00FE6AC6">
        <w:rPr>
          <w:color w:val="000000"/>
          <w:lang w:val="bg-BG"/>
        </w:rPr>
        <w:t xml:space="preserve"> ГИСТ представлява рак на стомаха и червата. Той произлиза от неконтролируемия клетъчен растеж на поддържащите тъкани на тези органи.</w:t>
      </w:r>
    </w:p>
    <w:p w14:paraId="3E550CC0" w14:textId="77777777" w:rsidR="001348DB" w:rsidRPr="00FE6AC6" w:rsidRDefault="001348DB" w:rsidP="0063575E">
      <w:pPr>
        <w:widowControl w:val="0"/>
        <w:numPr>
          <w:ilvl w:val="0"/>
          <w:numId w:val="20"/>
        </w:numPr>
        <w:tabs>
          <w:tab w:val="clear" w:pos="1128"/>
          <w:tab w:val="num" w:pos="567"/>
        </w:tabs>
        <w:spacing w:line="240" w:lineRule="auto"/>
        <w:ind w:left="567" w:right="-2" w:hanging="567"/>
        <w:rPr>
          <w:color w:val="000000"/>
          <w:lang w:val="bg-BG"/>
        </w:rPr>
      </w:pPr>
      <w:r w:rsidRPr="00FE6AC6">
        <w:rPr>
          <w:b/>
          <w:color w:val="000000"/>
          <w:lang w:val="bg-BG"/>
        </w:rPr>
        <w:t>Дерматофибросаркома протруберанс (ДФСП).</w:t>
      </w:r>
      <w:r w:rsidRPr="00FE6AC6">
        <w:rPr>
          <w:color w:val="000000"/>
          <w:lang w:val="bg-BG"/>
        </w:rPr>
        <w:t xml:space="preserve"> ДФСП е рак на тъканите под кожата, при който някои клетки започват неконтролируем растеж. </w:t>
      </w:r>
      <w:r w:rsidRPr="00FE6AC6">
        <w:rPr>
          <w:color w:val="000000"/>
          <w:lang w:val="en-US"/>
        </w:rPr>
        <w:t>Glivec</w:t>
      </w:r>
      <w:r w:rsidRPr="00FE6AC6">
        <w:rPr>
          <w:color w:val="000000"/>
          <w:lang w:val="ru-RU"/>
        </w:rPr>
        <w:t xml:space="preserve"> </w:t>
      </w:r>
      <w:r w:rsidR="00F84F63" w:rsidRPr="00FE6AC6">
        <w:rPr>
          <w:color w:val="000000"/>
          <w:szCs w:val="22"/>
          <w:lang w:val="bg-BG"/>
        </w:rPr>
        <w:t>потиска</w:t>
      </w:r>
      <w:r w:rsidRPr="00FE6AC6">
        <w:rPr>
          <w:color w:val="000000"/>
          <w:lang w:val="bg-BG"/>
        </w:rPr>
        <w:t xml:space="preserve"> растежа на тези клетки.</w:t>
      </w:r>
    </w:p>
    <w:p w14:paraId="3E550CC1"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В останалата част на тази листовка ще използваме съкращенията, когато говорим за съответните заболявания.</w:t>
      </w:r>
    </w:p>
    <w:p w14:paraId="3E550CC2" w14:textId="77777777" w:rsidR="001348DB" w:rsidRPr="00FE6AC6" w:rsidRDefault="001348DB" w:rsidP="0063575E">
      <w:pPr>
        <w:widowControl w:val="0"/>
        <w:tabs>
          <w:tab w:val="clear" w:pos="567"/>
        </w:tabs>
        <w:spacing w:line="240" w:lineRule="auto"/>
        <w:ind w:right="-2"/>
        <w:rPr>
          <w:color w:val="000000"/>
          <w:lang w:val="bg-BG"/>
        </w:rPr>
      </w:pPr>
    </w:p>
    <w:p w14:paraId="3E550CC3"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Ако имате някакви въпроси относно това как действа Glivec или защо Ви е предписано това лекарство, попитайте Вашия лекар.</w:t>
      </w:r>
    </w:p>
    <w:p w14:paraId="3E550CC4" w14:textId="77777777" w:rsidR="001348DB" w:rsidRPr="00FE6AC6" w:rsidRDefault="001348DB" w:rsidP="0063575E">
      <w:pPr>
        <w:widowControl w:val="0"/>
        <w:tabs>
          <w:tab w:val="clear" w:pos="567"/>
        </w:tabs>
        <w:spacing w:line="240" w:lineRule="auto"/>
        <w:ind w:right="-2"/>
        <w:rPr>
          <w:color w:val="000000"/>
          <w:lang w:val="bg-BG"/>
        </w:rPr>
      </w:pPr>
    </w:p>
    <w:p w14:paraId="3E550CC5" w14:textId="77777777" w:rsidR="001348DB" w:rsidRPr="00FE6AC6" w:rsidRDefault="001348DB" w:rsidP="0063575E">
      <w:pPr>
        <w:widowControl w:val="0"/>
        <w:tabs>
          <w:tab w:val="clear" w:pos="567"/>
        </w:tabs>
        <w:spacing w:line="240" w:lineRule="auto"/>
        <w:ind w:right="-2"/>
        <w:rPr>
          <w:color w:val="000000"/>
          <w:lang w:val="bg-BG"/>
        </w:rPr>
      </w:pPr>
    </w:p>
    <w:p w14:paraId="3E550CC6" w14:textId="77777777" w:rsidR="001348DB" w:rsidRPr="00FE6AC6" w:rsidRDefault="001348DB" w:rsidP="0063575E">
      <w:pPr>
        <w:keepNext/>
        <w:widowControl w:val="0"/>
        <w:tabs>
          <w:tab w:val="clear" w:pos="567"/>
        </w:tabs>
        <w:spacing w:line="240" w:lineRule="auto"/>
        <w:ind w:right="-2"/>
        <w:rPr>
          <w:b/>
          <w:color w:val="000000"/>
          <w:lang w:val="bg-BG"/>
        </w:rPr>
      </w:pPr>
      <w:r w:rsidRPr="00FE6AC6">
        <w:rPr>
          <w:b/>
          <w:color w:val="000000"/>
          <w:lang w:val="bg-BG"/>
        </w:rPr>
        <w:t>2.</w:t>
      </w:r>
      <w:r w:rsidRPr="00FE6AC6">
        <w:rPr>
          <w:b/>
          <w:color w:val="000000"/>
          <w:lang w:val="bg-BG"/>
        </w:rPr>
        <w:tab/>
      </w:r>
      <w:r w:rsidRPr="00FE6AC6">
        <w:rPr>
          <w:b/>
          <w:noProof/>
          <w:szCs w:val="24"/>
          <w:lang w:val="bg-BG"/>
        </w:rPr>
        <w:t>Какво трябва да знаете, преди да приемете</w:t>
      </w:r>
      <w:r w:rsidRPr="00FE6AC6">
        <w:rPr>
          <w:b/>
          <w:color w:val="000000"/>
          <w:lang w:val="bg-BG"/>
        </w:rPr>
        <w:t xml:space="preserve"> </w:t>
      </w:r>
      <w:r w:rsidRPr="00FE6AC6">
        <w:rPr>
          <w:b/>
          <w:color w:val="000000"/>
          <w:lang w:val="en-US"/>
        </w:rPr>
        <w:t>Glivec</w:t>
      </w:r>
    </w:p>
    <w:p w14:paraId="3E550CC7" w14:textId="77777777" w:rsidR="001348DB" w:rsidRPr="00FE6AC6" w:rsidRDefault="001348DB" w:rsidP="0063575E">
      <w:pPr>
        <w:keepNext/>
        <w:widowControl w:val="0"/>
        <w:tabs>
          <w:tab w:val="clear" w:pos="567"/>
        </w:tabs>
        <w:spacing w:line="240" w:lineRule="auto"/>
        <w:ind w:right="-2"/>
        <w:rPr>
          <w:color w:val="000000"/>
          <w:sz w:val="24"/>
          <w:lang w:val="bg-BG"/>
        </w:rPr>
      </w:pPr>
    </w:p>
    <w:p w14:paraId="3E550CC8"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Glivec ще Ви бъде предписан от лекар с опит в лечението на рак на кръвта или солидни тумори.</w:t>
      </w:r>
    </w:p>
    <w:p w14:paraId="3E550CC9" w14:textId="77777777" w:rsidR="001348DB" w:rsidRPr="00FE6AC6" w:rsidRDefault="001348DB" w:rsidP="0063575E">
      <w:pPr>
        <w:widowControl w:val="0"/>
        <w:tabs>
          <w:tab w:val="clear" w:pos="567"/>
        </w:tabs>
        <w:spacing w:line="240" w:lineRule="auto"/>
        <w:ind w:right="-2"/>
        <w:rPr>
          <w:color w:val="000000"/>
          <w:lang w:val="bg-BG"/>
        </w:rPr>
      </w:pPr>
    </w:p>
    <w:p w14:paraId="3E550CCA" w14:textId="77777777" w:rsidR="001348DB" w:rsidRPr="00FE6AC6" w:rsidRDefault="001348DB" w:rsidP="0063575E">
      <w:pPr>
        <w:widowControl w:val="0"/>
        <w:tabs>
          <w:tab w:val="clear" w:pos="567"/>
        </w:tabs>
        <w:spacing w:line="240" w:lineRule="auto"/>
        <w:ind w:right="-2"/>
        <w:rPr>
          <w:color w:val="000000"/>
          <w:lang w:val="bg-BG"/>
        </w:rPr>
      </w:pPr>
      <w:r w:rsidRPr="00FE6AC6">
        <w:rPr>
          <w:color w:val="000000"/>
          <w:lang w:val="bg-BG"/>
        </w:rPr>
        <w:t>Следвайте внимателно всички указания на лекаря, дори</w:t>
      </w:r>
      <w:r w:rsidR="00D16A08" w:rsidRPr="00FE6AC6">
        <w:rPr>
          <w:color w:val="000000"/>
          <w:lang w:val="bg-BG"/>
        </w:rPr>
        <w:t>,</w:t>
      </w:r>
      <w:r w:rsidRPr="00FE6AC6">
        <w:rPr>
          <w:color w:val="000000"/>
          <w:lang w:val="bg-BG"/>
        </w:rPr>
        <w:t xml:space="preserve"> ако те се различават от информацията, която се съдържа в тази листовка.</w:t>
      </w:r>
    </w:p>
    <w:p w14:paraId="3E550CCB" w14:textId="77777777" w:rsidR="001348DB" w:rsidRPr="00FE6AC6" w:rsidRDefault="001348DB" w:rsidP="0063575E">
      <w:pPr>
        <w:widowControl w:val="0"/>
        <w:numPr>
          <w:ilvl w:val="12"/>
          <w:numId w:val="0"/>
        </w:numPr>
        <w:spacing w:line="240" w:lineRule="auto"/>
        <w:ind w:right="-29"/>
        <w:rPr>
          <w:color w:val="000000"/>
          <w:lang w:val="bg-BG"/>
        </w:rPr>
      </w:pPr>
    </w:p>
    <w:p w14:paraId="3E550CCC" w14:textId="77777777" w:rsidR="001348DB" w:rsidRPr="00FE6AC6" w:rsidRDefault="001348DB" w:rsidP="0063575E">
      <w:pPr>
        <w:keepNext/>
        <w:widowControl w:val="0"/>
        <w:numPr>
          <w:ilvl w:val="12"/>
          <w:numId w:val="0"/>
        </w:numPr>
        <w:spacing w:line="240" w:lineRule="auto"/>
        <w:ind w:right="-29"/>
        <w:rPr>
          <w:color w:val="000000"/>
          <w:lang w:val="bg-BG"/>
        </w:rPr>
      </w:pPr>
      <w:r w:rsidRPr="00FE6AC6">
        <w:rPr>
          <w:b/>
          <w:color w:val="000000"/>
          <w:lang w:val="bg-BG"/>
        </w:rPr>
        <w:t>Не приемайте Glivec:</w:t>
      </w:r>
    </w:p>
    <w:p w14:paraId="3E550CCD" w14:textId="77777777" w:rsidR="001348DB" w:rsidRPr="00FE6AC6" w:rsidRDefault="001348DB" w:rsidP="0063575E">
      <w:pPr>
        <w:widowControl w:val="0"/>
        <w:numPr>
          <w:ilvl w:val="0"/>
          <w:numId w:val="1"/>
        </w:numPr>
        <w:spacing w:line="240" w:lineRule="auto"/>
        <w:ind w:left="567" w:hanging="567"/>
        <w:rPr>
          <w:color w:val="000000"/>
          <w:lang w:val="bg-BG"/>
        </w:rPr>
      </w:pPr>
      <w:r w:rsidRPr="00FE6AC6">
        <w:rPr>
          <w:color w:val="000000"/>
          <w:lang w:val="de-CH"/>
        </w:rPr>
        <w:t>a</w:t>
      </w:r>
      <w:r w:rsidRPr="00FE6AC6">
        <w:rPr>
          <w:color w:val="000000"/>
          <w:lang w:val="bg-BG"/>
        </w:rPr>
        <w:t>ко сте алергични към иматиниб или към някоя от останалите съставки на това лекарство (изброени в точка 6).</w:t>
      </w:r>
    </w:p>
    <w:p w14:paraId="3E550CCE" w14:textId="77777777" w:rsidR="001348DB" w:rsidRPr="00FE6AC6" w:rsidRDefault="001348DB" w:rsidP="0063575E">
      <w:pPr>
        <w:widowControl w:val="0"/>
        <w:spacing w:line="240" w:lineRule="auto"/>
        <w:rPr>
          <w:b/>
          <w:color w:val="000000"/>
          <w:lang w:val="bg-BG"/>
        </w:rPr>
      </w:pPr>
      <w:r w:rsidRPr="00FE6AC6">
        <w:rPr>
          <w:color w:val="000000"/>
          <w:lang w:val="bg-BG"/>
        </w:rPr>
        <w:t xml:space="preserve">Ако горенаписаното се отнася за Вас, </w:t>
      </w:r>
      <w:r w:rsidRPr="00FE6AC6">
        <w:rPr>
          <w:b/>
          <w:color w:val="000000"/>
          <w:lang w:val="bg-BG"/>
        </w:rPr>
        <w:t xml:space="preserve">информирайте Вашия лекар без да приемате </w:t>
      </w:r>
      <w:r w:rsidRPr="00FE6AC6">
        <w:rPr>
          <w:b/>
          <w:color w:val="000000"/>
          <w:lang w:val="en-US"/>
        </w:rPr>
        <w:t>Glivec</w:t>
      </w:r>
      <w:r w:rsidRPr="00FE6AC6">
        <w:rPr>
          <w:b/>
          <w:color w:val="000000"/>
          <w:lang w:val="bg-BG"/>
        </w:rPr>
        <w:t>.</w:t>
      </w:r>
    </w:p>
    <w:p w14:paraId="3E550CCF" w14:textId="77777777" w:rsidR="001348DB" w:rsidRPr="00FE6AC6" w:rsidRDefault="001348DB" w:rsidP="0063575E">
      <w:pPr>
        <w:widowControl w:val="0"/>
        <w:spacing w:line="240" w:lineRule="auto"/>
        <w:rPr>
          <w:color w:val="000000"/>
          <w:lang w:val="bg-BG"/>
        </w:rPr>
      </w:pPr>
    </w:p>
    <w:p w14:paraId="3E550CD0" w14:textId="77777777" w:rsidR="001348DB" w:rsidRPr="00FE6AC6" w:rsidRDefault="001348DB" w:rsidP="0063575E">
      <w:pPr>
        <w:widowControl w:val="0"/>
        <w:spacing w:line="240" w:lineRule="auto"/>
        <w:rPr>
          <w:color w:val="000000"/>
          <w:lang w:val="bg-BG"/>
        </w:rPr>
      </w:pPr>
      <w:r w:rsidRPr="00FE6AC6">
        <w:rPr>
          <w:color w:val="000000"/>
          <w:lang w:val="bg-BG"/>
        </w:rPr>
        <w:t>Ако смятате, че може да сте алергични, но не сте сигурни, попитайте Вашия лекар за съвет.</w:t>
      </w:r>
    </w:p>
    <w:p w14:paraId="3E550CD1" w14:textId="77777777" w:rsidR="001348DB" w:rsidRPr="00FE6AC6" w:rsidRDefault="001348DB" w:rsidP="0063575E">
      <w:pPr>
        <w:widowControl w:val="0"/>
        <w:numPr>
          <w:ilvl w:val="12"/>
          <w:numId w:val="0"/>
        </w:numPr>
        <w:spacing w:line="240" w:lineRule="auto"/>
        <w:ind w:right="-2"/>
        <w:rPr>
          <w:color w:val="000000"/>
          <w:lang w:val="bg-BG"/>
        </w:rPr>
      </w:pPr>
    </w:p>
    <w:p w14:paraId="3E550CD2" w14:textId="77777777" w:rsidR="001348DB" w:rsidRPr="00FE6AC6" w:rsidRDefault="001348DB" w:rsidP="0063575E">
      <w:pPr>
        <w:keepNext/>
        <w:widowControl w:val="0"/>
        <w:numPr>
          <w:ilvl w:val="12"/>
          <w:numId w:val="0"/>
        </w:numPr>
        <w:spacing w:line="240" w:lineRule="auto"/>
        <w:ind w:right="-2"/>
        <w:outlineLvl w:val="0"/>
        <w:rPr>
          <w:b/>
          <w:noProof/>
          <w:szCs w:val="24"/>
          <w:lang w:val="bg-BG"/>
        </w:rPr>
      </w:pPr>
      <w:r w:rsidRPr="00FE6AC6">
        <w:rPr>
          <w:b/>
          <w:noProof/>
          <w:szCs w:val="24"/>
          <w:lang w:val="bg-BG"/>
        </w:rPr>
        <w:t>Предупреждения и предпазни мерки</w:t>
      </w:r>
    </w:p>
    <w:p w14:paraId="3E550CD3" w14:textId="77777777" w:rsidR="001348DB" w:rsidRPr="00FE6AC6" w:rsidRDefault="001348DB" w:rsidP="0063575E">
      <w:pPr>
        <w:keepNext/>
        <w:widowControl w:val="0"/>
        <w:numPr>
          <w:ilvl w:val="12"/>
          <w:numId w:val="0"/>
        </w:numPr>
        <w:spacing w:line="240" w:lineRule="auto"/>
        <w:ind w:right="-29"/>
        <w:rPr>
          <w:color w:val="000000"/>
          <w:lang w:val="bg-BG"/>
        </w:rPr>
      </w:pPr>
      <w:r w:rsidRPr="00FE6AC6">
        <w:rPr>
          <w:color w:val="000000"/>
          <w:lang w:val="bg-BG"/>
        </w:rPr>
        <w:t>Говорете с Вашия лекар</w:t>
      </w:r>
      <w:r w:rsidR="00DC7772" w:rsidRPr="00FE6AC6">
        <w:rPr>
          <w:color w:val="000000"/>
          <w:lang w:val="bg-BG"/>
        </w:rPr>
        <w:t>,</w:t>
      </w:r>
      <w:r w:rsidRPr="00FE6AC6">
        <w:rPr>
          <w:color w:val="000000"/>
          <w:lang w:val="bg-BG"/>
        </w:rPr>
        <w:t xml:space="preserve"> преди да приемете </w:t>
      </w:r>
      <w:r w:rsidRPr="00FE6AC6">
        <w:rPr>
          <w:color w:val="000000"/>
          <w:lang w:val="en-US"/>
        </w:rPr>
        <w:t>Glivec</w:t>
      </w:r>
      <w:r w:rsidRPr="00FE6AC6">
        <w:rPr>
          <w:color w:val="000000"/>
          <w:lang w:val="bg-BG"/>
        </w:rPr>
        <w:t>:</w:t>
      </w:r>
    </w:p>
    <w:p w14:paraId="3E550CD4" w14:textId="77777777" w:rsidR="001348DB" w:rsidRPr="00FE6AC6" w:rsidRDefault="001348DB" w:rsidP="0063575E">
      <w:pPr>
        <w:widowControl w:val="0"/>
        <w:numPr>
          <w:ilvl w:val="0"/>
          <w:numId w:val="4"/>
        </w:numPr>
        <w:tabs>
          <w:tab w:val="clear" w:pos="720"/>
          <w:tab w:val="num" w:pos="567"/>
        </w:tabs>
        <w:spacing w:line="240" w:lineRule="auto"/>
        <w:ind w:left="567" w:hanging="567"/>
        <w:rPr>
          <w:color w:val="000000"/>
          <w:lang w:val="bg-BG"/>
        </w:rPr>
      </w:pPr>
      <w:r w:rsidRPr="00FE6AC6">
        <w:rPr>
          <w:color w:val="000000"/>
          <w:lang w:val="de-CH"/>
        </w:rPr>
        <w:t>a</w:t>
      </w:r>
      <w:r w:rsidRPr="00FE6AC6">
        <w:rPr>
          <w:color w:val="000000"/>
          <w:lang w:val="bg-BG"/>
        </w:rPr>
        <w:t>ко имате или някога сте имали проблеми с черния дроб, бъбреците или сърцето.</w:t>
      </w:r>
    </w:p>
    <w:p w14:paraId="3E550CD5" w14:textId="77777777" w:rsidR="001348DB" w:rsidRPr="00FE6AC6" w:rsidRDefault="001348DB" w:rsidP="0063575E">
      <w:pPr>
        <w:widowControl w:val="0"/>
        <w:numPr>
          <w:ilvl w:val="12"/>
          <w:numId w:val="0"/>
        </w:numPr>
        <w:tabs>
          <w:tab w:val="clear" w:pos="567"/>
        </w:tabs>
        <w:spacing w:line="240" w:lineRule="auto"/>
        <w:rPr>
          <w:color w:val="000000"/>
          <w:spacing w:val="-2"/>
          <w:lang w:val="bg-BG"/>
        </w:rPr>
      </w:pPr>
      <w:r w:rsidRPr="00FE6AC6">
        <w:rPr>
          <w:color w:val="000000"/>
          <w:szCs w:val="22"/>
          <w:lang w:val="bg-BG"/>
        </w:rPr>
        <w:t>-</w:t>
      </w:r>
      <w:r w:rsidRPr="00FE6AC6">
        <w:rPr>
          <w:color w:val="000000"/>
          <w:szCs w:val="22"/>
          <w:lang w:val="bg-BG"/>
        </w:rPr>
        <w:tab/>
        <w:t>ако приемате лекарството левотироксин</w:t>
      </w:r>
      <w:r w:rsidR="00D16A08" w:rsidRPr="00FE6AC6">
        <w:rPr>
          <w:color w:val="000000"/>
          <w:szCs w:val="22"/>
          <w:lang w:val="bg-BG"/>
        </w:rPr>
        <w:t>,</w:t>
      </w:r>
      <w:r w:rsidRPr="00FE6AC6">
        <w:rPr>
          <w:color w:val="000000"/>
          <w:spacing w:val="-2"/>
          <w:lang w:val="bg-BG"/>
        </w:rPr>
        <w:t xml:space="preserve"> поради отстраняване на щитовидната жлеза.</w:t>
      </w:r>
    </w:p>
    <w:p w14:paraId="3E550CD6" w14:textId="77777777" w:rsidR="005E1CCC" w:rsidRPr="00FE6AC6" w:rsidRDefault="005E1CCC" w:rsidP="0063575E">
      <w:pPr>
        <w:widowControl w:val="0"/>
        <w:numPr>
          <w:ilvl w:val="0"/>
          <w:numId w:val="4"/>
        </w:numPr>
        <w:tabs>
          <w:tab w:val="clear" w:pos="720"/>
          <w:tab w:val="num" w:pos="567"/>
        </w:tabs>
        <w:spacing w:line="240" w:lineRule="auto"/>
        <w:ind w:left="567" w:hanging="567"/>
        <w:rPr>
          <w:color w:val="000000"/>
          <w:szCs w:val="22"/>
          <w:lang w:val="bg-BG"/>
        </w:rPr>
      </w:pPr>
      <w:r w:rsidRPr="00FE6AC6">
        <w:rPr>
          <w:color w:val="000000"/>
          <w:szCs w:val="22"/>
          <w:lang w:val="bg-BG"/>
        </w:rPr>
        <w:t>ако сте имали или може сега да имате инфекция с хепатит В. Това е така, защото Glivec може да причини преминаването на инфекцията с хепатит В отново в активна форма, което може да бъде фатално в някои случаи. Пациентите ще бъдат внимателно прегледани от лекар за признаци на тази инфекция, преди да започне лечението.</w:t>
      </w:r>
    </w:p>
    <w:p w14:paraId="3E550CD7" w14:textId="77777777" w:rsidR="00333D47" w:rsidRPr="00FE6AC6" w:rsidRDefault="00333D47" w:rsidP="00572F70">
      <w:pPr>
        <w:keepNext/>
        <w:keepLines/>
        <w:widowControl w:val="0"/>
        <w:numPr>
          <w:ilvl w:val="0"/>
          <w:numId w:val="4"/>
        </w:numPr>
        <w:tabs>
          <w:tab w:val="clear" w:pos="720"/>
          <w:tab w:val="num" w:pos="567"/>
        </w:tabs>
        <w:spacing w:line="240" w:lineRule="auto"/>
        <w:ind w:left="567" w:hanging="567"/>
        <w:rPr>
          <w:color w:val="000000"/>
          <w:szCs w:val="22"/>
          <w:lang w:val="bg-BG"/>
        </w:rPr>
      </w:pPr>
      <w:r w:rsidRPr="00FE6AC6">
        <w:rPr>
          <w:color w:val="000000"/>
          <w:szCs w:val="22"/>
          <w:lang w:val="bg-BG"/>
        </w:rPr>
        <w:t xml:space="preserve">ако Ви се появят синини, имате кървене, висока температура, умора и обърканост по време на лечението с </w:t>
      </w:r>
      <w:r w:rsidRPr="00FE6AC6">
        <w:rPr>
          <w:color w:val="000000"/>
          <w:szCs w:val="22"/>
          <w:lang w:val="en-US"/>
        </w:rPr>
        <w:t>Glivec</w:t>
      </w:r>
      <w:r w:rsidRPr="00FE6AC6">
        <w:rPr>
          <w:color w:val="000000"/>
          <w:szCs w:val="22"/>
          <w:lang w:val="bg-BG"/>
        </w:rPr>
        <w:t>, свържете се с Вашия лекар. Това може да е признак на увреждане на кръвоносните съдове, наречено тромботична микроангиопатия.</w:t>
      </w:r>
    </w:p>
    <w:p w14:paraId="3E550CD8"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 xml:space="preserve">Ако някое от горенаписаните се отнася за Вас, </w:t>
      </w:r>
      <w:r w:rsidRPr="00FE6AC6">
        <w:rPr>
          <w:b/>
          <w:color w:val="000000"/>
          <w:lang w:val="bg-BG"/>
        </w:rPr>
        <w:t>кажете на Вашия лекар преди да приемете Glivec.</w:t>
      </w:r>
    </w:p>
    <w:p w14:paraId="3E550CD9" w14:textId="77777777" w:rsidR="00491CB0" w:rsidRPr="00FE6AC6" w:rsidRDefault="00491CB0" w:rsidP="0063575E">
      <w:pPr>
        <w:widowControl w:val="0"/>
        <w:numPr>
          <w:ilvl w:val="12"/>
          <w:numId w:val="0"/>
        </w:numPr>
        <w:spacing w:line="240" w:lineRule="auto"/>
        <w:rPr>
          <w:color w:val="000000"/>
          <w:lang w:val="bg-BG"/>
        </w:rPr>
      </w:pPr>
    </w:p>
    <w:p w14:paraId="3E550CDA" w14:textId="77777777" w:rsidR="00491CB0" w:rsidRPr="00FE6AC6" w:rsidRDefault="00491CB0" w:rsidP="0063575E">
      <w:pPr>
        <w:widowControl w:val="0"/>
        <w:tabs>
          <w:tab w:val="clear" w:pos="567"/>
        </w:tabs>
        <w:spacing w:line="240" w:lineRule="auto"/>
        <w:rPr>
          <w:color w:val="000000"/>
          <w:szCs w:val="22"/>
          <w:lang w:val="bg-BG"/>
        </w:rPr>
      </w:pPr>
      <w:r w:rsidRPr="00FE6AC6">
        <w:rPr>
          <w:color w:val="000000"/>
          <w:szCs w:val="22"/>
          <w:lang w:val="bg-BG"/>
        </w:rPr>
        <w:t>Възможно е да станете по-чувствителни към слънчевата светлина</w:t>
      </w:r>
      <w:r w:rsidR="006E6BD6" w:rsidRPr="00FE6AC6">
        <w:rPr>
          <w:color w:val="000000"/>
          <w:szCs w:val="22"/>
          <w:lang w:val="bg-BG"/>
        </w:rPr>
        <w:t xml:space="preserve"> докато приемате Glivec</w:t>
      </w:r>
      <w:r w:rsidRPr="00FE6AC6">
        <w:rPr>
          <w:color w:val="000000"/>
          <w:szCs w:val="22"/>
          <w:lang w:val="bg-BG"/>
        </w:rPr>
        <w:t>. Важно е да покривате изложените на слънце участъци от кожата и да използвате слънцезащитни продукти с висок слънцезащитен фактор (</w:t>
      </w:r>
      <w:r w:rsidRPr="00FE6AC6">
        <w:rPr>
          <w:color w:val="000000"/>
          <w:szCs w:val="22"/>
        </w:rPr>
        <w:t>SPF</w:t>
      </w:r>
      <w:r w:rsidRPr="00FE6AC6">
        <w:rPr>
          <w:color w:val="000000"/>
          <w:szCs w:val="22"/>
          <w:lang w:val="bg-BG"/>
        </w:rPr>
        <w:t>). Тези предпазни мерки са приложими и при деца.</w:t>
      </w:r>
    </w:p>
    <w:p w14:paraId="3E550CDB" w14:textId="77777777" w:rsidR="001348DB" w:rsidRPr="00FE6AC6" w:rsidRDefault="001348DB" w:rsidP="0063575E">
      <w:pPr>
        <w:widowControl w:val="0"/>
        <w:numPr>
          <w:ilvl w:val="12"/>
          <w:numId w:val="0"/>
        </w:numPr>
        <w:spacing w:line="240" w:lineRule="auto"/>
        <w:rPr>
          <w:color w:val="000000"/>
          <w:lang w:val="bg-BG"/>
        </w:rPr>
      </w:pPr>
    </w:p>
    <w:p w14:paraId="3E550CDC" w14:textId="77777777" w:rsidR="001348DB" w:rsidRPr="00FE6AC6" w:rsidRDefault="001348DB" w:rsidP="0063575E">
      <w:pPr>
        <w:widowControl w:val="0"/>
        <w:numPr>
          <w:ilvl w:val="12"/>
          <w:numId w:val="0"/>
        </w:numPr>
        <w:spacing w:line="240" w:lineRule="auto"/>
        <w:ind w:right="-29"/>
        <w:rPr>
          <w:color w:val="000000"/>
          <w:lang w:val="bg-BG"/>
        </w:rPr>
      </w:pPr>
      <w:r w:rsidRPr="00FE6AC6">
        <w:rPr>
          <w:b/>
          <w:color w:val="000000"/>
          <w:lang w:val="bg-BG"/>
        </w:rPr>
        <w:t xml:space="preserve">По време на лечението с </w:t>
      </w:r>
      <w:r w:rsidRPr="00FE6AC6">
        <w:rPr>
          <w:b/>
          <w:color w:val="000000"/>
          <w:lang w:val="en-US"/>
        </w:rPr>
        <w:t>Glivec</w:t>
      </w:r>
      <w:r w:rsidRPr="00FE6AC6">
        <w:rPr>
          <w:b/>
          <w:color w:val="000000"/>
          <w:lang w:val="ru-RU"/>
        </w:rPr>
        <w:t xml:space="preserve"> информирайте незабавно Вашия лекар</w:t>
      </w:r>
      <w:r w:rsidRPr="00FE6AC6">
        <w:rPr>
          <w:color w:val="000000"/>
          <w:lang w:val="ru-RU"/>
        </w:rPr>
        <w:t>, а</w:t>
      </w:r>
      <w:r w:rsidRPr="00FE6AC6">
        <w:rPr>
          <w:color w:val="000000"/>
          <w:lang w:val="bg-BG"/>
        </w:rPr>
        <w:t xml:space="preserve">ко започнете бързо да наддавате на тегло. </w:t>
      </w:r>
      <w:r w:rsidRPr="00FE6AC6">
        <w:rPr>
          <w:color w:val="000000"/>
          <w:lang w:val="en-US"/>
        </w:rPr>
        <w:t>Glivec</w:t>
      </w:r>
      <w:r w:rsidRPr="00FE6AC6">
        <w:rPr>
          <w:color w:val="000000"/>
          <w:lang w:val="ru-RU"/>
        </w:rPr>
        <w:t xml:space="preserve"> </w:t>
      </w:r>
      <w:r w:rsidRPr="00FE6AC6">
        <w:rPr>
          <w:color w:val="000000"/>
          <w:lang w:val="bg-BG"/>
        </w:rPr>
        <w:t>може да предизвика задържане на вода в организма (тежка задръжка на течности).</w:t>
      </w:r>
    </w:p>
    <w:p w14:paraId="3E550CDD" w14:textId="77777777" w:rsidR="001348DB" w:rsidRPr="00FE6AC6" w:rsidRDefault="001348DB" w:rsidP="0063575E">
      <w:pPr>
        <w:widowControl w:val="0"/>
        <w:numPr>
          <w:ilvl w:val="12"/>
          <w:numId w:val="0"/>
        </w:numPr>
        <w:spacing w:line="240" w:lineRule="auto"/>
        <w:rPr>
          <w:color w:val="000000"/>
          <w:lang w:val="bg-BG"/>
        </w:rPr>
      </w:pPr>
    </w:p>
    <w:p w14:paraId="3E550CDE"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 xml:space="preserve">Докато приемате </w:t>
      </w:r>
      <w:r w:rsidRPr="00FE6AC6">
        <w:rPr>
          <w:color w:val="000000"/>
          <w:lang w:val="en-US"/>
        </w:rPr>
        <w:t>Glivec</w:t>
      </w:r>
      <w:r w:rsidR="00D16A08" w:rsidRPr="00FE6AC6">
        <w:rPr>
          <w:color w:val="000000"/>
          <w:lang w:val="bg-BG"/>
        </w:rPr>
        <w:t>,</w:t>
      </w:r>
      <w:r w:rsidRPr="00FE6AC6">
        <w:rPr>
          <w:color w:val="000000"/>
          <w:lang w:val="bg-BG"/>
        </w:rPr>
        <w:t xml:space="preserve"> Вашият лекар ще проверява редовно състояние</w:t>
      </w:r>
      <w:r w:rsidR="00DB1695" w:rsidRPr="00FE6AC6">
        <w:rPr>
          <w:color w:val="000000"/>
          <w:lang w:val="bg-BG"/>
        </w:rPr>
        <w:t>то</w:t>
      </w:r>
      <w:r w:rsidRPr="00FE6AC6">
        <w:rPr>
          <w:color w:val="000000"/>
          <w:lang w:val="bg-BG"/>
        </w:rPr>
        <w:t xml:space="preserve"> Ви, за да установи дали лекарството действа. Освен това ще Ви се извършват кръвни изследвания и редовно ще се измерва телесното Ви тегло.</w:t>
      </w:r>
    </w:p>
    <w:p w14:paraId="3E550CDF" w14:textId="77777777" w:rsidR="001348DB" w:rsidRPr="00FE6AC6" w:rsidRDefault="001348DB" w:rsidP="0063575E">
      <w:pPr>
        <w:widowControl w:val="0"/>
        <w:numPr>
          <w:ilvl w:val="12"/>
          <w:numId w:val="0"/>
        </w:numPr>
        <w:spacing w:line="240" w:lineRule="auto"/>
        <w:ind w:right="-29"/>
        <w:rPr>
          <w:color w:val="000000"/>
          <w:lang w:val="bg-BG"/>
        </w:rPr>
      </w:pPr>
    </w:p>
    <w:p w14:paraId="3E550CE0" w14:textId="77777777" w:rsidR="001348DB" w:rsidRPr="00FE6AC6" w:rsidRDefault="001348DB" w:rsidP="0063575E">
      <w:pPr>
        <w:keepNext/>
        <w:widowControl w:val="0"/>
        <w:numPr>
          <w:ilvl w:val="12"/>
          <w:numId w:val="0"/>
        </w:numPr>
        <w:spacing w:line="240" w:lineRule="auto"/>
        <w:ind w:right="-29"/>
        <w:rPr>
          <w:color w:val="000000"/>
          <w:lang w:val="bg-BG"/>
        </w:rPr>
      </w:pPr>
      <w:r w:rsidRPr="00FE6AC6">
        <w:rPr>
          <w:b/>
          <w:noProof/>
          <w:szCs w:val="24"/>
          <w:lang w:val="bg-BG"/>
        </w:rPr>
        <w:t>Деца и юноши</w:t>
      </w:r>
    </w:p>
    <w:p w14:paraId="3E550CE1"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 xml:space="preserve">Glivec също така е лекарство за лечение на деца с ХМЛ. Няма опит при деца с ХМЛ на възраст под 2 години. Съществува ограничен опит при деца с </w:t>
      </w:r>
      <w:r w:rsidRPr="00FE6AC6">
        <w:rPr>
          <w:color w:val="000000"/>
          <w:lang w:val="en-US"/>
        </w:rPr>
        <w:t>Ph</w:t>
      </w:r>
      <w:r w:rsidRPr="00FE6AC6">
        <w:rPr>
          <w:color w:val="000000"/>
          <w:szCs w:val="22"/>
          <w:lang w:val="bg-BG"/>
        </w:rPr>
        <w:t xml:space="preserve">-положителна </w:t>
      </w:r>
      <w:r w:rsidRPr="00FE6AC6">
        <w:rPr>
          <w:color w:val="000000"/>
          <w:lang w:val="bg-BG"/>
        </w:rPr>
        <w:t>ОЛЛ</w:t>
      </w:r>
      <w:r w:rsidR="006862ED" w:rsidRPr="00FE6AC6">
        <w:rPr>
          <w:color w:val="000000"/>
          <w:lang w:val="bg-BG"/>
        </w:rPr>
        <w:t xml:space="preserve"> и много ограничен опит при деца с МДС/МПЗ, ДФСП, ГИСТ и ХЕС/ХЕЛ</w:t>
      </w:r>
      <w:r w:rsidRPr="00FE6AC6">
        <w:rPr>
          <w:color w:val="000000"/>
          <w:lang w:val="bg-BG"/>
        </w:rPr>
        <w:t>.</w:t>
      </w:r>
    </w:p>
    <w:p w14:paraId="3E550CE2" w14:textId="77777777" w:rsidR="001348DB" w:rsidRPr="00FE6AC6" w:rsidRDefault="001348DB" w:rsidP="0063575E">
      <w:pPr>
        <w:widowControl w:val="0"/>
        <w:numPr>
          <w:ilvl w:val="12"/>
          <w:numId w:val="0"/>
        </w:numPr>
        <w:spacing w:line="240" w:lineRule="auto"/>
        <w:ind w:right="-29"/>
        <w:rPr>
          <w:color w:val="000000"/>
          <w:lang w:val="bg-BG"/>
        </w:rPr>
      </w:pPr>
    </w:p>
    <w:p w14:paraId="3E550CE3" w14:textId="77777777" w:rsidR="001348DB" w:rsidRPr="00FE6AC6" w:rsidRDefault="001348DB" w:rsidP="0063575E">
      <w:pPr>
        <w:widowControl w:val="0"/>
        <w:numPr>
          <w:ilvl w:val="12"/>
          <w:numId w:val="0"/>
        </w:numPr>
        <w:spacing w:line="240" w:lineRule="auto"/>
        <w:ind w:right="-29"/>
        <w:rPr>
          <w:color w:val="000000"/>
          <w:lang w:val="bg-BG"/>
        </w:rPr>
      </w:pPr>
      <w:r w:rsidRPr="00FE6AC6">
        <w:rPr>
          <w:color w:val="000000"/>
          <w:lang w:val="bg-BG"/>
        </w:rPr>
        <w:t>При някои деца и юноши, приемащи Glivec</w:t>
      </w:r>
      <w:r w:rsidR="0012426F" w:rsidRPr="00FE6AC6">
        <w:rPr>
          <w:color w:val="000000"/>
          <w:lang w:val="bg-BG"/>
        </w:rPr>
        <w:t>,</w:t>
      </w:r>
      <w:r w:rsidRPr="00FE6AC6">
        <w:rPr>
          <w:color w:val="000000"/>
          <w:lang w:val="bg-BG"/>
        </w:rPr>
        <w:t xml:space="preserve"> може да се наблюдава изоставане в растежа. Лекуващият лекар ще проследява растежа по време на редовните посещения.</w:t>
      </w:r>
    </w:p>
    <w:p w14:paraId="3E550CE4" w14:textId="77777777" w:rsidR="001348DB" w:rsidRPr="00FE6AC6" w:rsidRDefault="001348DB" w:rsidP="0063575E">
      <w:pPr>
        <w:widowControl w:val="0"/>
        <w:numPr>
          <w:ilvl w:val="12"/>
          <w:numId w:val="0"/>
        </w:numPr>
        <w:spacing w:line="240" w:lineRule="auto"/>
        <w:ind w:right="-29"/>
        <w:rPr>
          <w:color w:val="000000"/>
          <w:lang w:val="bg-BG"/>
        </w:rPr>
      </w:pPr>
    </w:p>
    <w:p w14:paraId="3E550CE5" w14:textId="77777777" w:rsidR="001348DB" w:rsidRPr="00FE6AC6" w:rsidRDefault="001348DB" w:rsidP="0063575E">
      <w:pPr>
        <w:keepNext/>
        <w:widowControl w:val="0"/>
        <w:numPr>
          <w:ilvl w:val="12"/>
          <w:numId w:val="0"/>
        </w:numPr>
        <w:spacing w:line="240" w:lineRule="auto"/>
        <w:rPr>
          <w:b/>
          <w:color w:val="000000"/>
          <w:lang w:val="bg-BG"/>
        </w:rPr>
      </w:pPr>
      <w:r w:rsidRPr="00FE6AC6">
        <w:rPr>
          <w:b/>
          <w:noProof/>
          <w:szCs w:val="24"/>
          <w:lang w:val="bg-BG"/>
        </w:rPr>
        <w:t xml:space="preserve">Други лекарства и </w:t>
      </w:r>
      <w:r w:rsidRPr="00FE6AC6">
        <w:rPr>
          <w:b/>
          <w:noProof/>
          <w:szCs w:val="24"/>
          <w:lang w:val="en-US"/>
        </w:rPr>
        <w:t>Glivec</w:t>
      </w:r>
    </w:p>
    <w:p w14:paraId="3E550CE6" w14:textId="77777777" w:rsidR="001348DB" w:rsidRPr="00FE6AC6" w:rsidRDefault="001348DB" w:rsidP="0063575E">
      <w:pPr>
        <w:widowControl w:val="0"/>
        <w:numPr>
          <w:ilvl w:val="12"/>
          <w:numId w:val="0"/>
        </w:numPr>
        <w:spacing w:line="240" w:lineRule="auto"/>
        <w:rPr>
          <w:color w:val="000000"/>
          <w:lang w:val="bg-BG"/>
        </w:rPr>
      </w:pPr>
      <w:r w:rsidRPr="00FE6AC6">
        <w:rPr>
          <w:color w:val="000000"/>
          <w:lang w:val="bg-BG"/>
        </w:rPr>
        <w:t xml:space="preserve">Информирайте Вашия лекар или фармацевт, ако приемате, наскоро сте приемали </w:t>
      </w:r>
      <w:r w:rsidRPr="00FE6AC6">
        <w:rPr>
          <w:noProof/>
          <w:szCs w:val="24"/>
          <w:lang w:val="bg-BG"/>
        </w:rPr>
        <w:t>или е възможно да приемете</w:t>
      </w:r>
      <w:r w:rsidRPr="00FE6AC6">
        <w:rPr>
          <w:color w:val="000000"/>
          <w:lang w:val="bg-BG"/>
        </w:rPr>
        <w:t xml:space="preserve"> други лекарства, включително и такива, отпускани без рецепта (като парацетамол), включително и билкови продукти (като жълт кантарион). Някои лекарства могат да повлияят ефекта на</w:t>
      </w:r>
      <w:r w:rsidRPr="00FE6AC6">
        <w:rPr>
          <w:color w:val="000000"/>
          <w:lang w:val="ru-RU"/>
        </w:rPr>
        <w:t xml:space="preserve"> </w:t>
      </w:r>
      <w:r w:rsidRPr="00FE6AC6">
        <w:rPr>
          <w:color w:val="000000"/>
        </w:rPr>
        <w:t>Glivec</w:t>
      </w:r>
      <w:r w:rsidRPr="00FE6AC6">
        <w:rPr>
          <w:color w:val="000000"/>
          <w:lang w:val="bg-BG"/>
        </w:rPr>
        <w:t xml:space="preserve"> при едновременен прием. Те могат да засилят или намалят ефекта на</w:t>
      </w:r>
      <w:r w:rsidRPr="00FE6AC6">
        <w:rPr>
          <w:color w:val="000000"/>
          <w:lang w:val="ru-RU"/>
        </w:rPr>
        <w:t xml:space="preserve"> </w:t>
      </w:r>
      <w:r w:rsidRPr="00FE6AC6">
        <w:rPr>
          <w:color w:val="000000"/>
        </w:rPr>
        <w:t>Glivec</w:t>
      </w:r>
      <w:r w:rsidRPr="00FE6AC6">
        <w:rPr>
          <w:color w:val="000000"/>
          <w:lang w:val="bg-BG"/>
        </w:rPr>
        <w:t xml:space="preserve"> като увеличат нежеланите реакции или като направят </w:t>
      </w:r>
      <w:r w:rsidRPr="00FE6AC6">
        <w:rPr>
          <w:color w:val="000000"/>
        </w:rPr>
        <w:t>Glivec</w:t>
      </w:r>
      <w:r w:rsidRPr="00FE6AC6">
        <w:rPr>
          <w:color w:val="000000"/>
          <w:lang w:val="bg-BG"/>
        </w:rPr>
        <w:t xml:space="preserve"> по-малко ефективен. </w:t>
      </w:r>
      <w:r w:rsidRPr="00FE6AC6">
        <w:rPr>
          <w:color w:val="000000"/>
        </w:rPr>
        <w:t>Glivec</w:t>
      </w:r>
      <w:r w:rsidRPr="00FE6AC6">
        <w:rPr>
          <w:color w:val="000000"/>
          <w:lang w:val="bg-BG"/>
        </w:rPr>
        <w:t xml:space="preserve"> може да има същия ефект спрямо някои други лекарствени продукти.</w:t>
      </w:r>
    </w:p>
    <w:p w14:paraId="3E550CE7" w14:textId="77777777" w:rsidR="00267EB3" w:rsidRPr="00FE6AC6" w:rsidRDefault="00267EB3" w:rsidP="0063575E">
      <w:pPr>
        <w:widowControl w:val="0"/>
        <w:numPr>
          <w:ilvl w:val="12"/>
          <w:numId w:val="0"/>
        </w:numPr>
        <w:spacing w:line="240" w:lineRule="auto"/>
        <w:ind w:right="-29"/>
        <w:rPr>
          <w:color w:val="000000"/>
          <w:lang w:val="bg-BG"/>
        </w:rPr>
      </w:pPr>
    </w:p>
    <w:p w14:paraId="3E550CE8" w14:textId="77777777" w:rsidR="00267EB3" w:rsidRPr="00FE6AC6" w:rsidRDefault="00267EB3" w:rsidP="0063575E">
      <w:pPr>
        <w:widowControl w:val="0"/>
        <w:numPr>
          <w:ilvl w:val="12"/>
          <w:numId w:val="0"/>
        </w:numPr>
        <w:spacing w:line="240" w:lineRule="auto"/>
        <w:ind w:right="-29"/>
        <w:rPr>
          <w:color w:val="000000"/>
          <w:lang w:val="bg-BG"/>
        </w:rPr>
      </w:pPr>
      <w:r w:rsidRPr="00FE6AC6">
        <w:rPr>
          <w:color w:val="000000"/>
          <w:lang w:val="bg-BG"/>
        </w:rPr>
        <w:t>Информирайте Вашия лекар, ако приемате лекарства, които предотвратяват образуването на кръвни съсиреци.</w:t>
      </w:r>
    </w:p>
    <w:p w14:paraId="3E550CE9" w14:textId="77777777" w:rsidR="001348DB" w:rsidRPr="00FE6AC6" w:rsidRDefault="001348DB" w:rsidP="0063575E">
      <w:pPr>
        <w:widowControl w:val="0"/>
        <w:numPr>
          <w:ilvl w:val="12"/>
          <w:numId w:val="0"/>
        </w:numPr>
        <w:spacing w:line="240" w:lineRule="auto"/>
        <w:ind w:right="-29"/>
        <w:rPr>
          <w:color w:val="000000"/>
          <w:lang w:val="bg-BG"/>
        </w:rPr>
      </w:pPr>
    </w:p>
    <w:p w14:paraId="3E550CEA" w14:textId="77777777" w:rsidR="001348DB" w:rsidRPr="00FE6AC6" w:rsidRDefault="001348DB" w:rsidP="0063575E">
      <w:pPr>
        <w:keepNext/>
        <w:widowControl w:val="0"/>
        <w:numPr>
          <w:ilvl w:val="12"/>
          <w:numId w:val="0"/>
        </w:numPr>
        <w:spacing w:line="240" w:lineRule="auto"/>
        <w:ind w:right="-2"/>
        <w:outlineLvl w:val="0"/>
        <w:rPr>
          <w:b/>
          <w:color w:val="000000"/>
          <w:lang w:val="bg-BG"/>
        </w:rPr>
      </w:pPr>
      <w:r w:rsidRPr="00FE6AC6">
        <w:rPr>
          <w:b/>
          <w:noProof/>
          <w:color w:val="000000"/>
          <w:lang w:val="bg-BG"/>
        </w:rPr>
        <w:t>Бременност, кърмене и фертилитет</w:t>
      </w:r>
    </w:p>
    <w:p w14:paraId="3E550CEB"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Ако сте бременна или кърмите</w:t>
      </w:r>
      <w:r w:rsidRPr="00FE6AC6">
        <w:rPr>
          <w:noProof/>
          <w:szCs w:val="24"/>
          <w:lang w:val="bg-BG"/>
        </w:rPr>
        <w:t>, смятате, че може да сте бременна или планирате бременност, посъветвайте</w:t>
      </w:r>
      <w:r w:rsidRPr="00FE6AC6">
        <w:rPr>
          <w:lang w:val="bg-BG"/>
        </w:rPr>
        <w:t xml:space="preserve"> се с Вашия лекар преди употребата на </w:t>
      </w:r>
      <w:r w:rsidRPr="00FE6AC6">
        <w:rPr>
          <w:noProof/>
          <w:szCs w:val="24"/>
          <w:lang w:val="bg-BG"/>
        </w:rPr>
        <w:t>това</w:t>
      </w:r>
      <w:r w:rsidRPr="00FE6AC6">
        <w:rPr>
          <w:lang w:val="bg-BG"/>
        </w:rPr>
        <w:t xml:space="preserve"> лекарство.</w:t>
      </w:r>
    </w:p>
    <w:p w14:paraId="3E550CEC"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Glivec не се препоръчва по време на бременност, освен в случай на категорична необходимост, тъй като може да увреди Вашето бебе. Вашият лекар ще обсъди с Вас потенциалните рискове от приема на Glivec по време на бременност.</w:t>
      </w:r>
    </w:p>
    <w:p w14:paraId="3E550CED"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Жени, които е възможно да забременеят, се препоръчва да използват ефективни методи за предпазване от бременност по време на лечението</w:t>
      </w:r>
      <w:r w:rsidR="009E68A9">
        <w:rPr>
          <w:color w:val="000000"/>
          <w:lang w:val="bg-BG"/>
        </w:rPr>
        <w:t xml:space="preserve"> </w:t>
      </w:r>
      <w:r w:rsidR="009E68A9" w:rsidRPr="009E68A9">
        <w:rPr>
          <w:color w:val="000000"/>
          <w:lang w:val="bg-BG"/>
        </w:rPr>
        <w:t>и в продължение на 15 дни след прекратяване на лечението</w:t>
      </w:r>
      <w:r w:rsidRPr="00FE6AC6">
        <w:rPr>
          <w:color w:val="000000"/>
          <w:lang w:val="bg-BG"/>
        </w:rPr>
        <w:t>.</w:t>
      </w:r>
    </w:p>
    <w:p w14:paraId="3E550CEE"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Не кърмете по време на лечението с Glivec</w:t>
      </w:r>
      <w:r w:rsidR="009E68A9" w:rsidRPr="009E68A9">
        <w:rPr>
          <w:color w:val="000000"/>
          <w:lang w:val="bg-BG"/>
        </w:rPr>
        <w:t xml:space="preserve"> </w:t>
      </w:r>
      <w:r w:rsidR="009E68A9" w:rsidRPr="00FF1E94">
        <w:rPr>
          <w:color w:val="000000"/>
          <w:lang w:val="bg-BG"/>
        </w:rPr>
        <w:t xml:space="preserve">и в продължение на 15 дни след прекратяване на лечението, тъй като </w:t>
      </w:r>
      <w:r w:rsidR="009E68A9">
        <w:rPr>
          <w:color w:val="000000"/>
          <w:lang w:val="bg-BG"/>
        </w:rPr>
        <w:t>това може да навреди на В</w:t>
      </w:r>
      <w:r w:rsidR="009E68A9" w:rsidRPr="00FF1E94">
        <w:rPr>
          <w:color w:val="000000"/>
          <w:lang w:val="bg-BG"/>
        </w:rPr>
        <w:t>ашето бебе</w:t>
      </w:r>
      <w:r w:rsidRPr="00FE6AC6">
        <w:rPr>
          <w:color w:val="000000"/>
          <w:lang w:val="bg-BG"/>
        </w:rPr>
        <w:t>.</w:t>
      </w:r>
    </w:p>
    <w:p w14:paraId="3E550CEF" w14:textId="77777777" w:rsidR="00D16A08" w:rsidRPr="00FE6AC6" w:rsidRDefault="00D16A08" w:rsidP="0063575E">
      <w:pPr>
        <w:widowControl w:val="0"/>
        <w:numPr>
          <w:ilvl w:val="0"/>
          <w:numId w:val="21"/>
        </w:numPr>
        <w:tabs>
          <w:tab w:val="clear" w:pos="1128"/>
          <w:tab w:val="num" w:pos="567"/>
        </w:tabs>
        <w:spacing w:line="240" w:lineRule="auto"/>
        <w:ind w:left="567" w:hanging="567"/>
        <w:rPr>
          <w:color w:val="000000"/>
          <w:lang w:val="bg-BG"/>
        </w:rPr>
      </w:pPr>
      <w:r w:rsidRPr="00FE6AC6">
        <w:rPr>
          <w:color w:val="000000"/>
          <w:lang w:val="bg-BG"/>
        </w:rPr>
        <w:t xml:space="preserve">Пациентите, които се притесняват относно фертилитета си, по време на приема на </w:t>
      </w:r>
      <w:r w:rsidRPr="00FE6AC6">
        <w:rPr>
          <w:color w:val="000000"/>
          <w:lang w:val="en-US"/>
        </w:rPr>
        <w:t>Glivec</w:t>
      </w:r>
      <w:r w:rsidRPr="00FE6AC6">
        <w:rPr>
          <w:color w:val="000000"/>
          <w:lang w:val="bg-BG"/>
        </w:rPr>
        <w:t>, се препоръчва да се консултират с техния лекуващ лекар.</w:t>
      </w:r>
    </w:p>
    <w:p w14:paraId="3E550CF0" w14:textId="77777777" w:rsidR="001348DB" w:rsidRPr="00FE6AC6" w:rsidRDefault="001348DB" w:rsidP="0063575E">
      <w:pPr>
        <w:widowControl w:val="0"/>
        <w:numPr>
          <w:ilvl w:val="12"/>
          <w:numId w:val="0"/>
        </w:numPr>
        <w:spacing w:line="240" w:lineRule="auto"/>
        <w:ind w:right="-2"/>
        <w:outlineLvl w:val="0"/>
        <w:rPr>
          <w:color w:val="000000"/>
          <w:lang w:val="bg-BG"/>
        </w:rPr>
      </w:pPr>
    </w:p>
    <w:p w14:paraId="3E550CF1" w14:textId="77777777" w:rsidR="001348DB" w:rsidRPr="00FE6AC6" w:rsidRDefault="001348DB" w:rsidP="0063575E">
      <w:pPr>
        <w:keepNext/>
        <w:widowControl w:val="0"/>
        <w:numPr>
          <w:ilvl w:val="12"/>
          <w:numId w:val="0"/>
        </w:numPr>
        <w:spacing w:line="240" w:lineRule="auto"/>
        <w:ind w:right="-2"/>
        <w:outlineLvl w:val="0"/>
        <w:rPr>
          <w:color w:val="000000"/>
          <w:lang w:val="bg-BG"/>
        </w:rPr>
      </w:pPr>
      <w:r w:rsidRPr="00FE6AC6">
        <w:rPr>
          <w:b/>
          <w:color w:val="000000"/>
          <w:lang w:val="bg-BG"/>
        </w:rPr>
        <w:t>Шофиране и работа с машини</w:t>
      </w:r>
    </w:p>
    <w:p w14:paraId="3E550CF2" w14:textId="77777777" w:rsidR="001348DB" w:rsidRPr="00FE6AC6" w:rsidRDefault="001348DB" w:rsidP="0063575E">
      <w:pPr>
        <w:widowControl w:val="0"/>
        <w:numPr>
          <w:ilvl w:val="12"/>
          <w:numId w:val="0"/>
        </w:numPr>
        <w:spacing w:line="240" w:lineRule="auto"/>
        <w:rPr>
          <w:color w:val="000000"/>
          <w:lang w:val="bg-BG"/>
        </w:rPr>
      </w:pPr>
      <w:r w:rsidRPr="00FE6AC6">
        <w:rPr>
          <w:color w:val="000000"/>
          <w:lang w:val="bg-BG"/>
        </w:rPr>
        <w:t>Възможно е да почувствате замаяност или сънливост или да получите замъгляване на зрението</w:t>
      </w:r>
      <w:r w:rsidR="00D16A08" w:rsidRPr="00FE6AC6">
        <w:rPr>
          <w:color w:val="000000"/>
          <w:lang w:val="bg-BG"/>
        </w:rPr>
        <w:t>,</w:t>
      </w:r>
      <w:r w:rsidRPr="00FE6AC6">
        <w:rPr>
          <w:color w:val="000000"/>
          <w:lang w:val="bg-BG"/>
        </w:rPr>
        <w:t xml:space="preserve"> докато приемате това лекарство. Ако това се случи, н</w:t>
      </w:r>
      <w:r w:rsidRPr="00FE6AC6">
        <w:rPr>
          <w:noProof/>
          <w:color w:val="000000"/>
          <w:lang w:val="bg-BG"/>
        </w:rPr>
        <w:t>е шофирайте и не използвайте никакви инструменти или машини, докато не се почувствате отново добре</w:t>
      </w:r>
      <w:r w:rsidRPr="00FE6AC6">
        <w:rPr>
          <w:color w:val="000000"/>
          <w:lang w:val="bg-BG"/>
        </w:rPr>
        <w:t>.</w:t>
      </w:r>
    </w:p>
    <w:p w14:paraId="3E550CF3" w14:textId="77777777" w:rsidR="001348DB" w:rsidRPr="00FE6AC6" w:rsidRDefault="001348DB" w:rsidP="0063575E">
      <w:pPr>
        <w:widowControl w:val="0"/>
        <w:numPr>
          <w:ilvl w:val="12"/>
          <w:numId w:val="0"/>
        </w:numPr>
        <w:spacing w:line="240" w:lineRule="auto"/>
        <w:ind w:right="-2"/>
        <w:rPr>
          <w:color w:val="000000"/>
          <w:lang w:val="bg-BG"/>
        </w:rPr>
      </w:pPr>
    </w:p>
    <w:p w14:paraId="3E550CF4" w14:textId="77777777" w:rsidR="001348DB" w:rsidRPr="00FE6AC6" w:rsidRDefault="001348DB" w:rsidP="0063575E">
      <w:pPr>
        <w:widowControl w:val="0"/>
        <w:numPr>
          <w:ilvl w:val="12"/>
          <w:numId w:val="0"/>
        </w:numPr>
        <w:spacing w:line="240" w:lineRule="auto"/>
        <w:ind w:right="-2"/>
        <w:rPr>
          <w:color w:val="000000"/>
          <w:lang w:val="bg-BG"/>
        </w:rPr>
      </w:pPr>
    </w:p>
    <w:p w14:paraId="3E550CF5" w14:textId="77777777" w:rsidR="00426F49" w:rsidRPr="00FE6AC6" w:rsidRDefault="00426F49" w:rsidP="0063575E">
      <w:pPr>
        <w:keepNext/>
        <w:widowControl w:val="0"/>
        <w:tabs>
          <w:tab w:val="clear" w:pos="567"/>
        </w:tabs>
        <w:spacing w:line="240" w:lineRule="auto"/>
        <w:ind w:right="-2"/>
        <w:rPr>
          <w:b/>
          <w:color w:val="000000"/>
          <w:lang w:val="bg-BG"/>
        </w:rPr>
      </w:pPr>
      <w:r w:rsidRPr="00FE6AC6">
        <w:rPr>
          <w:b/>
          <w:color w:val="000000"/>
          <w:lang w:val="bg-BG"/>
        </w:rPr>
        <w:t>3.</w:t>
      </w:r>
      <w:r w:rsidRPr="00FE6AC6">
        <w:rPr>
          <w:b/>
          <w:color w:val="000000"/>
          <w:lang w:val="bg-BG"/>
        </w:rPr>
        <w:tab/>
      </w:r>
      <w:r w:rsidR="001D5414" w:rsidRPr="00FE6AC6">
        <w:rPr>
          <w:b/>
          <w:noProof/>
          <w:szCs w:val="24"/>
          <w:lang w:val="bg-BG"/>
        </w:rPr>
        <w:t>Как да приемате</w:t>
      </w:r>
      <w:r w:rsidR="001D5414" w:rsidRPr="00FE6AC6">
        <w:rPr>
          <w:b/>
          <w:color w:val="000000"/>
          <w:lang w:val="bg-BG"/>
        </w:rPr>
        <w:t xml:space="preserve"> </w:t>
      </w:r>
      <w:r w:rsidR="001D5414" w:rsidRPr="00FE6AC6">
        <w:rPr>
          <w:b/>
          <w:noProof/>
          <w:color w:val="000000"/>
          <w:lang w:val="en-US"/>
        </w:rPr>
        <w:t>Glivec</w:t>
      </w:r>
    </w:p>
    <w:p w14:paraId="3E550CF6" w14:textId="77777777" w:rsidR="00426F49" w:rsidRPr="00FE6AC6" w:rsidRDefault="00426F49" w:rsidP="0063575E">
      <w:pPr>
        <w:keepNext/>
        <w:widowControl w:val="0"/>
        <w:tabs>
          <w:tab w:val="clear" w:pos="567"/>
        </w:tabs>
        <w:spacing w:line="240" w:lineRule="auto"/>
        <w:ind w:right="-2"/>
        <w:rPr>
          <w:color w:val="000000"/>
          <w:lang w:val="bg-BG"/>
        </w:rPr>
      </w:pPr>
    </w:p>
    <w:p w14:paraId="3E550CF7" w14:textId="77777777" w:rsidR="00426F49" w:rsidRPr="00FE6AC6" w:rsidRDefault="00426F49" w:rsidP="0063575E">
      <w:pPr>
        <w:widowControl w:val="0"/>
        <w:tabs>
          <w:tab w:val="clear" w:pos="567"/>
        </w:tabs>
        <w:spacing w:line="240" w:lineRule="auto"/>
        <w:ind w:right="-2"/>
        <w:rPr>
          <w:noProof/>
          <w:color w:val="000000"/>
          <w:lang w:val="bg-BG"/>
        </w:rPr>
      </w:pPr>
      <w:r w:rsidRPr="00FE6AC6">
        <w:rPr>
          <w:noProof/>
          <w:color w:val="000000"/>
          <w:lang w:val="bg-BG"/>
        </w:rPr>
        <w:t xml:space="preserve">Вашият лекар Ви е предписал </w:t>
      </w:r>
      <w:r w:rsidRPr="00FE6AC6">
        <w:rPr>
          <w:noProof/>
          <w:color w:val="000000"/>
          <w:lang w:val="en-US"/>
        </w:rPr>
        <w:t>Glivec</w:t>
      </w:r>
      <w:r w:rsidRPr="00FE6AC6">
        <w:rPr>
          <w:noProof/>
          <w:color w:val="000000"/>
          <w:lang w:val="bg-BG"/>
        </w:rPr>
        <w:t xml:space="preserve">, защото страдате от сериозно заболяване. </w:t>
      </w:r>
      <w:r w:rsidRPr="00FE6AC6">
        <w:rPr>
          <w:noProof/>
          <w:color w:val="000000"/>
          <w:lang w:val="en-US"/>
        </w:rPr>
        <w:t>Glivec</w:t>
      </w:r>
      <w:r w:rsidRPr="00FE6AC6">
        <w:rPr>
          <w:noProof/>
          <w:color w:val="000000"/>
          <w:lang w:val="bg-BG"/>
        </w:rPr>
        <w:t xml:space="preserve"> може да Ви помогне да се преборите с това заболяване.</w:t>
      </w:r>
    </w:p>
    <w:p w14:paraId="3E550CF8" w14:textId="77777777" w:rsidR="00426F49" w:rsidRPr="00FE6AC6" w:rsidRDefault="00426F49" w:rsidP="0063575E">
      <w:pPr>
        <w:widowControl w:val="0"/>
        <w:tabs>
          <w:tab w:val="clear" w:pos="567"/>
        </w:tabs>
        <w:spacing w:line="240" w:lineRule="auto"/>
        <w:ind w:right="-2"/>
        <w:rPr>
          <w:noProof/>
          <w:color w:val="000000"/>
          <w:lang w:val="bg-BG"/>
        </w:rPr>
      </w:pPr>
    </w:p>
    <w:p w14:paraId="3E550CF9" w14:textId="77777777" w:rsidR="00426F49" w:rsidRPr="00FE6AC6" w:rsidRDefault="00426F49" w:rsidP="0063575E">
      <w:pPr>
        <w:widowControl w:val="0"/>
        <w:tabs>
          <w:tab w:val="clear" w:pos="567"/>
        </w:tabs>
        <w:spacing w:line="240" w:lineRule="auto"/>
        <w:ind w:right="-2"/>
        <w:rPr>
          <w:color w:val="000000"/>
          <w:lang w:val="bg-BG"/>
        </w:rPr>
      </w:pPr>
      <w:r w:rsidRPr="00FE6AC6">
        <w:rPr>
          <w:noProof/>
          <w:color w:val="000000"/>
          <w:lang w:val="bg-BG"/>
        </w:rPr>
        <w:t xml:space="preserve">Ето защо, винаги приемайте </w:t>
      </w:r>
      <w:r w:rsidR="001D5414" w:rsidRPr="00FE6AC6">
        <w:rPr>
          <w:noProof/>
          <w:color w:val="000000"/>
          <w:lang w:val="bg-BG"/>
        </w:rPr>
        <w:t>това лекарство</w:t>
      </w:r>
      <w:r w:rsidRPr="00FE6AC6">
        <w:rPr>
          <w:noProof/>
          <w:color w:val="000000"/>
          <w:lang w:val="bg-BG"/>
        </w:rPr>
        <w:t xml:space="preserve"> точно както Ви е казал Вашият лекар</w:t>
      </w:r>
      <w:r w:rsidR="001D5414" w:rsidRPr="00FE6AC6">
        <w:rPr>
          <w:noProof/>
          <w:color w:val="000000"/>
          <w:lang w:val="bg-BG"/>
        </w:rPr>
        <w:t xml:space="preserve"> или фармацевт</w:t>
      </w:r>
      <w:r w:rsidRPr="00FE6AC6">
        <w:rPr>
          <w:noProof/>
          <w:color w:val="000000"/>
          <w:lang w:val="bg-BG"/>
        </w:rPr>
        <w:t>. Важно е да го правите толкова дълго, колкото Ви е казал Вашият лекар</w:t>
      </w:r>
      <w:r w:rsidR="001D5414" w:rsidRPr="00FE6AC6">
        <w:rPr>
          <w:noProof/>
          <w:color w:val="000000"/>
          <w:lang w:val="bg-BG"/>
        </w:rPr>
        <w:t xml:space="preserve"> или фармацевт</w:t>
      </w:r>
      <w:r w:rsidRPr="00FE6AC6">
        <w:rPr>
          <w:noProof/>
          <w:color w:val="000000"/>
          <w:lang w:val="bg-BG"/>
        </w:rPr>
        <w:t>. Ако не сте сигурни в нещо, попитайте Вашия лекар или фармацевт</w:t>
      </w:r>
      <w:r w:rsidRPr="00FE6AC6">
        <w:rPr>
          <w:color w:val="000000"/>
          <w:lang w:val="bg-BG"/>
        </w:rPr>
        <w:t>.</w:t>
      </w:r>
    </w:p>
    <w:p w14:paraId="3E550CFA" w14:textId="77777777" w:rsidR="00426F49" w:rsidRPr="00FE6AC6" w:rsidRDefault="00426F49" w:rsidP="0063575E">
      <w:pPr>
        <w:widowControl w:val="0"/>
        <w:numPr>
          <w:ilvl w:val="12"/>
          <w:numId w:val="0"/>
        </w:numPr>
        <w:spacing w:line="240" w:lineRule="auto"/>
        <w:ind w:right="-2"/>
        <w:rPr>
          <w:color w:val="000000"/>
          <w:lang w:val="ru-RU"/>
        </w:rPr>
      </w:pPr>
    </w:p>
    <w:p w14:paraId="3E550CFB" w14:textId="77777777" w:rsidR="00426F49" w:rsidRPr="00FE6AC6" w:rsidRDefault="00426F49" w:rsidP="0063575E">
      <w:pPr>
        <w:widowControl w:val="0"/>
        <w:numPr>
          <w:ilvl w:val="12"/>
          <w:numId w:val="0"/>
        </w:numPr>
        <w:spacing w:line="240" w:lineRule="auto"/>
        <w:ind w:right="-2"/>
        <w:rPr>
          <w:color w:val="000000"/>
          <w:lang w:val="bg-BG"/>
        </w:rPr>
      </w:pPr>
      <w:r w:rsidRPr="00FE6AC6">
        <w:rPr>
          <w:color w:val="000000"/>
          <w:lang w:val="bg-BG"/>
        </w:rPr>
        <w:t xml:space="preserve">Не спирайте приема на </w:t>
      </w:r>
      <w:r w:rsidRPr="00FE6AC6">
        <w:rPr>
          <w:color w:val="000000"/>
          <w:lang w:val="en-US"/>
        </w:rPr>
        <w:t>Glivec</w:t>
      </w:r>
      <w:r w:rsidRPr="00FE6AC6">
        <w:rPr>
          <w:color w:val="000000"/>
          <w:lang w:val="bg-BG"/>
        </w:rPr>
        <w:t>, докато Вашият лекар не Ви каже да го направите. Ако нямате възможност да приемате лекарството, както Ви е казал Вашият лекар или почувствате, че вече не се нуждаете от него, свържете се с Вашия лекар незабавно.</w:t>
      </w:r>
    </w:p>
    <w:p w14:paraId="3E550CFC" w14:textId="77777777" w:rsidR="00426F49" w:rsidRPr="00FE6AC6" w:rsidRDefault="00426F49" w:rsidP="0063575E">
      <w:pPr>
        <w:widowControl w:val="0"/>
        <w:numPr>
          <w:ilvl w:val="12"/>
          <w:numId w:val="0"/>
        </w:numPr>
        <w:spacing w:line="240" w:lineRule="auto"/>
        <w:ind w:right="-2"/>
        <w:rPr>
          <w:color w:val="000000"/>
          <w:lang w:val="bg-BG"/>
        </w:rPr>
      </w:pPr>
    </w:p>
    <w:p w14:paraId="3E550CFD" w14:textId="77777777" w:rsidR="00426F49" w:rsidRPr="00FE6AC6" w:rsidRDefault="00426F49" w:rsidP="0063575E">
      <w:pPr>
        <w:pStyle w:val="Text"/>
        <w:keepNext/>
        <w:widowControl w:val="0"/>
        <w:spacing w:before="0"/>
        <w:jc w:val="left"/>
        <w:rPr>
          <w:color w:val="000000"/>
          <w:sz w:val="22"/>
          <w:lang w:val="bg-BG"/>
        </w:rPr>
      </w:pPr>
      <w:r w:rsidRPr="00FE6AC6">
        <w:rPr>
          <w:b/>
          <w:color w:val="000000"/>
          <w:sz w:val="22"/>
          <w:lang w:val="bg-BG"/>
        </w:rPr>
        <w:t>Колко</w:t>
      </w:r>
      <w:r w:rsidR="001D5414" w:rsidRPr="00FE6AC6">
        <w:rPr>
          <w:b/>
          <w:color w:val="000000"/>
          <w:sz w:val="22"/>
          <w:szCs w:val="22"/>
          <w:lang w:val="bg-BG"/>
        </w:rPr>
        <w:t xml:space="preserve"> </w:t>
      </w:r>
      <w:r w:rsidR="001D5414" w:rsidRPr="00FE6AC6">
        <w:rPr>
          <w:b/>
          <w:color w:val="000000"/>
          <w:sz w:val="22"/>
          <w:szCs w:val="22"/>
        </w:rPr>
        <w:t>Glivec</w:t>
      </w:r>
      <w:r w:rsidRPr="00FE6AC6">
        <w:rPr>
          <w:b/>
          <w:color w:val="000000"/>
          <w:sz w:val="22"/>
          <w:szCs w:val="22"/>
          <w:lang w:val="bg-BG"/>
        </w:rPr>
        <w:t xml:space="preserve"> </w:t>
      </w:r>
      <w:r w:rsidRPr="00FE6AC6">
        <w:rPr>
          <w:b/>
          <w:color w:val="000000"/>
          <w:sz w:val="22"/>
          <w:lang w:val="bg-BG"/>
        </w:rPr>
        <w:t>да приемате</w:t>
      </w:r>
    </w:p>
    <w:p w14:paraId="3E550CFE" w14:textId="77777777" w:rsidR="00426F49" w:rsidRPr="00FE6AC6" w:rsidRDefault="00426F49" w:rsidP="0063575E">
      <w:pPr>
        <w:pStyle w:val="Text"/>
        <w:keepNext/>
        <w:widowControl w:val="0"/>
        <w:spacing w:before="0"/>
        <w:jc w:val="left"/>
        <w:rPr>
          <w:color w:val="000000"/>
          <w:sz w:val="22"/>
          <w:lang w:val="bg-BG"/>
        </w:rPr>
      </w:pPr>
    </w:p>
    <w:p w14:paraId="3E550CFF" w14:textId="77777777" w:rsidR="00426F49" w:rsidRPr="00FE6AC6" w:rsidRDefault="00426F49" w:rsidP="0063575E">
      <w:pPr>
        <w:pStyle w:val="Text"/>
        <w:keepNext/>
        <w:widowControl w:val="0"/>
        <w:spacing w:before="0"/>
        <w:jc w:val="left"/>
        <w:rPr>
          <w:b/>
          <w:color w:val="000000"/>
          <w:sz w:val="22"/>
          <w:lang w:val="bg-BG"/>
        </w:rPr>
      </w:pPr>
      <w:r w:rsidRPr="00FE6AC6">
        <w:rPr>
          <w:b/>
          <w:color w:val="000000"/>
          <w:sz w:val="22"/>
          <w:lang w:val="bg-BG"/>
        </w:rPr>
        <w:t>Употреба при възрастни</w:t>
      </w:r>
    </w:p>
    <w:p w14:paraId="3E550D00" w14:textId="77777777" w:rsidR="00426F49" w:rsidRPr="00FE6AC6" w:rsidRDefault="00426F49" w:rsidP="0063575E">
      <w:pPr>
        <w:pStyle w:val="Text"/>
        <w:widowControl w:val="0"/>
        <w:spacing w:before="0"/>
        <w:jc w:val="left"/>
        <w:rPr>
          <w:color w:val="000000"/>
          <w:sz w:val="22"/>
          <w:lang w:val="bg-BG"/>
        </w:rPr>
      </w:pPr>
      <w:r w:rsidRPr="00FE6AC6">
        <w:rPr>
          <w:color w:val="000000"/>
          <w:sz w:val="22"/>
          <w:lang w:val="bg-BG"/>
        </w:rPr>
        <w:t xml:space="preserve">Вашият лекар ще Ви каже точно колко таблетки </w:t>
      </w:r>
      <w:r w:rsidRPr="00FE6AC6">
        <w:rPr>
          <w:color w:val="000000"/>
          <w:sz w:val="22"/>
          <w:lang w:val="en-GB"/>
        </w:rPr>
        <w:t>Glivec</w:t>
      </w:r>
      <w:r w:rsidRPr="00FE6AC6">
        <w:rPr>
          <w:color w:val="000000"/>
          <w:sz w:val="22"/>
          <w:lang w:val="bg-BG"/>
        </w:rPr>
        <w:t xml:space="preserve"> да приемате.</w:t>
      </w:r>
    </w:p>
    <w:p w14:paraId="3E550D01" w14:textId="77777777" w:rsidR="00426F49" w:rsidRPr="00FE6AC6" w:rsidRDefault="00426F49" w:rsidP="0063575E">
      <w:pPr>
        <w:pStyle w:val="Text"/>
        <w:widowControl w:val="0"/>
        <w:spacing w:before="0"/>
        <w:jc w:val="left"/>
        <w:rPr>
          <w:color w:val="000000"/>
          <w:sz w:val="22"/>
          <w:lang w:val="bg-BG"/>
        </w:rPr>
      </w:pPr>
    </w:p>
    <w:p w14:paraId="3E550D02" w14:textId="77777777" w:rsidR="00426F49" w:rsidRPr="00FE6AC6" w:rsidRDefault="00426F49" w:rsidP="0063575E">
      <w:pPr>
        <w:pStyle w:val="Text"/>
        <w:keepNext/>
        <w:widowControl w:val="0"/>
        <w:numPr>
          <w:ilvl w:val="0"/>
          <w:numId w:val="32"/>
        </w:numPr>
        <w:tabs>
          <w:tab w:val="clear" w:pos="1128"/>
          <w:tab w:val="num" w:pos="567"/>
        </w:tabs>
        <w:spacing w:before="0"/>
        <w:ind w:left="567" w:hanging="567"/>
        <w:jc w:val="left"/>
        <w:rPr>
          <w:color w:val="000000"/>
          <w:sz w:val="22"/>
          <w:lang w:val="bg-BG"/>
        </w:rPr>
      </w:pPr>
      <w:r w:rsidRPr="00FE6AC6">
        <w:rPr>
          <w:b/>
          <w:color w:val="000000"/>
          <w:sz w:val="22"/>
          <w:lang w:val="bg-BG"/>
        </w:rPr>
        <w:t>Ако се лекувате за ХМЛ:</w:t>
      </w:r>
    </w:p>
    <w:p w14:paraId="3E550D03" w14:textId="046ED1FB" w:rsidR="00426F49" w:rsidRPr="00FE6AC6" w:rsidRDefault="00426F49" w:rsidP="009A0A88">
      <w:pPr>
        <w:pStyle w:val="Text"/>
        <w:keepNext/>
        <w:widowControl w:val="0"/>
        <w:spacing w:before="0"/>
        <w:ind w:left="540" w:firstLine="27"/>
        <w:jc w:val="left"/>
        <w:rPr>
          <w:color w:val="000000"/>
          <w:sz w:val="22"/>
          <w:lang w:val="bg-BG"/>
        </w:rPr>
      </w:pPr>
      <w:r w:rsidRPr="00FE6AC6">
        <w:rPr>
          <w:color w:val="000000"/>
          <w:sz w:val="22"/>
          <w:lang w:val="bg-BG"/>
        </w:rPr>
        <w:t xml:space="preserve">В зависимост от Вашето състояние, обичайната начална доза е </w:t>
      </w:r>
      <w:r w:rsidRPr="00697CEB">
        <w:rPr>
          <w:b/>
          <w:bCs/>
          <w:color w:val="000000"/>
          <w:sz w:val="22"/>
          <w:lang w:val="bg-BG"/>
        </w:rPr>
        <w:t>400 mg</w:t>
      </w:r>
      <w:r w:rsidRPr="00FE6AC6">
        <w:rPr>
          <w:color w:val="000000"/>
          <w:sz w:val="22"/>
          <w:lang w:val="bg-BG"/>
        </w:rPr>
        <w:t xml:space="preserve"> или </w:t>
      </w:r>
      <w:r w:rsidRPr="00697CEB">
        <w:rPr>
          <w:b/>
          <w:bCs/>
          <w:color w:val="000000"/>
          <w:sz w:val="22"/>
          <w:lang w:val="bg-BG"/>
        </w:rPr>
        <w:t>600 mg</w:t>
      </w:r>
      <w:r w:rsidR="00573AAE">
        <w:rPr>
          <w:color w:val="000000"/>
          <w:sz w:val="22"/>
          <w:lang w:val="bg-BG"/>
        </w:rPr>
        <w:t xml:space="preserve">, които се приемат </w:t>
      </w:r>
      <w:r w:rsidR="00573AAE" w:rsidRPr="00697CEB">
        <w:rPr>
          <w:b/>
          <w:bCs/>
          <w:color w:val="000000"/>
          <w:sz w:val="22"/>
          <w:lang w:val="bg-BG"/>
        </w:rPr>
        <w:t>веднъж</w:t>
      </w:r>
      <w:r w:rsidR="00573AAE">
        <w:rPr>
          <w:color w:val="000000"/>
          <w:sz w:val="22"/>
          <w:lang w:val="bg-BG"/>
        </w:rPr>
        <w:t xml:space="preserve"> дневно.</w:t>
      </w:r>
    </w:p>
    <w:p w14:paraId="3E550D06" w14:textId="77777777" w:rsidR="00426F49" w:rsidRPr="00FE6AC6" w:rsidRDefault="00426F49" w:rsidP="0063575E">
      <w:pPr>
        <w:pStyle w:val="Text"/>
        <w:widowControl w:val="0"/>
        <w:spacing w:before="0"/>
        <w:jc w:val="left"/>
        <w:rPr>
          <w:color w:val="000000"/>
          <w:sz w:val="22"/>
          <w:lang w:val="bg-BG"/>
        </w:rPr>
      </w:pPr>
    </w:p>
    <w:p w14:paraId="3E550D07" w14:textId="77777777" w:rsidR="00426F49" w:rsidRPr="00FE6AC6" w:rsidRDefault="00426F49" w:rsidP="0063575E">
      <w:pPr>
        <w:pStyle w:val="Text"/>
        <w:keepNext/>
        <w:widowControl w:val="0"/>
        <w:numPr>
          <w:ilvl w:val="1"/>
          <w:numId w:val="9"/>
        </w:numPr>
        <w:tabs>
          <w:tab w:val="clear" w:pos="1695"/>
          <w:tab w:val="num" w:pos="567"/>
        </w:tabs>
        <w:spacing w:before="0"/>
        <w:ind w:left="567" w:hanging="567"/>
        <w:jc w:val="left"/>
        <w:rPr>
          <w:color w:val="000000"/>
          <w:sz w:val="22"/>
          <w:lang w:val="bg-BG"/>
        </w:rPr>
      </w:pPr>
      <w:r w:rsidRPr="00FE6AC6">
        <w:rPr>
          <w:b/>
          <w:color w:val="000000"/>
          <w:sz w:val="22"/>
          <w:lang w:val="bg-BG"/>
        </w:rPr>
        <w:t>Ако се лекувате за ГИСТ:</w:t>
      </w:r>
    </w:p>
    <w:p w14:paraId="3E550D08" w14:textId="71AB84B3" w:rsidR="00426F49" w:rsidRPr="00FE6AC6" w:rsidRDefault="00426F49" w:rsidP="0063575E">
      <w:pPr>
        <w:pStyle w:val="Text"/>
        <w:widowControl w:val="0"/>
        <w:spacing w:before="0"/>
        <w:ind w:left="567"/>
        <w:jc w:val="left"/>
        <w:rPr>
          <w:color w:val="000000"/>
          <w:sz w:val="22"/>
          <w:lang w:val="bg-BG"/>
        </w:rPr>
      </w:pPr>
      <w:r w:rsidRPr="00FE6AC6">
        <w:rPr>
          <w:color w:val="000000"/>
          <w:sz w:val="22"/>
          <w:lang w:val="bg-BG"/>
        </w:rPr>
        <w:t>Началната доза е</w:t>
      </w:r>
      <w:r w:rsidR="00CF77BC" w:rsidRPr="004015AA">
        <w:rPr>
          <w:color w:val="000000"/>
          <w:sz w:val="22"/>
          <w:lang w:val="bg-BG"/>
        </w:rPr>
        <w:t xml:space="preserve"> </w:t>
      </w:r>
      <w:r w:rsidRPr="00FE6AC6">
        <w:rPr>
          <w:color w:val="000000"/>
          <w:sz w:val="22"/>
          <w:lang w:val="bg-BG"/>
        </w:rPr>
        <w:t>400 </w:t>
      </w:r>
      <w:r w:rsidRPr="00FE6AC6">
        <w:rPr>
          <w:color w:val="000000"/>
          <w:sz w:val="22"/>
        </w:rPr>
        <w:t>mg</w:t>
      </w:r>
      <w:r w:rsidRPr="00FE6AC6">
        <w:rPr>
          <w:color w:val="000000"/>
          <w:sz w:val="22"/>
          <w:lang w:val="bg-BG"/>
        </w:rPr>
        <w:t xml:space="preserve">, които се приемат </w:t>
      </w:r>
      <w:r w:rsidRPr="00FE6AC6">
        <w:rPr>
          <w:b/>
          <w:color w:val="000000"/>
          <w:sz w:val="22"/>
          <w:lang w:val="bg-BG"/>
        </w:rPr>
        <w:t>веднъж</w:t>
      </w:r>
      <w:r w:rsidRPr="00FE6AC6">
        <w:rPr>
          <w:color w:val="000000"/>
          <w:sz w:val="22"/>
          <w:lang w:val="bg-BG"/>
        </w:rPr>
        <w:t xml:space="preserve"> дневно.</w:t>
      </w:r>
    </w:p>
    <w:p w14:paraId="3E550D09" w14:textId="77777777" w:rsidR="00426F49" w:rsidRPr="00FE6AC6" w:rsidRDefault="00426F49" w:rsidP="0063575E">
      <w:pPr>
        <w:pStyle w:val="Text"/>
        <w:widowControl w:val="0"/>
        <w:spacing w:before="0"/>
        <w:jc w:val="left"/>
        <w:rPr>
          <w:color w:val="000000"/>
          <w:sz w:val="22"/>
          <w:lang w:val="bg-BG"/>
        </w:rPr>
      </w:pPr>
    </w:p>
    <w:p w14:paraId="3E550D0A" w14:textId="41808178" w:rsidR="00426F49" w:rsidRPr="00FE6AC6" w:rsidRDefault="00426F49" w:rsidP="0063575E">
      <w:pPr>
        <w:pStyle w:val="Text"/>
        <w:widowControl w:val="0"/>
        <w:spacing w:before="0"/>
        <w:jc w:val="left"/>
        <w:rPr>
          <w:color w:val="000000"/>
          <w:sz w:val="22"/>
          <w:lang w:val="bg-BG"/>
        </w:rPr>
      </w:pPr>
      <w:r w:rsidRPr="00FE6AC6">
        <w:rPr>
          <w:color w:val="000000"/>
          <w:sz w:val="22"/>
          <w:lang w:val="bg-BG"/>
        </w:rPr>
        <w:t>При лечение на ХМЛ и ГИСТ, Вашият лекар може да Ви предпише по-висока или по-ниска доза</w:t>
      </w:r>
      <w:r w:rsidRPr="00FE6AC6">
        <w:rPr>
          <w:color w:val="000000"/>
          <w:lang w:val="bg-BG"/>
        </w:rPr>
        <w:t xml:space="preserve">, </w:t>
      </w:r>
      <w:r w:rsidRPr="00FE6AC6">
        <w:rPr>
          <w:color w:val="000000"/>
          <w:sz w:val="22"/>
          <w:lang w:val="bg-BG"/>
        </w:rPr>
        <w:t>в зависимост от това как се повлиявате от лечението. Ако Вашата доза е 800</w:t>
      </w:r>
      <w:r w:rsidRPr="00FE6AC6">
        <w:rPr>
          <w:color w:val="000000"/>
          <w:sz w:val="22"/>
          <w:lang w:val="en-GB"/>
        </w:rPr>
        <w:t> mg</w:t>
      </w:r>
      <w:r w:rsidRPr="00FE6AC6">
        <w:rPr>
          <w:color w:val="000000"/>
          <w:sz w:val="22"/>
          <w:lang w:val="bg-BG"/>
        </w:rPr>
        <w:t xml:space="preserve">, трябва да приемате </w:t>
      </w:r>
      <w:r w:rsidR="00573AAE" w:rsidRPr="00697CEB">
        <w:rPr>
          <w:color w:val="000000"/>
          <w:sz w:val="22"/>
          <w:lang w:val="bg-BG"/>
        </w:rPr>
        <w:t>400</w:t>
      </w:r>
      <w:r w:rsidR="006033B4">
        <w:rPr>
          <w:color w:val="000000"/>
          <w:sz w:val="22"/>
          <w:szCs w:val="22"/>
          <w:lang w:val="en-GB"/>
        </w:rPr>
        <w:t> </w:t>
      </w:r>
      <w:r w:rsidR="00573AAE">
        <w:rPr>
          <w:color w:val="000000"/>
          <w:sz w:val="22"/>
        </w:rPr>
        <w:t>mg</w:t>
      </w:r>
      <w:r w:rsidRPr="00FE6AC6">
        <w:rPr>
          <w:color w:val="000000"/>
          <w:sz w:val="22"/>
          <w:lang w:val="bg-BG"/>
        </w:rPr>
        <w:t xml:space="preserve"> сутрин и </w:t>
      </w:r>
      <w:r w:rsidR="00573AAE" w:rsidRPr="004015AA">
        <w:rPr>
          <w:color w:val="000000"/>
          <w:sz w:val="22"/>
          <w:lang w:val="bg-BG"/>
        </w:rPr>
        <w:t>400</w:t>
      </w:r>
      <w:r w:rsidR="006033B4">
        <w:rPr>
          <w:color w:val="000000"/>
          <w:sz w:val="22"/>
          <w:szCs w:val="22"/>
          <w:lang w:val="en-GB"/>
        </w:rPr>
        <w:t> </w:t>
      </w:r>
      <w:r w:rsidR="00573AAE">
        <w:rPr>
          <w:color w:val="000000"/>
          <w:sz w:val="22"/>
        </w:rPr>
        <w:t>mg</w:t>
      </w:r>
      <w:r w:rsidRPr="00FE6AC6">
        <w:rPr>
          <w:color w:val="000000"/>
          <w:sz w:val="22"/>
          <w:lang w:val="bg-BG"/>
        </w:rPr>
        <w:t xml:space="preserve"> вечер.</w:t>
      </w:r>
    </w:p>
    <w:p w14:paraId="3E550D0B" w14:textId="77777777" w:rsidR="00426F49" w:rsidRPr="00FE6AC6" w:rsidRDefault="00426F49" w:rsidP="0063575E">
      <w:pPr>
        <w:pStyle w:val="Listlevel1"/>
        <w:widowControl w:val="0"/>
        <w:spacing w:before="0" w:after="0"/>
        <w:ind w:left="0" w:firstLine="0"/>
        <w:rPr>
          <w:color w:val="000000"/>
          <w:sz w:val="22"/>
          <w:lang w:val="bg-BG"/>
        </w:rPr>
      </w:pPr>
    </w:p>
    <w:p w14:paraId="3E550D0C" w14:textId="77777777" w:rsidR="00426F49" w:rsidRPr="00FE6AC6" w:rsidRDefault="00426F49" w:rsidP="0063575E">
      <w:pPr>
        <w:pStyle w:val="Listlevel1"/>
        <w:keepNext/>
        <w:widowControl w:val="0"/>
        <w:numPr>
          <w:ilvl w:val="0"/>
          <w:numId w:val="33"/>
        </w:numPr>
        <w:tabs>
          <w:tab w:val="clear" w:pos="1128"/>
          <w:tab w:val="num" w:pos="567"/>
        </w:tabs>
        <w:spacing w:before="0" w:after="0"/>
        <w:ind w:left="567" w:hanging="567"/>
        <w:rPr>
          <w:color w:val="000000"/>
          <w:sz w:val="22"/>
          <w:lang w:val="bg-BG"/>
        </w:rPr>
      </w:pPr>
      <w:r w:rsidRPr="00FE6AC6">
        <w:rPr>
          <w:b/>
          <w:color w:val="000000"/>
          <w:sz w:val="22"/>
          <w:lang w:val="bg-BG"/>
        </w:rPr>
        <w:t xml:space="preserve">Ако се лекувате за </w:t>
      </w:r>
      <w:r w:rsidRPr="00FE6AC6">
        <w:rPr>
          <w:b/>
          <w:color w:val="000000"/>
          <w:sz w:val="22"/>
        </w:rPr>
        <w:t>Ph</w:t>
      </w:r>
      <w:r w:rsidRPr="00FE6AC6">
        <w:rPr>
          <w:b/>
          <w:color w:val="000000"/>
          <w:sz w:val="22"/>
          <w:lang w:val="ru-RU"/>
        </w:rPr>
        <w:t>-положителна ОЛЛ:</w:t>
      </w:r>
    </w:p>
    <w:p w14:paraId="3E550D0D" w14:textId="79F39E80" w:rsidR="00426F49" w:rsidRPr="00FE6AC6" w:rsidRDefault="00426F49" w:rsidP="0063575E">
      <w:pPr>
        <w:pStyle w:val="Listlevel1"/>
        <w:widowControl w:val="0"/>
        <w:spacing w:before="0" w:after="0"/>
        <w:ind w:left="567" w:firstLine="0"/>
        <w:rPr>
          <w:color w:val="000000"/>
          <w:sz w:val="22"/>
          <w:lang w:val="bg-BG"/>
        </w:rPr>
      </w:pPr>
      <w:r w:rsidRPr="00FE6AC6">
        <w:rPr>
          <w:color w:val="000000"/>
          <w:sz w:val="22"/>
          <w:lang w:val="bg-BG"/>
        </w:rPr>
        <w:t>Н</w:t>
      </w:r>
      <w:r w:rsidRPr="00FE6AC6">
        <w:rPr>
          <w:color w:val="000000"/>
          <w:sz w:val="22"/>
          <w:lang w:val="ru-RU"/>
        </w:rPr>
        <w:t>ачалната доза е</w:t>
      </w:r>
      <w:r w:rsidRPr="00FE6AC6">
        <w:rPr>
          <w:color w:val="000000"/>
          <w:sz w:val="22"/>
          <w:lang w:val="bg-BG"/>
        </w:rPr>
        <w:t xml:space="preserve"> 600</w:t>
      </w:r>
      <w:r w:rsidRPr="00FE6AC6">
        <w:rPr>
          <w:color w:val="000000"/>
          <w:sz w:val="22"/>
          <w:lang w:val="en-GB"/>
        </w:rPr>
        <w:t> mg</w:t>
      </w:r>
      <w:r w:rsidRPr="00FE6AC6">
        <w:rPr>
          <w:color w:val="000000"/>
          <w:sz w:val="22"/>
          <w:lang w:val="bg-BG"/>
        </w:rPr>
        <w:t xml:space="preserve">, които се приемат </w:t>
      </w:r>
      <w:r w:rsidRPr="00FE6AC6">
        <w:rPr>
          <w:b/>
          <w:color w:val="000000"/>
          <w:sz w:val="22"/>
          <w:lang w:val="bg-BG"/>
        </w:rPr>
        <w:t>веднъж</w:t>
      </w:r>
      <w:r w:rsidRPr="00FE6AC6">
        <w:rPr>
          <w:color w:val="000000"/>
          <w:sz w:val="22"/>
          <w:lang w:val="bg-BG"/>
        </w:rPr>
        <w:t xml:space="preserve"> дневно.</w:t>
      </w:r>
    </w:p>
    <w:p w14:paraId="3E550D0E" w14:textId="77777777" w:rsidR="00426F49" w:rsidRPr="00FE6AC6" w:rsidRDefault="00426F49" w:rsidP="0063575E">
      <w:pPr>
        <w:pStyle w:val="Listlevel1"/>
        <w:widowControl w:val="0"/>
        <w:tabs>
          <w:tab w:val="left" w:pos="720"/>
        </w:tabs>
        <w:spacing w:before="0" w:after="0"/>
        <w:ind w:left="0" w:firstLine="0"/>
        <w:rPr>
          <w:color w:val="000000"/>
          <w:sz w:val="22"/>
          <w:szCs w:val="22"/>
          <w:lang w:val="bg-BG"/>
        </w:rPr>
      </w:pPr>
    </w:p>
    <w:p w14:paraId="3E550D0F" w14:textId="77777777" w:rsidR="00426F49" w:rsidRPr="00FE6AC6" w:rsidRDefault="00426F49" w:rsidP="0063575E">
      <w:pPr>
        <w:pStyle w:val="Listlevel1"/>
        <w:keepNext/>
        <w:widowControl w:val="0"/>
        <w:numPr>
          <w:ilvl w:val="0"/>
          <w:numId w:val="33"/>
        </w:numPr>
        <w:tabs>
          <w:tab w:val="clear" w:pos="1128"/>
          <w:tab w:val="num" w:pos="567"/>
        </w:tabs>
        <w:spacing w:before="0" w:after="0"/>
        <w:ind w:left="567" w:hanging="567"/>
        <w:rPr>
          <w:color w:val="000000"/>
          <w:sz w:val="22"/>
          <w:szCs w:val="22"/>
          <w:lang w:val="bg-BG"/>
        </w:rPr>
      </w:pPr>
      <w:r w:rsidRPr="00FE6AC6">
        <w:rPr>
          <w:b/>
          <w:color w:val="000000"/>
          <w:sz w:val="22"/>
          <w:szCs w:val="22"/>
          <w:lang w:val="bg-BG"/>
        </w:rPr>
        <w:t>Ако се лекувате за МДС/МПЗ</w:t>
      </w:r>
      <w:r w:rsidRPr="00FE6AC6">
        <w:rPr>
          <w:color w:val="000000"/>
          <w:sz w:val="22"/>
          <w:szCs w:val="22"/>
          <w:lang w:val="bg-BG"/>
        </w:rPr>
        <w:t>:</w:t>
      </w:r>
    </w:p>
    <w:p w14:paraId="3E550D10" w14:textId="12148066" w:rsidR="00426F49" w:rsidRPr="00FE6AC6" w:rsidRDefault="00426F49" w:rsidP="0063575E">
      <w:pPr>
        <w:pStyle w:val="Listlevel1"/>
        <w:widowControl w:val="0"/>
        <w:spacing w:before="0" w:after="0"/>
        <w:ind w:left="567" w:firstLine="0"/>
        <w:rPr>
          <w:color w:val="000000"/>
          <w:sz w:val="22"/>
          <w:szCs w:val="22"/>
          <w:lang w:val="bg-BG"/>
        </w:rPr>
      </w:pPr>
      <w:r w:rsidRPr="00FE6AC6">
        <w:rPr>
          <w:color w:val="000000"/>
          <w:sz w:val="22"/>
          <w:szCs w:val="22"/>
          <w:lang w:val="bg-BG"/>
        </w:rPr>
        <w:t>Началната доза е 400</w:t>
      </w:r>
      <w:r w:rsidRPr="00FE6AC6">
        <w:rPr>
          <w:color w:val="000000"/>
          <w:sz w:val="22"/>
          <w:szCs w:val="22"/>
          <w:lang w:val="en-GB"/>
        </w:rPr>
        <w:t> mg</w:t>
      </w:r>
      <w:r w:rsidRPr="00FE6AC6">
        <w:rPr>
          <w:color w:val="000000"/>
          <w:sz w:val="22"/>
          <w:szCs w:val="22"/>
          <w:lang w:val="bg-BG"/>
        </w:rPr>
        <w:t xml:space="preserve">, които се приемат </w:t>
      </w:r>
      <w:r w:rsidRPr="00FE6AC6">
        <w:rPr>
          <w:b/>
          <w:color w:val="000000"/>
          <w:sz w:val="22"/>
          <w:szCs w:val="22"/>
          <w:lang w:val="bg-BG"/>
        </w:rPr>
        <w:t>веднъж</w:t>
      </w:r>
      <w:r w:rsidRPr="00FE6AC6">
        <w:rPr>
          <w:color w:val="000000"/>
          <w:sz w:val="22"/>
          <w:szCs w:val="22"/>
          <w:lang w:val="bg-BG"/>
        </w:rPr>
        <w:t xml:space="preserve"> дневно.</w:t>
      </w:r>
    </w:p>
    <w:p w14:paraId="3E550D11" w14:textId="77777777" w:rsidR="00426F49" w:rsidRPr="00FE6AC6" w:rsidRDefault="00426F49" w:rsidP="0063575E">
      <w:pPr>
        <w:pStyle w:val="Listlevel1"/>
        <w:widowControl w:val="0"/>
        <w:tabs>
          <w:tab w:val="left" w:pos="720"/>
        </w:tabs>
        <w:spacing w:before="0" w:after="0"/>
        <w:ind w:left="0" w:firstLine="0"/>
        <w:rPr>
          <w:color w:val="000000"/>
          <w:sz w:val="22"/>
          <w:szCs w:val="22"/>
          <w:lang w:val="bg-BG"/>
        </w:rPr>
      </w:pPr>
    </w:p>
    <w:p w14:paraId="3E550D12" w14:textId="77777777" w:rsidR="00426F49" w:rsidRPr="00FE6AC6" w:rsidRDefault="00426F49" w:rsidP="0063575E">
      <w:pPr>
        <w:pStyle w:val="Listlevel2"/>
        <w:keepNext/>
        <w:widowControl w:val="0"/>
        <w:numPr>
          <w:ilvl w:val="0"/>
          <w:numId w:val="33"/>
        </w:numPr>
        <w:tabs>
          <w:tab w:val="clear" w:pos="1128"/>
          <w:tab w:val="num" w:pos="567"/>
        </w:tabs>
        <w:spacing w:before="0" w:after="0"/>
        <w:ind w:left="567" w:hanging="567"/>
        <w:rPr>
          <w:color w:val="000000"/>
          <w:sz w:val="22"/>
          <w:szCs w:val="22"/>
          <w:lang w:val="bg-BG"/>
        </w:rPr>
      </w:pPr>
      <w:r w:rsidRPr="00FE6AC6">
        <w:rPr>
          <w:b/>
          <w:color w:val="000000"/>
          <w:sz w:val="22"/>
          <w:szCs w:val="22"/>
          <w:lang w:val="bg-BG"/>
        </w:rPr>
        <w:t>Ако се лекувате за</w:t>
      </w:r>
      <w:r w:rsidRPr="00FE6AC6">
        <w:rPr>
          <w:b/>
          <w:bCs/>
          <w:color w:val="000000"/>
          <w:sz w:val="22"/>
          <w:szCs w:val="22"/>
          <w:lang w:val="bg-BG"/>
        </w:rPr>
        <w:t xml:space="preserve"> ХЕС/ХЕЛ:</w:t>
      </w:r>
    </w:p>
    <w:p w14:paraId="3E550D13" w14:textId="738819D4" w:rsidR="00426F49" w:rsidRPr="00FE6AC6" w:rsidRDefault="00426F49" w:rsidP="0063575E">
      <w:pPr>
        <w:pStyle w:val="Listlevel2"/>
        <w:widowControl w:val="0"/>
        <w:spacing w:before="0" w:after="0"/>
        <w:ind w:left="567" w:firstLine="0"/>
        <w:rPr>
          <w:color w:val="000000"/>
          <w:sz w:val="22"/>
          <w:szCs w:val="22"/>
          <w:lang w:val="bg-BG"/>
        </w:rPr>
      </w:pPr>
      <w:r w:rsidRPr="00FE6AC6">
        <w:rPr>
          <w:color w:val="000000"/>
          <w:sz w:val="22"/>
          <w:szCs w:val="22"/>
          <w:lang w:val="bg-BG"/>
        </w:rPr>
        <w:t>Началната доза е 100</w:t>
      </w:r>
      <w:r w:rsidRPr="00FE6AC6">
        <w:rPr>
          <w:color w:val="000000"/>
          <w:sz w:val="22"/>
          <w:szCs w:val="22"/>
        </w:rPr>
        <w:t> mg</w:t>
      </w:r>
      <w:r w:rsidRPr="00FE6AC6">
        <w:rPr>
          <w:color w:val="000000"/>
          <w:sz w:val="22"/>
          <w:szCs w:val="22"/>
          <w:lang w:val="bg-BG"/>
        </w:rPr>
        <w:t xml:space="preserve">, които се приемат </w:t>
      </w:r>
      <w:r w:rsidRPr="00FE6AC6">
        <w:rPr>
          <w:b/>
          <w:color w:val="000000"/>
          <w:sz w:val="22"/>
          <w:szCs w:val="22"/>
          <w:lang w:val="bg-BG"/>
        </w:rPr>
        <w:t>веднъж</w:t>
      </w:r>
      <w:r w:rsidRPr="00FE6AC6">
        <w:rPr>
          <w:color w:val="000000"/>
          <w:sz w:val="22"/>
          <w:szCs w:val="22"/>
          <w:lang w:val="bg-BG"/>
        </w:rPr>
        <w:t xml:space="preserve"> дневно. Вашият лекар може да реши да увеличи дозата на 400</w:t>
      </w:r>
      <w:r w:rsidRPr="00FE6AC6">
        <w:rPr>
          <w:color w:val="000000"/>
          <w:sz w:val="22"/>
          <w:szCs w:val="22"/>
        </w:rPr>
        <w:t> mg</w:t>
      </w:r>
      <w:r w:rsidRPr="00FE6AC6">
        <w:rPr>
          <w:color w:val="000000"/>
          <w:sz w:val="22"/>
          <w:szCs w:val="22"/>
          <w:lang w:val="bg-BG"/>
        </w:rPr>
        <w:t xml:space="preserve">, които се приемат </w:t>
      </w:r>
      <w:r w:rsidRPr="00FE6AC6">
        <w:rPr>
          <w:b/>
          <w:color w:val="000000"/>
          <w:sz w:val="22"/>
          <w:szCs w:val="22"/>
          <w:lang w:val="bg-BG"/>
        </w:rPr>
        <w:t>веднъж</w:t>
      </w:r>
      <w:r w:rsidRPr="00FE6AC6">
        <w:rPr>
          <w:color w:val="000000"/>
          <w:sz w:val="22"/>
          <w:szCs w:val="22"/>
          <w:lang w:val="bg-BG"/>
        </w:rPr>
        <w:t xml:space="preserve"> дневно, в зависимост от това как се повлиявате от лечението.</w:t>
      </w:r>
    </w:p>
    <w:p w14:paraId="3E550D14" w14:textId="77777777" w:rsidR="00426F49" w:rsidRPr="00FE6AC6" w:rsidRDefault="00426F49" w:rsidP="0063575E">
      <w:pPr>
        <w:pStyle w:val="Listlevel1"/>
        <w:widowControl w:val="0"/>
        <w:spacing w:before="0" w:after="0"/>
        <w:ind w:left="0" w:firstLine="0"/>
        <w:rPr>
          <w:color w:val="000000"/>
          <w:sz w:val="22"/>
          <w:lang w:val="bg-BG"/>
        </w:rPr>
      </w:pPr>
    </w:p>
    <w:p w14:paraId="3E550D15" w14:textId="77777777" w:rsidR="00426F49" w:rsidRPr="00FE6AC6" w:rsidRDefault="00426F49" w:rsidP="0063575E">
      <w:pPr>
        <w:pStyle w:val="Listlevel1"/>
        <w:keepNext/>
        <w:widowControl w:val="0"/>
        <w:numPr>
          <w:ilvl w:val="0"/>
          <w:numId w:val="33"/>
        </w:numPr>
        <w:tabs>
          <w:tab w:val="clear" w:pos="1128"/>
          <w:tab w:val="num" w:pos="567"/>
        </w:tabs>
        <w:spacing w:before="0" w:after="0"/>
        <w:ind w:left="567" w:hanging="567"/>
        <w:rPr>
          <w:color w:val="000000"/>
          <w:sz w:val="22"/>
          <w:lang w:val="bg-BG"/>
        </w:rPr>
      </w:pPr>
      <w:r w:rsidRPr="00FE6AC6">
        <w:rPr>
          <w:b/>
          <w:color w:val="000000"/>
          <w:sz w:val="22"/>
          <w:lang w:val="bg-BG"/>
        </w:rPr>
        <w:t>Ако се лекувате за ДФСП:</w:t>
      </w:r>
    </w:p>
    <w:p w14:paraId="3E550D16" w14:textId="59B7DBDF" w:rsidR="00426F49" w:rsidRDefault="00426F49" w:rsidP="0063575E">
      <w:pPr>
        <w:pStyle w:val="Listlevel1"/>
        <w:widowControl w:val="0"/>
        <w:spacing w:before="0" w:after="0"/>
        <w:ind w:left="567" w:firstLine="0"/>
        <w:rPr>
          <w:color w:val="000000"/>
          <w:sz w:val="22"/>
          <w:lang w:val="bg-BG"/>
        </w:rPr>
      </w:pPr>
      <w:r w:rsidRPr="00FE6AC6">
        <w:rPr>
          <w:color w:val="000000"/>
          <w:sz w:val="22"/>
          <w:lang w:val="bg-BG"/>
        </w:rPr>
        <w:t>Дозата от 800</w:t>
      </w:r>
      <w:r w:rsidRPr="00FE6AC6">
        <w:rPr>
          <w:color w:val="000000"/>
          <w:sz w:val="22"/>
          <w:lang w:val="en-GB"/>
        </w:rPr>
        <w:t> mg</w:t>
      </w:r>
      <w:r w:rsidRPr="00FE6AC6">
        <w:rPr>
          <w:color w:val="000000"/>
          <w:sz w:val="22"/>
          <w:lang w:val="bg-BG"/>
        </w:rPr>
        <w:t xml:space="preserve"> дневно, трябва да се приема като </w:t>
      </w:r>
      <w:r w:rsidR="008E7A12" w:rsidRPr="004015AA">
        <w:rPr>
          <w:color w:val="000000"/>
          <w:sz w:val="22"/>
          <w:lang w:val="bg-BG"/>
        </w:rPr>
        <w:t>400</w:t>
      </w:r>
      <w:r w:rsidR="006033B4">
        <w:rPr>
          <w:color w:val="000000"/>
          <w:sz w:val="22"/>
          <w:szCs w:val="22"/>
          <w:lang w:val="en-GB"/>
        </w:rPr>
        <w:t> </w:t>
      </w:r>
      <w:r w:rsidR="008E7A12">
        <w:rPr>
          <w:color w:val="000000"/>
          <w:sz w:val="22"/>
        </w:rPr>
        <w:t>mg</w:t>
      </w:r>
      <w:r w:rsidRPr="00FE6AC6">
        <w:rPr>
          <w:color w:val="000000"/>
          <w:sz w:val="22"/>
          <w:lang w:val="bg-BG"/>
        </w:rPr>
        <w:t xml:space="preserve"> </w:t>
      </w:r>
      <w:r w:rsidR="00CF77BC">
        <w:rPr>
          <w:color w:val="000000"/>
          <w:sz w:val="22"/>
          <w:lang w:val="bg-BG"/>
        </w:rPr>
        <w:t xml:space="preserve">сутрин </w:t>
      </w:r>
      <w:r w:rsidRPr="00FE6AC6">
        <w:rPr>
          <w:color w:val="000000"/>
          <w:sz w:val="22"/>
          <w:lang w:val="bg-BG"/>
        </w:rPr>
        <w:t xml:space="preserve">и </w:t>
      </w:r>
      <w:r w:rsidR="008E7A12" w:rsidRPr="004015AA">
        <w:rPr>
          <w:color w:val="000000"/>
          <w:sz w:val="22"/>
          <w:lang w:val="bg-BG"/>
        </w:rPr>
        <w:t>400</w:t>
      </w:r>
      <w:r w:rsidR="006033B4">
        <w:rPr>
          <w:color w:val="000000"/>
          <w:sz w:val="22"/>
          <w:szCs w:val="22"/>
          <w:lang w:val="en-GB"/>
        </w:rPr>
        <w:t> </w:t>
      </w:r>
      <w:r w:rsidR="008E7A12">
        <w:rPr>
          <w:color w:val="000000"/>
          <w:sz w:val="22"/>
        </w:rPr>
        <w:t>mg</w:t>
      </w:r>
      <w:r w:rsidRPr="00FE6AC6">
        <w:rPr>
          <w:color w:val="000000"/>
          <w:sz w:val="22"/>
          <w:lang w:val="bg-BG"/>
        </w:rPr>
        <w:t xml:space="preserve"> вечер.</w:t>
      </w:r>
    </w:p>
    <w:p w14:paraId="425F354A" w14:textId="036194E8" w:rsidR="008E7A12" w:rsidRDefault="008E7A12" w:rsidP="008E7A12">
      <w:pPr>
        <w:pStyle w:val="Listlevel1"/>
        <w:widowControl w:val="0"/>
        <w:spacing w:before="0" w:after="0"/>
        <w:rPr>
          <w:color w:val="000000"/>
          <w:sz w:val="22"/>
          <w:lang w:val="bg-BG"/>
        </w:rPr>
      </w:pPr>
    </w:p>
    <w:p w14:paraId="09A39F22" w14:textId="285A041A" w:rsidR="005E6CD9" w:rsidRDefault="008E7A12" w:rsidP="005E6CD9">
      <w:pPr>
        <w:pStyle w:val="Listlevel1"/>
        <w:widowControl w:val="0"/>
        <w:spacing w:before="0" w:after="0"/>
        <w:rPr>
          <w:color w:val="000000"/>
          <w:sz w:val="22"/>
          <w:lang w:val="bg-BG"/>
        </w:rPr>
      </w:pPr>
      <w:r>
        <w:rPr>
          <w:color w:val="000000"/>
          <w:sz w:val="22"/>
          <w:lang w:val="bg-BG"/>
        </w:rPr>
        <w:t xml:space="preserve">Доза от </w:t>
      </w:r>
      <w:r w:rsidRPr="004015AA">
        <w:rPr>
          <w:color w:val="000000"/>
          <w:sz w:val="22"/>
          <w:lang w:val="bg-BG"/>
        </w:rPr>
        <w:t>400</w:t>
      </w:r>
      <w:r w:rsidR="005E6CD9" w:rsidRPr="004015AA">
        <w:rPr>
          <w:color w:val="000000"/>
          <w:sz w:val="22"/>
          <w:lang w:val="bg-BG"/>
        </w:rPr>
        <w:t> </w:t>
      </w:r>
      <w:r w:rsidRPr="004015AA">
        <w:rPr>
          <w:color w:val="000000"/>
          <w:sz w:val="22"/>
          <w:lang w:val="bg-BG"/>
        </w:rPr>
        <w:t xml:space="preserve">mg </w:t>
      </w:r>
      <w:r>
        <w:rPr>
          <w:color w:val="000000"/>
          <w:sz w:val="22"/>
          <w:lang w:val="bg-BG"/>
        </w:rPr>
        <w:t>може да се приема</w:t>
      </w:r>
      <w:r w:rsidR="005E6CD9">
        <w:rPr>
          <w:color w:val="000000"/>
          <w:sz w:val="22"/>
          <w:lang w:val="bg-BG"/>
        </w:rPr>
        <w:t xml:space="preserve"> </w:t>
      </w:r>
      <w:r>
        <w:rPr>
          <w:color w:val="000000"/>
          <w:sz w:val="22"/>
          <w:lang w:val="bg-BG"/>
        </w:rPr>
        <w:t>като 1</w:t>
      </w:r>
      <w:r w:rsidR="005E6CD9" w:rsidRPr="004015AA">
        <w:rPr>
          <w:color w:val="000000"/>
          <w:sz w:val="22"/>
          <w:lang w:val="bg-BG"/>
        </w:rPr>
        <w:t> </w:t>
      </w:r>
      <w:r>
        <w:rPr>
          <w:color w:val="000000"/>
          <w:sz w:val="22"/>
          <w:lang w:val="bg-BG"/>
        </w:rPr>
        <w:t>таблетка от 400</w:t>
      </w:r>
      <w:r w:rsidR="005E6CD9" w:rsidRPr="004015AA">
        <w:rPr>
          <w:color w:val="000000"/>
          <w:sz w:val="22"/>
          <w:lang w:val="bg-BG"/>
        </w:rPr>
        <w:t> </w:t>
      </w:r>
      <w:r w:rsidRPr="004015AA">
        <w:rPr>
          <w:color w:val="000000"/>
          <w:sz w:val="22"/>
          <w:lang w:val="bg-BG"/>
        </w:rPr>
        <w:t xml:space="preserve">mg </w:t>
      </w:r>
      <w:r>
        <w:rPr>
          <w:color w:val="000000"/>
          <w:sz w:val="22"/>
          <w:lang w:val="bg-BG"/>
        </w:rPr>
        <w:t>или 4</w:t>
      </w:r>
      <w:r w:rsidR="009A0A88">
        <w:rPr>
          <w:color w:val="000000"/>
          <w:sz w:val="22"/>
        </w:rPr>
        <w:t> </w:t>
      </w:r>
      <w:r>
        <w:rPr>
          <w:color w:val="000000"/>
          <w:sz w:val="22"/>
          <w:lang w:val="bg-BG"/>
        </w:rPr>
        <w:t>таблетки от 100</w:t>
      </w:r>
      <w:r w:rsidR="005E6CD9" w:rsidRPr="004015AA">
        <w:rPr>
          <w:color w:val="000000"/>
          <w:sz w:val="22"/>
          <w:lang w:val="bg-BG"/>
        </w:rPr>
        <w:t> </w:t>
      </w:r>
      <w:r w:rsidRPr="004015AA">
        <w:rPr>
          <w:color w:val="000000"/>
          <w:sz w:val="22"/>
          <w:lang w:val="bg-BG"/>
        </w:rPr>
        <w:t>mg.</w:t>
      </w:r>
    </w:p>
    <w:p w14:paraId="50A90FCF" w14:textId="4C012A76" w:rsidR="005E6CD9" w:rsidRPr="004015AA" w:rsidRDefault="005E6CD9" w:rsidP="004015AA">
      <w:pPr>
        <w:pStyle w:val="Listlevel1"/>
        <w:widowControl w:val="0"/>
        <w:spacing w:before="0" w:after="0"/>
        <w:rPr>
          <w:color w:val="000000"/>
          <w:sz w:val="22"/>
          <w:lang w:val="bg-BG"/>
        </w:rPr>
      </w:pPr>
      <w:r>
        <w:rPr>
          <w:color w:val="000000"/>
          <w:sz w:val="22"/>
          <w:lang w:val="bg-BG"/>
        </w:rPr>
        <w:t xml:space="preserve">Доза </w:t>
      </w:r>
      <w:r>
        <w:rPr>
          <w:color w:val="000000"/>
          <w:sz w:val="22"/>
        </w:rPr>
        <w:t>o</w:t>
      </w:r>
      <w:r>
        <w:rPr>
          <w:color w:val="000000"/>
          <w:sz w:val="22"/>
          <w:lang w:val="bg-BG"/>
        </w:rPr>
        <w:t>т 600 </w:t>
      </w:r>
      <w:r>
        <w:rPr>
          <w:color w:val="000000"/>
          <w:sz w:val="22"/>
        </w:rPr>
        <w:t>mg</w:t>
      </w:r>
      <w:r w:rsidRPr="004015AA">
        <w:rPr>
          <w:color w:val="000000"/>
          <w:sz w:val="22"/>
          <w:lang w:val="bg-BG"/>
        </w:rPr>
        <w:t>,</w:t>
      </w:r>
      <w:r>
        <w:rPr>
          <w:color w:val="000000"/>
          <w:sz w:val="22"/>
          <w:lang w:val="bg-BG"/>
        </w:rPr>
        <w:t xml:space="preserve"> трябва да се приема като 1 таблетка от 400 </w:t>
      </w:r>
      <w:r>
        <w:rPr>
          <w:color w:val="000000"/>
          <w:sz w:val="22"/>
        </w:rPr>
        <w:t>mg</w:t>
      </w:r>
      <w:r w:rsidRPr="004015AA">
        <w:rPr>
          <w:color w:val="000000"/>
          <w:sz w:val="22"/>
          <w:lang w:val="bg-BG"/>
        </w:rPr>
        <w:t xml:space="preserve"> </w:t>
      </w:r>
      <w:r>
        <w:rPr>
          <w:color w:val="000000"/>
          <w:sz w:val="22"/>
          <w:lang w:val="bg-BG"/>
        </w:rPr>
        <w:t>плюс 2 таблетки от 100 </w:t>
      </w:r>
      <w:r>
        <w:rPr>
          <w:color w:val="000000"/>
          <w:sz w:val="22"/>
        </w:rPr>
        <w:t>mg</w:t>
      </w:r>
      <w:r w:rsidRPr="004015AA">
        <w:rPr>
          <w:color w:val="000000"/>
          <w:sz w:val="22"/>
          <w:lang w:val="bg-BG"/>
        </w:rPr>
        <w:t>.</w:t>
      </w:r>
    </w:p>
    <w:p w14:paraId="3E550D17" w14:textId="77777777" w:rsidR="00426F49" w:rsidRPr="00FE6AC6" w:rsidRDefault="00426F49" w:rsidP="0063575E">
      <w:pPr>
        <w:pStyle w:val="Text"/>
        <w:widowControl w:val="0"/>
        <w:spacing w:before="0"/>
        <w:jc w:val="left"/>
        <w:rPr>
          <w:color w:val="000000"/>
          <w:sz w:val="22"/>
          <w:lang w:val="bg-BG"/>
        </w:rPr>
      </w:pPr>
    </w:p>
    <w:p w14:paraId="3E550D18" w14:textId="77777777" w:rsidR="00426F49" w:rsidRPr="00FE6AC6" w:rsidRDefault="00426F49" w:rsidP="0063575E">
      <w:pPr>
        <w:pStyle w:val="Text"/>
        <w:keepNext/>
        <w:widowControl w:val="0"/>
        <w:spacing w:before="0"/>
        <w:jc w:val="left"/>
        <w:rPr>
          <w:color w:val="000000"/>
          <w:sz w:val="22"/>
          <w:szCs w:val="22"/>
          <w:lang w:val="bg-BG"/>
        </w:rPr>
      </w:pPr>
      <w:r w:rsidRPr="00FE6AC6">
        <w:rPr>
          <w:b/>
          <w:color w:val="000000"/>
          <w:sz w:val="22"/>
          <w:szCs w:val="22"/>
          <w:lang w:val="bg-BG"/>
        </w:rPr>
        <w:t>Употреба при деца</w:t>
      </w:r>
      <w:r w:rsidR="001D5414" w:rsidRPr="00FE6AC6">
        <w:rPr>
          <w:b/>
          <w:color w:val="000000"/>
          <w:sz w:val="22"/>
          <w:szCs w:val="22"/>
          <w:lang w:val="bg-BG"/>
        </w:rPr>
        <w:t xml:space="preserve"> и юноши</w:t>
      </w:r>
    </w:p>
    <w:p w14:paraId="3E550D19" w14:textId="77777777" w:rsidR="00426F49" w:rsidRPr="00FE6AC6" w:rsidRDefault="00426F49" w:rsidP="0063575E">
      <w:pPr>
        <w:pStyle w:val="Text"/>
        <w:widowControl w:val="0"/>
        <w:spacing w:before="0"/>
        <w:jc w:val="left"/>
        <w:rPr>
          <w:color w:val="000000"/>
          <w:sz w:val="22"/>
          <w:lang w:val="bg-BG"/>
        </w:rPr>
      </w:pPr>
      <w:r w:rsidRPr="00FE6AC6">
        <w:rPr>
          <w:color w:val="000000"/>
          <w:sz w:val="22"/>
          <w:lang w:val="bg-BG"/>
        </w:rPr>
        <w:t xml:space="preserve">Лекарят ще Ви каже колко таблетки </w:t>
      </w:r>
      <w:r w:rsidRPr="00FE6AC6">
        <w:rPr>
          <w:color w:val="000000"/>
          <w:sz w:val="22"/>
        </w:rPr>
        <w:t>Glivec</w:t>
      </w:r>
      <w:r w:rsidRPr="00FE6AC6">
        <w:rPr>
          <w:color w:val="000000"/>
          <w:sz w:val="22"/>
          <w:lang w:val="bg-BG"/>
        </w:rPr>
        <w:t xml:space="preserve"> трябва да давате на Вашето дете. Количеството на </w:t>
      </w:r>
      <w:r w:rsidRPr="00FE6AC6">
        <w:rPr>
          <w:color w:val="000000"/>
          <w:sz w:val="22"/>
        </w:rPr>
        <w:t>Glivec</w:t>
      </w:r>
      <w:r w:rsidRPr="00FE6AC6">
        <w:rPr>
          <w:color w:val="000000"/>
          <w:sz w:val="22"/>
          <w:lang w:val="bg-BG"/>
        </w:rPr>
        <w:t xml:space="preserve"> ще зависи от състоянието на детето Ви, неговото тегло и височина. Общата дневна доза при деца не трябва да надвишава</w:t>
      </w:r>
      <w:r w:rsidRPr="00FE6AC6">
        <w:rPr>
          <w:color w:val="000000"/>
          <w:sz w:val="22"/>
        </w:rPr>
        <w:t> </w:t>
      </w:r>
      <w:r w:rsidRPr="00FE6AC6">
        <w:rPr>
          <w:color w:val="000000"/>
          <w:sz w:val="22"/>
          <w:lang w:val="bg-BG"/>
        </w:rPr>
        <w:t>800</w:t>
      </w:r>
      <w:r w:rsidRPr="00FE6AC6">
        <w:rPr>
          <w:color w:val="000000"/>
          <w:sz w:val="22"/>
          <w:lang w:val="en-GB"/>
        </w:rPr>
        <w:t> m</w:t>
      </w:r>
      <w:r w:rsidR="00EE583C" w:rsidRPr="00FE6AC6">
        <w:rPr>
          <w:color w:val="000000"/>
          <w:sz w:val="22"/>
          <w:lang w:val="en-GB"/>
        </w:rPr>
        <w:t>g</w:t>
      </w:r>
      <w:r w:rsidR="00E21862" w:rsidRPr="00FE6AC6">
        <w:rPr>
          <w:color w:val="000000"/>
          <w:lang w:val="bg-BG"/>
        </w:rPr>
        <w:t xml:space="preserve"> при ХМЛ и 600</w:t>
      </w:r>
      <w:r w:rsidR="00E21862" w:rsidRPr="00FE6AC6">
        <w:rPr>
          <w:color w:val="000000"/>
        </w:rPr>
        <w:t> mg</w:t>
      </w:r>
      <w:r w:rsidR="00E21862" w:rsidRPr="00FE6AC6">
        <w:rPr>
          <w:color w:val="000000"/>
          <w:lang w:val="bg-BG"/>
        </w:rPr>
        <w:t xml:space="preserve"> при </w:t>
      </w:r>
      <w:r w:rsidR="00E21862" w:rsidRPr="00FE6AC6">
        <w:rPr>
          <w:color w:val="000000"/>
        </w:rPr>
        <w:t>Ph</w:t>
      </w:r>
      <w:r w:rsidR="00E21862" w:rsidRPr="00FE6AC6">
        <w:rPr>
          <w:color w:val="000000"/>
          <w:szCs w:val="22"/>
          <w:lang w:val="bg-BG"/>
        </w:rPr>
        <w:t xml:space="preserve">-положителна </w:t>
      </w:r>
      <w:r w:rsidR="00E21862" w:rsidRPr="00FE6AC6">
        <w:rPr>
          <w:color w:val="000000"/>
          <w:lang w:val="bg-BG"/>
        </w:rPr>
        <w:t>ОЛЛ</w:t>
      </w:r>
      <w:r w:rsidRPr="00FE6AC6">
        <w:rPr>
          <w:color w:val="000000"/>
          <w:sz w:val="22"/>
          <w:lang w:val="bg-BG"/>
        </w:rPr>
        <w:t>. Лечението може да се дава като еднократна дневна доза или алтернативно дневната доза може да се раздели на два приема (половината от дозата сутрин и половината вечер).</w:t>
      </w:r>
    </w:p>
    <w:p w14:paraId="3E550D1A" w14:textId="77777777" w:rsidR="00426F49" w:rsidRPr="00FE6AC6" w:rsidRDefault="00426F49" w:rsidP="0063575E">
      <w:pPr>
        <w:pStyle w:val="Text"/>
        <w:widowControl w:val="0"/>
        <w:spacing w:before="0"/>
        <w:jc w:val="left"/>
        <w:rPr>
          <w:color w:val="000000"/>
          <w:sz w:val="22"/>
          <w:lang w:val="bg-BG"/>
        </w:rPr>
      </w:pPr>
    </w:p>
    <w:p w14:paraId="3E550D1B" w14:textId="77777777" w:rsidR="00426F49" w:rsidRPr="00FE6AC6" w:rsidRDefault="00426F49" w:rsidP="0063575E">
      <w:pPr>
        <w:pStyle w:val="Text"/>
        <w:keepNext/>
        <w:widowControl w:val="0"/>
        <w:spacing w:before="0"/>
        <w:jc w:val="left"/>
        <w:rPr>
          <w:b/>
          <w:color w:val="000000"/>
          <w:sz w:val="22"/>
          <w:lang w:val="bg-BG"/>
        </w:rPr>
      </w:pPr>
      <w:r w:rsidRPr="00FE6AC6">
        <w:rPr>
          <w:b/>
          <w:color w:val="000000"/>
          <w:sz w:val="22"/>
          <w:lang w:val="bg-BG"/>
        </w:rPr>
        <w:t>Кога и как да се приема Glivec</w:t>
      </w:r>
    </w:p>
    <w:p w14:paraId="3E550D1C" w14:textId="77777777" w:rsidR="00426F49" w:rsidRPr="00FE6AC6" w:rsidRDefault="00426F49" w:rsidP="0063575E">
      <w:pPr>
        <w:widowControl w:val="0"/>
        <w:numPr>
          <w:ilvl w:val="0"/>
          <w:numId w:val="33"/>
        </w:numPr>
        <w:tabs>
          <w:tab w:val="clear" w:pos="1128"/>
          <w:tab w:val="num" w:pos="567"/>
        </w:tabs>
        <w:spacing w:line="240" w:lineRule="auto"/>
        <w:ind w:left="567" w:right="-2" w:hanging="567"/>
        <w:rPr>
          <w:color w:val="000000"/>
          <w:lang w:val="bg-BG"/>
        </w:rPr>
      </w:pPr>
      <w:r w:rsidRPr="00FE6AC6">
        <w:rPr>
          <w:b/>
          <w:color w:val="000000"/>
          <w:lang w:val="bg-BG"/>
        </w:rPr>
        <w:t xml:space="preserve">Приемайте Glivec по време на хранене. </w:t>
      </w:r>
      <w:r w:rsidRPr="00FE6AC6">
        <w:rPr>
          <w:color w:val="000000"/>
          <w:lang w:val="bg-BG"/>
        </w:rPr>
        <w:t>Това ще Ви помогне да се предпазите от стомашни проблеми</w:t>
      </w:r>
      <w:r w:rsidR="00D16A08" w:rsidRPr="00FE6AC6">
        <w:rPr>
          <w:color w:val="000000"/>
          <w:lang w:val="bg-BG"/>
        </w:rPr>
        <w:t>,</w:t>
      </w:r>
      <w:r w:rsidRPr="00FE6AC6">
        <w:rPr>
          <w:color w:val="000000"/>
          <w:lang w:val="bg-BG"/>
        </w:rPr>
        <w:t xml:space="preserve"> докато приемате </w:t>
      </w:r>
      <w:r w:rsidRPr="00FE6AC6">
        <w:rPr>
          <w:color w:val="000000"/>
          <w:lang w:val="en-US"/>
        </w:rPr>
        <w:t>Glivec</w:t>
      </w:r>
      <w:r w:rsidRPr="00FE6AC6">
        <w:rPr>
          <w:color w:val="000000"/>
          <w:lang w:val="bg-BG"/>
        </w:rPr>
        <w:t>.</w:t>
      </w:r>
    </w:p>
    <w:p w14:paraId="3E550D1D" w14:textId="77777777" w:rsidR="00426F49" w:rsidRPr="00FE6AC6" w:rsidRDefault="00426F49" w:rsidP="0063575E">
      <w:pPr>
        <w:pStyle w:val="Text"/>
        <w:widowControl w:val="0"/>
        <w:numPr>
          <w:ilvl w:val="0"/>
          <w:numId w:val="33"/>
        </w:numPr>
        <w:tabs>
          <w:tab w:val="clear" w:pos="1128"/>
          <w:tab w:val="num" w:pos="567"/>
        </w:tabs>
        <w:spacing w:before="0"/>
        <w:ind w:left="567" w:hanging="567"/>
        <w:jc w:val="left"/>
        <w:rPr>
          <w:b/>
          <w:color w:val="000000"/>
          <w:sz w:val="22"/>
          <w:lang w:val="bg-BG"/>
        </w:rPr>
      </w:pPr>
      <w:r w:rsidRPr="00FE6AC6">
        <w:rPr>
          <w:b/>
          <w:color w:val="000000"/>
          <w:sz w:val="22"/>
          <w:lang w:val="bg-BG"/>
        </w:rPr>
        <w:t>Поглъщайте таблетките цели с пълна чаша вода.</w:t>
      </w:r>
    </w:p>
    <w:p w14:paraId="3E550D1E" w14:textId="77777777" w:rsidR="00426F49" w:rsidRPr="00FE6AC6" w:rsidRDefault="00426F49" w:rsidP="0063575E">
      <w:pPr>
        <w:pStyle w:val="EndnoteText"/>
        <w:widowControl w:val="0"/>
        <w:rPr>
          <w:color w:val="000000"/>
          <w:lang w:val="bg-BG"/>
        </w:rPr>
      </w:pPr>
    </w:p>
    <w:p w14:paraId="3E550D1F" w14:textId="77777777" w:rsidR="00426F49" w:rsidRPr="00FE6AC6" w:rsidRDefault="00426F49" w:rsidP="0063575E">
      <w:pPr>
        <w:pStyle w:val="Text"/>
        <w:keepNext/>
        <w:widowControl w:val="0"/>
        <w:spacing w:before="0"/>
        <w:jc w:val="left"/>
        <w:rPr>
          <w:color w:val="000000"/>
          <w:sz w:val="22"/>
          <w:lang w:val="bg-BG"/>
        </w:rPr>
      </w:pPr>
      <w:r w:rsidRPr="00FE6AC6">
        <w:rPr>
          <w:color w:val="000000"/>
          <w:sz w:val="22"/>
          <w:lang w:val="bg-BG"/>
        </w:rPr>
        <w:t>Ако не можете да погълнете таблетките, можете да ги разтворите в чаша чиста вода или ябълков сок:</w:t>
      </w:r>
    </w:p>
    <w:p w14:paraId="47CE13DE" w14:textId="568F9453" w:rsidR="008E7A12" w:rsidRDefault="00426F49" w:rsidP="0063575E">
      <w:pPr>
        <w:pStyle w:val="Text"/>
        <w:widowControl w:val="0"/>
        <w:numPr>
          <w:ilvl w:val="0"/>
          <w:numId w:val="8"/>
        </w:numPr>
        <w:tabs>
          <w:tab w:val="clear" w:pos="360"/>
        </w:tabs>
        <w:spacing w:before="0"/>
        <w:ind w:left="567" w:hanging="567"/>
        <w:jc w:val="left"/>
        <w:rPr>
          <w:color w:val="000000"/>
          <w:sz w:val="22"/>
          <w:lang w:val="bg-BG"/>
        </w:rPr>
      </w:pPr>
      <w:r w:rsidRPr="00882FED">
        <w:rPr>
          <w:color w:val="000000"/>
          <w:lang w:val="bg-BG"/>
        </w:rPr>
        <w:t>Използвайте около 50</w:t>
      </w:r>
      <w:r w:rsidRPr="00882FED">
        <w:rPr>
          <w:color w:val="000000"/>
        </w:rPr>
        <w:t> ml</w:t>
      </w:r>
      <w:r w:rsidRPr="00882FED">
        <w:rPr>
          <w:color w:val="000000"/>
          <w:lang w:val="bg-BG"/>
        </w:rPr>
        <w:t xml:space="preserve"> за всяка таблетка от 100</w:t>
      </w:r>
      <w:r w:rsidRPr="00882FED">
        <w:rPr>
          <w:color w:val="000000"/>
        </w:rPr>
        <w:t> mg</w:t>
      </w:r>
      <w:r w:rsidR="008E7A12" w:rsidRPr="004015AA">
        <w:rPr>
          <w:color w:val="000000"/>
          <w:lang w:val="bg-BG"/>
        </w:rPr>
        <w:t xml:space="preserve"> </w:t>
      </w:r>
      <w:r w:rsidR="008E7A12" w:rsidRPr="00882FED">
        <w:rPr>
          <w:color w:val="000000"/>
          <w:lang w:val="bg-BG"/>
        </w:rPr>
        <w:t>или 200</w:t>
      </w:r>
      <w:r w:rsidR="005E6CD9" w:rsidRPr="00882FED">
        <w:rPr>
          <w:color w:val="000000"/>
          <w:lang w:val="bg-BG"/>
        </w:rPr>
        <w:t> </w:t>
      </w:r>
      <w:r w:rsidR="008E7A12" w:rsidRPr="00882FED">
        <w:rPr>
          <w:color w:val="000000"/>
        </w:rPr>
        <w:t>ml</w:t>
      </w:r>
      <w:r w:rsidR="008E7A12" w:rsidRPr="004015AA">
        <w:rPr>
          <w:color w:val="000000"/>
          <w:lang w:val="bg-BG"/>
        </w:rPr>
        <w:t xml:space="preserve"> </w:t>
      </w:r>
      <w:r w:rsidR="008E7A12" w:rsidRPr="00882FED">
        <w:rPr>
          <w:color w:val="000000"/>
          <w:lang w:val="bg-BG"/>
        </w:rPr>
        <w:t>за всяка таблетка от 400</w:t>
      </w:r>
      <w:r w:rsidR="008E7A12" w:rsidRPr="00882FED">
        <w:rPr>
          <w:color w:val="000000"/>
        </w:rPr>
        <w:t> mg</w:t>
      </w:r>
      <w:r w:rsidR="008E7A12" w:rsidRPr="004015AA">
        <w:rPr>
          <w:color w:val="000000"/>
          <w:lang w:val="bg-BG"/>
        </w:rPr>
        <w:t>.</w:t>
      </w:r>
    </w:p>
    <w:p w14:paraId="3E550D21" w14:textId="1B9BEC89" w:rsidR="00426F49" w:rsidRPr="00FE6AC6" w:rsidRDefault="00426F49" w:rsidP="0063575E">
      <w:pPr>
        <w:pStyle w:val="Text"/>
        <w:widowControl w:val="0"/>
        <w:numPr>
          <w:ilvl w:val="0"/>
          <w:numId w:val="8"/>
        </w:numPr>
        <w:tabs>
          <w:tab w:val="clear" w:pos="360"/>
        </w:tabs>
        <w:spacing w:before="0"/>
        <w:ind w:left="567" w:hanging="567"/>
        <w:jc w:val="left"/>
        <w:rPr>
          <w:color w:val="000000"/>
          <w:sz w:val="22"/>
          <w:lang w:val="bg-BG"/>
        </w:rPr>
      </w:pPr>
      <w:r w:rsidRPr="00FE6AC6">
        <w:rPr>
          <w:color w:val="000000"/>
          <w:sz w:val="22"/>
          <w:lang w:val="bg-BG"/>
        </w:rPr>
        <w:t>Разбъркайте с лъжица, докато таблетките се разтворят напълно.</w:t>
      </w:r>
    </w:p>
    <w:p w14:paraId="3E550D22" w14:textId="77777777" w:rsidR="00426F49" w:rsidRPr="00FE6AC6" w:rsidRDefault="00426F49" w:rsidP="0063575E">
      <w:pPr>
        <w:pStyle w:val="Text"/>
        <w:widowControl w:val="0"/>
        <w:numPr>
          <w:ilvl w:val="0"/>
          <w:numId w:val="8"/>
        </w:numPr>
        <w:tabs>
          <w:tab w:val="clear" w:pos="360"/>
        </w:tabs>
        <w:spacing w:before="0"/>
        <w:ind w:left="567" w:hanging="567"/>
        <w:jc w:val="left"/>
        <w:rPr>
          <w:color w:val="000000"/>
          <w:sz w:val="22"/>
          <w:lang w:val="bg-BG"/>
        </w:rPr>
      </w:pPr>
      <w:r w:rsidRPr="00FE6AC6">
        <w:rPr>
          <w:color w:val="000000"/>
          <w:sz w:val="22"/>
          <w:lang w:val="bg-BG"/>
        </w:rPr>
        <w:t>След като таблетките се разтворят, изпийте незабавно цялото съдържание на чашата. Възможно е по чашата да останат следи от разтворената таблетка(ки).</w:t>
      </w:r>
    </w:p>
    <w:p w14:paraId="3E550D23" w14:textId="77777777" w:rsidR="00426F49" w:rsidRPr="00FE6AC6" w:rsidRDefault="00426F49" w:rsidP="0063575E">
      <w:pPr>
        <w:pStyle w:val="Text"/>
        <w:widowControl w:val="0"/>
        <w:spacing w:before="0"/>
        <w:ind w:left="567" w:hanging="567"/>
        <w:jc w:val="left"/>
        <w:rPr>
          <w:color w:val="000000"/>
          <w:sz w:val="22"/>
          <w:lang w:val="bg-BG"/>
        </w:rPr>
      </w:pPr>
    </w:p>
    <w:p w14:paraId="3E550D24" w14:textId="77777777" w:rsidR="00426F49" w:rsidRPr="00FE6AC6" w:rsidRDefault="00426F49" w:rsidP="0063575E">
      <w:pPr>
        <w:pStyle w:val="Heading2"/>
        <w:widowControl w:val="0"/>
        <w:spacing w:before="0" w:after="0" w:line="240" w:lineRule="auto"/>
        <w:rPr>
          <w:rFonts w:ascii="Times New Roman" w:hAnsi="Times New Roman"/>
          <w:i w:val="0"/>
          <w:color w:val="000000"/>
          <w:sz w:val="22"/>
          <w:lang w:val="bg-BG"/>
        </w:rPr>
      </w:pPr>
      <w:r w:rsidRPr="00FE6AC6">
        <w:rPr>
          <w:rFonts w:ascii="Times New Roman" w:hAnsi="Times New Roman"/>
          <w:i w:val="0"/>
          <w:color w:val="000000"/>
          <w:sz w:val="22"/>
          <w:lang w:val="bg-BG"/>
        </w:rPr>
        <w:t>Колко продължително да се приема Glivec</w:t>
      </w:r>
    </w:p>
    <w:p w14:paraId="3E550D25" w14:textId="77777777" w:rsidR="00426F49" w:rsidRPr="00FE6AC6" w:rsidRDefault="00426F49" w:rsidP="0063575E">
      <w:pPr>
        <w:pStyle w:val="Text"/>
        <w:widowControl w:val="0"/>
        <w:spacing w:before="0"/>
        <w:jc w:val="left"/>
        <w:rPr>
          <w:color w:val="000000"/>
          <w:sz w:val="22"/>
          <w:lang w:val="bg-BG"/>
        </w:rPr>
      </w:pPr>
      <w:r w:rsidRPr="00FE6AC6">
        <w:rPr>
          <w:color w:val="000000"/>
          <w:sz w:val="22"/>
          <w:lang w:val="bg-BG"/>
        </w:rPr>
        <w:t>Приемайте Glivec всеки ден, толкова дълго, колкото Ви е казал Вашият лекар.</w:t>
      </w:r>
    </w:p>
    <w:p w14:paraId="3E550D26" w14:textId="77777777" w:rsidR="00426F49" w:rsidRPr="00FE6AC6" w:rsidRDefault="00426F49" w:rsidP="0063575E">
      <w:pPr>
        <w:pStyle w:val="Text"/>
        <w:widowControl w:val="0"/>
        <w:spacing w:before="0"/>
        <w:jc w:val="left"/>
        <w:rPr>
          <w:color w:val="000000"/>
          <w:sz w:val="22"/>
          <w:lang w:val="bg-BG"/>
        </w:rPr>
      </w:pPr>
    </w:p>
    <w:p w14:paraId="3E550D27" w14:textId="77777777" w:rsidR="00426F49" w:rsidRPr="00FE6AC6" w:rsidRDefault="00426F49" w:rsidP="0063575E">
      <w:pPr>
        <w:pStyle w:val="Text"/>
        <w:keepNext/>
        <w:widowControl w:val="0"/>
        <w:spacing w:before="0"/>
        <w:jc w:val="left"/>
        <w:rPr>
          <w:color w:val="000000"/>
          <w:sz w:val="22"/>
          <w:lang w:val="bg-BG"/>
        </w:rPr>
      </w:pPr>
      <w:r w:rsidRPr="00FE6AC6">
        <w:rPr>
          <w:b/>
          <w:color w:val="000000"/>
          <w:sz w:val="22"/>
          <w:lang w:val="bg-BG"/>
        </w:rPr>
        <w:t>Ако сте приели повече от необходимата доза Glivec</w:t>
      </w:r>
    </w:p>
    <w:p w14:paraId="3E550D28" w14:textId="77777777" w:rsidR="00426F49" w:rsidRPr="00FE6AC6" w:rsidRDefault="00426F49" w:rsidP="0063575E">
      <w:pPr>
        <w:widowControl w:val="0"/>
        <w:spacing w:line="240" w:lineRule="auto"/>
        <w:ind w:right="-2"/>
        <w:rPr>
          <w:lang w:val="bg-BG"/>
        </w:rPr>
      </w:pPr>
      <w:r w:rsidRPr="00FE6AC6">
        <w:rPr>
          <w:lang w:val="bg-BG"/>
        </w:rPr>
        <w:t xml:space="preserve">Ако случайно приемете повече таблетки, кажете </w:t>
      </w:r>
      <w:r w:rsidRPr="00FE6AC6">
        <w:rPr>
          <w:b/>
          <w:lang w:val="bg-BG"/>
        </w:rPr>
        <w:t>веднага</w:t>
      </w:r>
      <w:r w:rsidRPr="00FE6AC6">
        <w:rPr>
          <w:lang w:val="bg-BG"/>
        </w:rPr>
        <w:t xml:space="preserve"> на Вашия лекар. Може да се наложи медицинска намеса. Вземете опаковката на лекарството със себе си.</w:t>
      </w:r>
    </w:p>
    <w:p w14:paraId="3E550D29" w14:textId="77777777" w:rsidR="00426F49" w:rsidRPr="00FE6AC6" w:rsidRDefault="00426F49" w:rsidP="0063575E">
      <w:pPr>
        <w:widowControl w:val="0"/>
        <w:numPr>
          <w:ilvl w:val="12"/>
          <w:numId w:val="0"/>
        </w:numPr>
        <w:spacing w:line="240" w:lineRule="auto"/>
        <w:ind w:right="-2"/>
        <w:rPr>
          <w:color w:val="000000"/>
          <w:lang w:val="bg-BG"/>
        </w:rPr>
      </w:pPr>
    </w:p>
    <w:p w14:paraId="3E550D2A" w14:textId="77777777" w:rsidR="00426F49" w:rsidRPr="00FE6AC6" w:rsidRDefault="00426F49" w:rsidP="0063575E">
      <w:pPr>
        <w:keepNext/>
        <w:widowControl w:val="0"/>
        <w:numPr>
          <w:ilvl w:val="12"/>
          <w:numId w:val="0"/>
        </w:numPr>
        <w:spacing w:line="240" w:lineRule="auto"/>
        <w:rPr>
          <w:b/>
          <w:color w:val="000000"/>
          <w:lang w:val="ru-RU"/>
        </w:rPr>
      </w:pPr>
      <w:r w:rsidRPr="00FE6AC6">
        <w:rPr>
          <w:b/>
          <w:noProof/>
          <w:color w:val="000000"/>
          <w:lang w:val="bg-BG"/>
        </w:rPr>
        <w:t xml:space="preserve">Ако сте пропуснали да приемете </w:t>
      </w:r>
      <w:r w:rsidRPr="00FE6AC6">
        <w:rPr>
          <w:b/>
          <w:color w:val="000000"/>
          <w:lang w:val="bg-BG"/>
        </w:rPr>
        <w:t>Glivec</w:t>
      </w:r>
    </w:p>
    <w:p w14:paraId="3E550D2B" w14:textId="77777777" w:rsidR="00426F49" w:rsidRPr="00FE6AC6" w:rsidRDefault="00426F49" w:rsidP="0063575E">
      <w:pPr>
        <w:widowControl w:val="0"/>
        <w:numPr>
          <w:ilvl w:val="0"/>
          <w:numId w:val="34"/>
        </w:numPr>
        <w:tabs>
          <w:tab w:val="clear" w:pos="1128"/>
          <w:tab w:val="num" w:pos="567"/>
        </w:tabs>
        <w:spacing w:line="240" w:lineRule="auto"/>
        <w:ind w:left="567" w:right="-2" w:hanging="567"/>
        <w:rPr>
          <w:noProof/>
          <w:color w:val="000000"/>
          <w:lang w:val="bg-BG"/>
        </w:rPr>
      </w:pPr>
      <w:r w:rsidRPr="00FE6AC6">
        <w:rPr>
          <w:color w:val="000000"/>
          <w:lang w:val="bg-BG"/>
        </w:rPr>
        <w:t>Ако сте пропуснали да приемете една доза, вземете я веднага след като си спомните. Ако е дошло време за следващата доза, прескочете пропуснатата доза.</w:t>
      </w:r>
    </w:p>
    <w:p w14:paraId="3E550D2C" w14:textId="77777777" w:rsidR="00426F49" w:rsidRPr="00FE6AC6" w:rsidRDefault="00426F49" w:rsidP="0063575E">
      <w:pPr>
        <w:widowControl w:val="0"/>
        <w:numPr>
          <w:ilvl w:val="0"/>
          <w:numId w:val="34"/>
        </w:numPr>
        <w:tabs>
          <w:tab w:val="clear" w:pos="1128"/>
          <w:tab w:val="num" w:pos="567"/>
        </w:tabs>
        <w:spacing w:line="240" w:lineRule="auto"/>
        <w:ind w:left="567" w:right="-2" w:hanging="567"/>
        <w:rPr>
          <w:noProof/>
          <w:color w:val="000000"/>
          <w:lang w:val="bg-BG"/>
        </w:rPr>
      </w:pPr>
      <w:r w:rsidRPr="00FE6AC6">
        <w:rPr>
          <w:color w:val="000000"/>
          <w:lang w:val="bg-BG"/>
        </w:rPr>
        <w:t>След това продължете по нормалната схема.</w:t>
      </w:r>
    </w:p>
    <w:p w14:paraId="3E550D2D" w14:textId="77777777" w:rsidR="00426F49" w:rsidRPr="00FE6AC6" w:rsidRDefault="00426F49" w:rsidP="0063575E">
      <w:pPr>
        <w:widowControl w:val="0"/>
        <w:numPr>
          <w:ilvl w:val="0"/>
          <w:numId w:val="34"/>
        </w:numPr>
        <w:tabs>
          <w:tab w:val="clear" w:pos="1128"/>
          <w:tab w:val="num" w:pos="567"/>
        </w:tabs>
        <w:spacing w:line="240" w:lineRule="auto"/>
        <w:ind w:left="567" w:right="-2" w:hanging="567"/>
        <w:rPr>
          <w:noProof/>
          <w:color w:val="000000"/>
          <w:lang w:val="bg-BG"/>
        </w:rPr>
      </w:pPr>
      <w:r w:rsidRPr="00FE6AC6">
        <w:rPr>
          <w:noProof/>
          <w:color w:val="000000"/>
          <w:lang w:val="bg-BG"/>
        </w:rPr>
        <w:t>Не вземайте двойна доза, за да компенсирате пропуснатата доза</w:t>
      </w:r>
      <w:r w:rsidRPr="00FE6AC6">
        <w:rPr>
          <w:color w:val="000000"/>
          <w:szCs w:val="22"/>
          <w:lang w:val="bg-BG"/>
        </w:rPr>
        <w:t>.</w:t>
      </w:r>
    </w:p>
    <w:p w14:paraId="3E550D2E" w14:textId="77777777" w:rsidR="00426F49" w:rsidRPr="00FE6AC6" w:rsidRDefault="00426F49" w:rsidP="0063575E">
      <w:pPr>
        <w:widowControl w:val="0"/>
        <w:numPr>
          <w:ilvl w:val="12"/>
          <w:numId w:val="0"/>
        </w:numPr>
        <w:spacing w:line="240" w:lineRule="auto"/>
        <w:ind w:right="-2"/>
        <w:rPr>
          <w:noProof/>
          <w:color w:val="000000"/>
          <w:lang w:val="bg-BG"/>
        </w:rPr>
      </w:pPr>
    </w:p>
    <w:p w14:paraId="3E550D2F" w14:textId="77777777" w:rsidR="00426F49" w:rsidRPr="00FE6AC6" w:rsidRDefault="00426F49" w:rsidP="0063575E">
      <w:pPr>
        <w:widowControl w:val="0"/>
        <w:numPr>
          <w:ilvl w:val="12"/>
          <w:numId w:val="0"/>
        </w:numPr>
        <w:spacing w:line="240" w:lineRule="auto"/>
        <w:ind w:right="-2"/>
        <w:rPr>
          <w:color w:val="000000"/>
          <w:lang w:val="ru-RU"/>
        </w:rPr>
      </w:pPr>
      <w:r w:rsidRPr="00FE6AC6">
        <w:rPr>
          <w:noProof/>
          <w:color w:val="000000"/>
          <w:lang w:val="bg-BG"/>
        </w:rPr>
        <w:t>Ако имате някакви допълнителни въпроси, свързани с употребата на то</w:t>
      </w:r>
      <w:r w:rsidR="001D5414" w:rsidRPr="00FE6AC6">
        <w:rPr>
          <w:noProof/>
          <w:color w:val="000000"/>
          <w:lang w:val="bg-BG"/>
        </w:rPr>
        <w:t>ва лекарство</w:t>
      </w:r>
      <w:r w:rsidRPr="00FE6AC6">
        <w:rPr>
          <w:noProof/>
          <w:color w:val="000000"/>
          <w:lang w:val="bg-BG"/>
        </w:rPr>
        <w:t>, попитайте Вашия лекар</w:t>
      </w:r>
      <w:r w:rsidR="001D5414" w:rsidRPr="00FE6AC6">
        <w:rPr>
          <w:noProof/>
          <w:color w:val="000000"/>
          <w:lang w:val="bg-BG"/>
        </w:rPr>
        <w:t>,</w:t>
      </w:r>
      <w:r w:rsidRPr="00FE6AC6">
        <w:rPr>
          <w:noProof/>
          <w:color w:val="000000"/>
          <w:lang w:val="bg-BG"/>
        </w:rPr>
        <w:t xml:space="preserve"> фармацевт</w:t>
      </w:r>
      <w:r w:rsidR="001D5414" w:rsidRPr="00FE6AC6">
        <w:rPr>
          <w:noProof/>
          <w:color w:val="000000"/>
          <w:lang w:val="bg-BG"/>
        </w:rPr>
        <w:t xml:space="preserve"> или </w:t>
      </w:r>
      <w:r w:rsidR="001D5414" w:rsidRPr="00FE6AC6">
        <w:rPr>
          <w:noProof/>
          <w:szCs w:val="24"/>
          <w:lang w:val="bg-BG"/>
        </w:rPr>
        <w:t>медицинска сестра</w:t>
      </w:r>
      <w:r w:rsidRPr="00FE6AC6">
        <w:rPr>
          <w:noProof/>
          <w:color w:val="000000"/>
          <w:lang w:val="bg-BG"/>
        </w:rPr>
        <w:t>.</w:t>
      </w:r>
    </w:p>
    <w:p w14:paraId="3E550D30" w14:textId="77777777" w:rsidR="00426F49" w:rsidRPr="00FE6AC6" w:rsidRDefault="00426F49" w:rsidP="0063575E">
      <w:pPr>
        <w:widowControl w:val="0"/>
        <w:numPr>
          <w:ilvl w:val="12"/>
          <w:numId w:val="0"/>
        </w:numPr>
        <w:spacing w:line="240" w:lineRule="auto"/>
        <w:ind w:right="-2"/>
        <w:rPr>
          <w:color w:val="000000"/>
          <w:lang w:val="bg-BG"/>
        </w:rPr>
      </w:pPr>
    </w:p>
    <w:p w14:paraId="3E550D31" w14:textId="77777777" w:rsidR="00426F49" w:rsidRPr="00FE6AC6" w:rsidRDefault="00426F49" w:rsidP="0063575E">
      <w:pPr>
        <w:widowControl w:val="0"/>
        <w:numPr>
          <w:ilvl w:val="12"/>
          <w:numId w:val="0"/>
        </w:numPr>
        <w:spacing w:line="240" w:lineRule="auto"/>
        <w:ind w:right="-2"/>
        <w:rPr>
          <w:color w:val="000000"/>
          <w:lang w:val="bg-BG"/>
        </w:rPr>
      </w:pPr>
    </w:p>
    <w:p w14:paraId="3E550D32" w14:textId="77777777" w:rsidR="001B628D" w:rsidRPr="00FE6AC6" w:rsidRDefault="001B628D" w:rsidP="0063575E">
      <w:pPr>
        <w:keepNext/>
        <w:widowControl w:val="0"/>
        <w:numPr>
          <w:ilvl w:val="12"/>
          <w:numId w:val="0"/>
        </w:numPr>
        <w:spacing w:line="240" w:lineRule="auto"/>
        <w:ind w:left="567" w:hanging="567"/>
        <w:rPr>
          <w:color w:val="000000"/>
          <w:lang w:val="bg-BG"/>
        </w:rPr>
      </w:pPr>
      <w:r w:rsidRPr="00FE6AC6">
        <w:rPr>
          <w:b/>
          <w:color w:val="000000"/>
          <w:lang w:val="bg-BG"/>
        </w:rPr>
        <w:t>4.</w:t>
      </w:r>
      <w:r w:rsidRPr="00FE6AC6">
        <w:rPr>
          <w:b/>
          <w:color w:val="000000"/>
          <w:lang w:val="bg-BG"/>
        </w:rPr>
        <w:tab/>
      </w:r>
      <w:r w:rsidRPr="00FE6AC6">
        <w:rPr>
          <w:b/>
          <w:noProof/>
          <w:szCs w:val="24"/>
          <w:lang w:val="bg-BG"/>
        </w:rPr>
        <w:t>Възможни нежелани реакции</w:t>
      </w:r>
    </w:p>
    <w:p w14:paraId="3E550D33" w14:textId="77777777" w:rsidR="001B628D" w:rsidRPr="00FE6AC6" w:rsidRDefault="001B628D" w:rsidP="0063575E">
      <w:pPr>
        <w:keepNext/>
        <w:widowControl w:val="0"/>
        <w:numPr>
          <w:ilvl w:val="12"/>
          <w:numId w:val="0"/>
        </w:numPr>
        <w:spacing w:line="240" w:lineRule="auto"/>
        <w:rPr>
          <w:color w:val="000000"/>
          <w:lang w:val="bg-BG"/>
        </w:rPr>
      </w:pPr>
    </w:p>
    <w:p w14:paraId="3E550D34" w14:textId="77777777" w:rsidR="001B628D" w:rsidRPr="00FE6AC6" w:rsidRDefault="001B628D" w:rsidP="0063575E">
      <w:pPr>
        <w:widowControl w:val="0"/>
        <w:numPr>
          <w:ilvl w:val="12"/>
          <w:numId w:val="0"/>
        </w:numPr>
        <w:spacing w:line="240" w:lineRule="auto"/>
        <w:ind w:right="-2"/>
        <w:rPr>
          <w:b/>
          <w:color w:val="000000"/>
          <w:lang w:val="bg-BG"/>
        </w:rPr>
      </w:pPr>
      <w:r w:rsidRPr="00FE6AC6">
        <w:rPr>
          <w:noProof/>
          <w:color w:val="000000"/>
          <w:lang w:val="bg-BG"/>
        </w:rPr>
        <w:t xml:space="preserve">Както всички лекарства, това лекарство може да предизвика нежелани реакции, въпреки че не всеки ги получава. </w:t>
      </w:r>
      <w:r w:rsidRPr="00FE6AC6">
        <w:rPr>
          <w:color w:val="000000"/>
          <w:lang w:val="bg-BG"/>
        </w:rPr>
        <w:t>Обикновено те са леки до умерени.</w:t>
      </w:r>
    </w:p>
    <w:p w14:paraId="3E550D35" w14:textId="77777777" w:rsidR="001B628D" w:rsidRPr="00FE6AC6" w:rsidRDefault="001B628D" w:rsidP="0063575E">
      <w:pPr>
        <w:widowControl w:val="0"/>
        <w:numPr>
          <w:ilvl w:val="12"/>
          <w:numId w:val="0"/>
        </w:numPr>
        <w:spacing w:line="240" w:lineRule="auto"/>
        <w:ind w:right="-2"/>
        <w:rPr>
          <w:color w:val="000000"/>
          <w:lang w:val="bg-BG"/>
        </w:rPr>
      </w:pPr>
    </w:p>
    <w:p w14:paraId="3E550D36" w14:textId="77777777" w:rsidR="001B628D" w:rsidRPr="00FE6AC6" w:rsidRDefault="001B628D" w:rsidP="0063575E">
      <w:pPr>
        <w:keepNext/>
        <w:widowControl w:val="0"/>
        <w:numPr>
          <w:ilvl w:val="12"/>
          <w:numId w:val="0"/>
        </w:numPr>
        <w:spacing w:line="240" w:lineRule="auto"/>
        <w:rPr>
          <w:b/>
          <w:color w:val="000000"/>
          <w:lang w:val="bg-BG"/>
        </w:rPr>
      </w:pPr>
      <w:r w:rsidRPr="00FE6AC6">
        <w:rPr>
          <w:b/>
          <w:color w:val="000000"/>
          <w:lang w:val="bg-BG"/>
        </w:rPr>
        <w:t>Някои нежелани реакции могат да бъдат сериозни. Информирайте незабавно Вашия лекар, ако получите някоя от изброените по-долу реакции:</w:t>
      </w:r>
    </w:p>
    <w:p w14:paraId="3E550D37" w14:textId="77777777" w:rsidR="001B628D" w:rsidRPr="00FE6AC6" w:rsidRDefault="001B628D" w:rsidP="0063575E">
      <w:pPr>
        <w:keepNext/>
        <w:widowControl w:val="0"/>
        <w:numPr>
          <w:ilvl w:val="12"/>
          <w:numId w:val="0"/>
        </w:numPr>
        <w:spacing w:line="240" w:lineRule="auto"/>
        <w:rPr>
          <w:color w:val="000000"/>
          <w:lang w:val="bg-BG"/>
        </w:rPr>
      </w:pPr>
    </w:p>
    <w:p w14:paraId="3E550D38" w14:textId="77777777" w:rsidR="001B628D" w:rsidRPr="00FE6AC6" w:rsidRDefault="001B628D" w:rsidP="0063575E">
      <w:pPr>
        <w:keepNext/>
        <w:widowControl w:val="0"/>
        <w:numPr>
          <w:ilvl w:val="12"/>
          <w:numId w:val="0"/>
        </w:numPr>
        <w:spacing w:line="240" w:lineRule="auto"/>
        <w:rPr>
          <w:i/>
          <w:color w:val="000000"/>
          <w:lang w:val="bg-BG"/>
        </w:rPr>
      </w:pPr>
      <w:r w:rsidRPr="00FE6AC6">
        <w:rPr>
          <w:b/>
          <w:color w:val="000000"/>
          <w:lang w:val="bg-BG"/>
        </w:rPr>
        <w:t xml:space="preserve">Много чести </w:t>
      </w:r>
      <w:r w:rsidRPr="00FE6AC6">
        <w:rPr>
          <w:color w:val="000000"/>
          <w:lang w:val="bg-BG"/>
        </w:rPr>
        <w:t>(може да засегнат повече от 1 на 10 души)</w:t>
      </w:r>
      <w:r w:rsidRPr="00FE6AC6">
        <w:rPr>
          <w:b/>
          <w:color w:val="000000"/>
          <w:lang w:val="bg-BG"/>
        </w:rPr>
        <w:t xml:space="preserve"> или чести </w:t>
      </w:r>
      <w:r w:rsidRPr="00FE6AC6">
        <w:rPr>
          <w:color w:val="000000"/>
          <w:lang w:val="bg-BG"/>
        </w:rPr>
        <w:t>(може да засегнат до 1</w:t>
      </w:r>
      <w:r w:rsidRPr="00FE6AC6">
        <w:rPr>
          <w:b/>
          <w:color w:val="000000"/>
          <w:lang w:val="bg-BG"/>
        </w:rPr>
        <w:t xml:space="preserve"> </w:t>
      </w:r>
      <w:r w:rsidRPr="00FE6AC6">
        <w:rPr>
          <w:color w:val="000000"/>
          <w:lang w:val="bg-BG"/>
        </w:rPr>
        <w:t>на 10 души):</w:t>
      </w:r>
    </w:p>
    <w:p w14:paraId="3E550D39"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bCs/>
          <w:color w:val="000000"/>
          <w:lang w:val="bg-BG"/>
        </w:rPr>
        <w:t xml:space="preserve">Бързо покачване на теглото. </w:t>
      </w:r>
      <w:r w:rsidRPr="00FE6AC6">
        <w:rPr>
          <w:color w:val="000000"/>
          <w:lang w:val="bg-BG"/>
        </w:rPr>
        <w:t>Glivec може да предизвика задържане на вода в организма (тежка задръжка на течности);</w:t>
      </w:r>
    </w:p>
    <w:p w14:paraId="3E550D3A"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Признаци на инфекция като температура, тежки втрисания, зачервяване на гърлото или ранички в устата. Glivec може да доведе до понижаване на броя на белите кръвни клетки и така да станете по-податливи на инфекции;</w:t>
      </w:r>
    </w:p>
    <w:p w14:paraId="3E550D3B"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Неочаквани кръвотечения или синини (без да сте се наранявали).</w:t>
      </w:r>
    </w:p>
    <w:p w14:paraId="3E550D3C" w14:textId="77777777" w:rsidR="001B628D" w:rsidRPr="00FE6AC6" w:rsidRDefault="001B628D" w:rsidP="0063575E">
      <w:pPr>
        <w:widowControl w:val="0"/>
        <w:tabs>
          <w:tab w:val="clear" w:pos="567"/>
          <w:tab w:val="left" w:pos="-1701"/>
        </w:tabs>
        <w:spacing w:line="240" w:lineRule="auto"/>
        <w:ind w:right="-2"/>
        <w:rPr>
          <w:color w:val="000000"/>
          <w:szCs w:val="22"/>
          <w:lang w:val="bg-BG"/>
        </w:rPr>
      </w:pPr>
    </w:p>
    <w:p w14:paraId="3E550D3D" w14:textId="77777777" w:rsidR="001B628D" w:rsidRPr="00FE6AC6" w:rsidRDefault="001B628D" w:rsidP="0063575E">
      <w:pPr>
        <w:keepNext/>
        <w:widowControl w:val="0"/>
        <w:numPr>
          <w:ilvl w:val="12"/>
          <w:numId w:val="0"/>
        </w:numPr>
        <w:spacing w:line="240" w:lineRule="auto"/>
        <w:rPr>
          <w:i/>
          <w:color w:val="000000"/>
          <w:szCs w:val="22"/>
          <w:lang w:val="bg-BG"/>
        </w:rPr>
      </w:pPr>
      <w:r w:rsidRPr="00FE6AC6">
        <w:rPr>
          <w:b/>
          <w:color w:val="000000"/>
          <w:szCs w:val="22"/>
          <w:lang w:val="bg-BG"/>
        </w:rPr>
        <w:t xml:space="preserve">Нечести </w:t>
      </w:r>
      <w:r w:rsidRPr="00FE6AC6">
        <w:rPr>
          <w:color w:val="000000"/>
          <w:szCs w:val="22"/>
          <w:lang w:val="bg-BG"/>
        </w:rPr>
        <w:t>(може да засегнат до 1 на 100 души)</w:t>
      </w:r>
      <w:r w:rsidRPr="00FE6AC6">
        <w:rPr>
          <w:b/>
          <w:color w:val="000000"/>
          <w:szCs w:val="22"/>
          <w:lang w:val="bg-BG"/>
        </w:rPr>
        <w:t xml:space="preserve"> или редки </w:t>
      </w:r>
      <w:r w:rsidRPr="00FE6AC6">
        <w:rPr>
          <w:color w:val="000000"/>
          <w:szCs w:val="22"/>
          <w:lang w:val="bg-BG"/>
        </w:rPr>
        <w:t>(може да засегнат до 1 на 1 000 души):</w:t>
      </w:r>
    </w:p>
    <w:p w14:paraId="3E550D3E" w14:textId="77777777" w:rsidR="001B628D" w:rsidRPr="00FE6AC6" w:rsidRDefault="001B628D" w:rsidP="0063575E">
      <w:pPr>
        <w:pStyle w:val="Text"/>
        <w:widowControl w:val="0"/>
        <w:numPr>
          <w:ilvl w:val="0"/>
          <w:numId w:val="11"/>
        </w:numPr>
        <w:tabs>
          <w:tab w:val="clear" w:pos="360"/>
        </w:tabs>
        <w:spacing w:before="0"/>
        <w:ind w:left="567" w:hanging="567"/>
        <w:jc w:val="left"/>
        <w:rPr>
          <w:color w:val="000000"/>
          <w:sz w:val="22"/>
          <w:szCs w:val="22"/>
          <w:lang w:val="bg-BG"/>
        </w:rPr>
      </w:pPr>
      <w:r w:rsidRPr="00FE6AC6">
        <w:rPr>
          <w:color w:val="000000"/>
          <w:sz w:val="22"/>
          <w:szCs w:val="22"/>
          <w:lang w:val="bg-BG"/>
        </w:rPr>
        <w:t>Гръдна болка, неправилен сърдечен ритъм (признаци на сърдечни проблеми);</w:t>
      </w:r>
    </w:p>
    <w:p w14:paraId="3E550D3F" w14:textId="77777777" w:rsidR="001B628D" w:rsidRPr="00FE6AC6" w:rsidRDefault="001B628D" w:rsidP="0063575E">
      <w:pPr>
        <w:pStyle w:val="Text"/>
        <w:widowControl w:val="0"/>
        <w:numPr>
          <w:ilvl w:val="0"/>
          <w:numId w:val="11"/>
        </w:numPr>
        <w:tabs>
          <w:tab w:val="clear" w:pos="360"/>
        </w:tabs>
        <w:spacing w:before="0"/>
        <w:ind w:left="567" w:hanging="567"/>
        <w:jc w:val="left"/>
        <w:rPr>
          <w:color w:val="000000"/>
          <w:sz w:val="22"/>
          <w:szCs w:val="22"/>
          <w:lang w:val="bg-BG"/>
        </w:rPr>
      </w:pPr>
      <w:r w:rsidRPr="00FE6AC6">
        <w:rPr>
          <w:color w:val="000000"/>
          <w:sz w:val="22"/>
          <w:szCs w:val="22"/>
          <w:lang w:val="bg-BG"/>
        </w:rPr>
        <w:t>Кашлица, затруднено дишане или болка при дишане (признаци на белодробни проблеми);</w:t>
      </w:r>
    </w:p>
    <w:p w14:paraId="3E550D40" w14:textId="77777777" w:rsidR="001B628D" w:rsidRPr="00FE6AC6" w:rsidRDefault="001B628D" w:rsidP="0063575E">
      <w:pPr>
        <w:pStyle w:val="Text"/>
        <w:widowControl w:val="0"/>
        <w:numPr>
          <w:ilvl w:val="0"/>
          <w:numId w:val="11"/>
        </w:numPr>
        <w:tabs>
          <w:tab w:val="clear" w:pos="360"/>
        </w:tabs>
        <w:spacing w:before="0"/>
        <w:ind w:left="567" w:hanging="567"/>
        <w:jc w:val="left"/>
        <w:rPr>
          <w:color w:val="000000"/>
          <w:sz w:val="22"/>
          <w:szCs w:val="22"/>
          <w:lang w:val="bg-BG"/>
        </w:rPr>
      </w:pPr>
      <w:r w:rsidRPr="00FE6AC6">
        <w:rPr>
          <w:color w:val="000000"/>
          <w:sz w:val="22"/>
          <w:szCs w:val="22"/>
          <w:lang w:val="bg-BG"/>
        </w:rPr>
        <w:t>Усещане за прималяване, замаяност или припадъци (признаци на ниско кръвно налягане);</w:t>
      </w:r>
    </w:p>
    <w:p w14:paraId="3E550D41" w14:textId="77777777" w:rsidR="001B628D" w:rsidRPr="00FE6AC6" w:rsidRDefault="001B628D" w:rsidP="0063575E">
      <w:pPr>
        <w:pStyle w:val="Text"/>
        <w:widowControl w:val="0"/>
        <w:numPr>
          <w:ilvl w:val="0"/>
          <w:numId w:val="12"/>
        </w:numPr>
        <w:tabs>
          <w:tab w:val="clear" w:pos="360"/>
        </w:tabs>
        <w:spacing w:before="0"/>
        <w:ind w:left="567" w:hanging="567"/>
        <w:jc w:val="left"/>
        <w:rPr>
          <w:color w:val="000000"/>
          <w:sz w:val="22"/>
          <w:szCs w:val="22"/>
          <w:lang w:val="bg-BG"/>
        </w:rPr>
      </w:pPr>
      <w:r w:rsidRPr="00FE6AC6">
        <w:rPr>
          <w:color w:val="000000"/>
          <w:sz w:val="22"/>
          <w:szCs w:val="22"/>
          <w:lang w:val="bg-BG"/>
        </w:rPr>
        <w:t>Гадене (повдигане), загуба на апетит, тъмно оцветяване на урината, пожълтяване на кожата или очите (признаци на чернодробни проблеми);</w:t>
      </w:r>
    </w:p>
    <w:p w14:paraId="3E550D42"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 xml:space="preserve">Обрив, зачервена кожа с мехури по устните, очите, кожата или устата, лющене на кожата, висока температура, надигнати червени или морави кожни петна, сърбеж, усещане за парене, гнойна ерупция </w:t>
      </w:r>
      <w:r w:rsidRPr="00FE6AC6">
        <w:rPr>
          <w:color w:val="000000"/>
          <w:lang w:val="ru-RU"/>
        </w:rPr>
        <w:t>(</w:t>
      </w:r>
      <w:r w:rsidRPr="00FE6AC6">
        <w:rPr>
          <w:color w:val="000000"/>
          <w:lang w:val="bg-BG"/>
        </w:rPr>
        <w:t>признаци на кожни проблеми</w:t>
      </w:r>
      <w:r w:rsidRPr="00FE6AC6">
        <w:rPr>
          <w:color w:val="000000"/>
          <w:lang w:val="ru-RU"/>
        </w:rPr>
        <w:t>)</w:t>
      </w:r>
      <w:r w:rsidRPr="00FE6AC6">
        <w:rPr>
          <w:color w:val="000000"/>
          <w:lang w:val="bg-BG"/>
        </w:rPr>
        <w:t>;</w:t>
      </w:r>
    </w:p>
    <w:p w14:paraId="3E550D43"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Силна болка в корема, кръв в повърнатите от Вас материи, в изпражненията или урината, черни изпражнения (признаци на стомашно-чревни нарушения);</w:t>
      </w:r>
    </w:p>
    <w:p w14:paraId="3E550D44"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Силно намалено отделяне на урина, усещане за жажда (признаци на бъбречни проблеми);</w:t>
      </w:r>
    </w:p>
    <w:p w14:paraId="3E550D45"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Гадене (повдигане) с диария и повръщане, болка в корема или висока температура (признаци на чревни проблеми);</w:t>
      </w:r>
    </w:p>
    <w:p w14:paraId="3E550D46"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szCs w:val="22"/>
          <w:lang w:val="bg-BG"/>
        </w:rPr>
        <w:t>Силно главоболие, слабост или парализа на крайниците или лицето, затруднен говор, внезапна загуба на съзнание (признаци на проблеми от страна на нервната система, като кървене или вътречерепен/мозъчен оток)</w:t>
      </w:r>
      <w:r w:rsidRPr="00FE6AC6">
        <w:rPr>
          <w:color w:val="000000"/>
          <w:lang w:val="ru-RU"/>
        </w:rPr>
        <w:t>;</w:t>
      </w:r>
    </w:p>
    <w:p w14:paraId="3E550D47"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ru-RU"/>
        </w:rPr>
        <w:t>Бледа кожа, усещане за умора и затруднено дишане, потъмняване на урината (признаци на понижен брой на червените кръвни клетки)</w:t>
      </w:r>
      <w:r w:rsidRPr="00FE6AC6">
        <w:rPr>
          <w:color w:val="000000"/>
          <w:lang w:val="bg-BG"/>
        </w:rPr>
        <w:t>;</w:t>
      </w:r>
    </w:p>
    <w:p w14:paraId="3E550D48"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Болка в очите или влошаване на зрението, кръвоизливи в очите;</w:t>
      </w:r>
    </w:p>
    <w:p w14:paraId="3E550D49"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Болка в бедрата или затруднения при ходене;</w:t>
      </w:r>
    </w:p>
    <w:p w14:paraId="3E550D4A"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Изтръпнали или студени пръсти на краката и ръцете (признаци на синдрома на Рейно);</w:t>
      </w:r>
    </w:p>
    <w:p w14:paraId="3E550D4B"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Внезапно отичане и зачервяване на кожата (признаци на кожна инфекция, наречена целулит);</w:t>
      </w:r>
    </w:p>
    <w:p w14:paraId="3E550D4C"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Намален слух;</w:t>
      </w:r>
    </w:p>
    <w:p w14:paraId="3E550D4D"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Мускулна слабост и спазми с нарушен сърдечен ритъм (признаци за промяна на количеството на калий в кръвта);</w:t>
      </w:r>
    </w:p>
    <w:p w14:paraId="3E550D4E"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Образуване на синини;</w:t>
      </w:r>
    </w:p>
    <w:p w14:paraId="3E550D4F"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Болка в стомаха с гадене (повдигане);</w:t>
      </w:r>
    </w:p>
    <w:p w14:paraId="3E550D50"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bg-BG"/>
        </w:rPr>
        <w:t xml:space="preserve">Мускулни спазми с температура, червено-кафяво оцветяване на урината, мускулна болка или слабост </w:t>
      </w:r>
      <w:r w:rsidRPr="00FE6AC6">
        <w:rPr>
          <w:color w:val="000000"/>
          <w:lang w:val="ru-RU"/>
        </w:rPr>
        <w:t>(</w:t>
      </w:r>
      <w:r w:rsidRPr="00FE6AC6">
        <w:rPr>
          <w:color w:val="000000"/>
          <w:lang w:val="bg-BG"/>
        </w:rPr>
        <w:t>признаци на мускулни проблеми</w:t>
      </w:r>
      <w:r w:rsidRPr="00FE6AC6">
        <w:rPr>
          <w:color w:val="000000"/>
          <w:lang w:val="ru-RU"/>
        </w:rPr>
        <w:t>);</w:t>
      </w:r>
    </w:p>
    <w:p w14:paraId="3E550D51" w14:textId="77777777" w:rsidR="001B628D"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ru-RU"/>
        </w:rPr>
        <w:t>Болка в областта на таза, понякога придружена от гадене и повръщане, необяснимо кървене от влагалището, усещане за замаяност или припадъци, поради спадане на кръвното налягане (признаци на проблеми с яйчниците или матката);</w:t>
      </w:r>
    </w:p>
    <w:p w14:paraId="3E550D52" w14:textId="77777777" w:rsidR="00995191" w:rsidRPr="00FE6AC6" w:rsidRDefault="001B628D"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ru-RU"/>
        </w:rPr>
        <w:t xml:space="preserve">Гадене, недостиг на въздух, неправилен сърдечен ритъм, помътняване на урината, умора и/или дискомфорт в ставите, свързани с отклонения в лабораторните показатели (напр. високи нива на калий, пикочна киселина и </w:t>
      </w:r>
      <w:r w:rsidR="00CB312D" w:rsidRPr="00FE6AC6">
        <w:rPr>
          <w:color w:val="000000"/>
          <w:lang w:val="ru-RU"/>
        </w:rPr>
        <w:t>калций</w:t>
      </w:r>
      <w:r w:rsidRPr="00FE6AC6">
        <w:rPr>
          <w:color w:val="000000"/>
          <w:lang w:val="ru-RU"/>
        </w:rPr>
        <w:t xml:space="preserve"> и ниски нива на </w:t>
      </w:r>
      <w:r w:rsidR="00CB312D" w:rsidRPr="00FE6AC6">
        <w:rPr>
          <w:color w:val="000000"/>
          <w:lang w:val="ru-RU"/>
        </w:rPr>
        <w:t>фосфор</w:t>
      </w:r>
      <w:r w:rsidRPr="00FE6AC6">
        <w:rPr>
          <w:color w:val="000000"/>
          <w:lang w:val="ru-RU"/>
        </w:rPr>
        <w:t xml:space="preserve"> в кръвта)</w:t>
      </w:r>
      <w:r w:rsidR="00995191" w:rsidRPr="00FE6AC6">
        <w:rPr>
          <w:color w:val="000000"/>
          <w:lang w:val="ru-RU"/>
        </w:rPr>
        <w:t>;</w:t>
      </w:r>
    </w:p>
    <w:p w14:paraId="3E550D53" w14:textId="77777777" w:rsidR="001B628D" w:rsidRPr="00FE6AC6" w:rsidRDefault="00995191" w:rsidP="0063575E">
      <w:pPr>
        <w:widowControl w:val="0"/>
        <w:numPr>
          <w:ilvl w:val="0"/>
          <w:numId w:val="5"/>
        </w:numPr>
        <w:tabs>
          <w:tab w:val="clear" w:pos="720"/>
          <w:tab w:val="left" w:pos="-1701"/>
          <w:tab w:val="num" w:pos="567"/>
        </w:tabs>
        <w:spacing w:line="240" w:lineRule="auto"/>
        <w:ind w:left="567" w:right="-2" w:hanging="567"/>
        <w:rPr>
          <w:color w:val="000000"/>
          <w:lang w:val="bg-BG"/>
        </w:rPr>
      </w:pPr>
      <w:r w:rsidRPr="00FE6AC6">
        <w:rPr>
          <w:color w:val="000000"/>
          <w:lang w:val="ru-RU"/>
        </w:rPr>
        <w:t>Кръвни съсиреци в малките кръвоносни съдове (тромботична микроангиопатия)</w:t>
      </w:r>
      <w:r w:rsidR="001B628D" w:rsidRPr="00FE6AC6">
        <w:rPr>
          <w:color w:val="000000"/>
          <w:lang w:val="ru-RU"/>
        </w:rPr>
        <w:t>.</w:t>
      </w:r>
    </w:p>
    <w:p w14:paraId="3E550D54" w14:textId="77777777" w:rsidR="005B7D7C" w:rsidRPr="00FE6AC6" w:rsidRDefault="005B7D7C" w:rsidP="0063575E">
      <w:pPr>
        <w:pStyle w:val="Text"/>
        <w:widowControl w:val="0"/>
        <w:spacing w:before="0"/>
        <w:jc w:val="left"/>
        <w:rPr>
          <w:color w:val="000000"/>
          <w:sz w:val="22"/>
          <w:szCs w:val="22"/>
          <w:lang w:val="bg-BG"/>
        </w:rPr>
      </w:pPr>
    </w:p>
    <w:p w14:paraId="3E550D55" w14:textId="77777777" w:rsidR="00CB312D" w:rsidRPr="00FE6AC6" w:rsidRDefault="005B7D7C" w:rsidP="0063575E">
      <w:pPr>
        <w:pStyle w:val="Text"/>
        <w:keepNext/>
        <w:widowControl w:val="0"/>
        <w:spacing w:before="0"/>
        <w:jc w:val="left"/>
        <w:rPr>
          <w:color w:val="000000"/>
          <w:sz w:val="22"/>
          <w:szCs w:val="22"/>
          <w:lang w:val="bg-BG"/>
        </w:rPr>
      </w:pPr>
      <w:r w:rsidRPr="00FE6AC6">
        <w:rPr>
          <w:b/>
          <w:color w:val="000000"/>
          <w:sz w:val="22"/>
          <w:szCs w:val="22"/>
          <w:lang w:val="bg-BG"/>
        </w:rPr>
        <w:t>С неизвестна честота</w:t>
      </w:r>
      <w:r w:rsidR="00CB312D" w:rsidRPr="00FE6AC6">
        <w:rPr>
          <w:b/>
          <w:color w:val="000000"/>
          <w:sz w:val="22"/>
          <w:szCs w:val="22"/>
          <w:lang w:val="bg-BG"/>
        </w:rPr>
        <w:t xml:space="preserve"> </w:t>
      </w:r>
      <w:r w:rsidR="00CB312D" w:rsidRPr="00FE6AC6">
        <w:rPr>
          <w:noProof/>
          <w:sz w:val="22"/>
          <w:szCs w:val="22"/>
          <w:lang w:val="bg-BG"/>
        </w:rPr>
        <w:t>(от наличните данни не може да бъде направена оценка на честотата)</w:t>
      </w:r>
      <w:r w:rsidR="00CB312D" w:rsidRPr="00FE6AC6">
        <w:rPr>
          <w:color w:val="000000"/>
          <w:sz w:val="22"/>
          <w:szCs w:val="22"/>
          <w:lang w:val="bg-BG"/>
        </w:rPr>
        <w:t>:</w:t>
      </w:r>
    </w:p>
    <w:p w14:paraId="3E550D56" w14:textId="77777777" w:rsidR="004F49D8" w:rsidRPr="00FE6AC6" w:rsidRDefault="005B7D7C" w:rsidP="0063575E">
      <w:pPr>
        <w:pStyle w:val="Text"/>
        <w:widowControl w:val="0"/>
        <w:numPr>
          <w:ilvl w:val="0"/>
          <w:numId w:val="42"/>
        </w:numPr>
        <w:tabs>
          <w:tab w:val="clear" w:pos="357"/>
        </w:tabs>
        <w:spacing w:before="0"/>
        <w:ind w:left="567" w:hanging="567"/>
        <w:jc w:val="left"/>
        <w:rPr>
          <w:sz w:val="22"/>
          <w:szCs w:val="22"/>
          <w:lang w:val="bg-BG"/>
        </w:rPr>
      </w:pPr>
      <w:r w:rsidRPr="00FE6AC6">
        <w:rPr>
          <w:sz w:val="22"/>
          <w:szCs w:val="22"/>
          <w:lang w:val="bg-BG"/>
        </w:rPr>
        <w:t xml:space="preserve">Комбинация от </w:t>
      </w:r>
      <w:r w:rsidR="00E01AB3" w:rsidRPr="00FE6AC6">
        <w:rPr>
          <w:sz w:val="22"/>
          <w:szCs w:val="22"/>
          <w:lang w:val="bg-BG"/>
        </w:rPr>
        <w:t>широко разпространен</w:t>
      </w:r>
      <w:r w:rsidRPr="00FE6AC6">
        <w:rPr>
          <w:sz w:val="22"/>
          <w:szCs w:val="22"/>
          <w:lang w:val="bg-BG"/>
        </w:rPr>
        <w:t xml:space="preserve"> тежък обрив, гадене, висока температура, повишен брой на определени бели кръвни клетки или пожълтяване на кожата или очите (признаци на жълтеница) със задух, гръдна болка/дискомфорт, силно намаляване на количеството на отделената урина, жажда и т.н. (признаци на алергична реакция, свързана с лечението)</w:t>
      </w:r>
      <w:r w:rsidR="004F49D8" w:rsidRPr="00FE6AC6">
        <w:rPr>
          <w:sz w:val="22"/>
          <w:szCs w:val="22"/>
          <w:lang w:val="bg-BG"/>
        </w:rPr>
        <w:t>;</w:t>
      </w:r>
    </w:p>
    <w:p w14:paraId="3E550D57" w14:textId="77777777" w:rsidR="005B7D7C" w:rsidRPr="00FE6AC6" w:rsidRDefault="004F49D8" w:rsidP="0063575E">
      <w:pPr>
        <w:pStyle w:val="Text"/>
        <w:widowControl w:val="0"/>
        <w:numPr>
          <w:ilvl w:val="0"/>
          <w:numId w:val="42"/>
        </w:numPr>
        <w:tabs>
          <w:tab w:val="clear" w:pos="357"/>
        </w:tabs>
        <w:spacing w:before="0"/>
        <w:ind w:left="567" w:hanging="567"/>
        <w:jc w:val="left"/>
        <w:rPr>
          <w:sz w:val="22"/>
          <w:szCs w:val="22"/>
          <w:lang w:val="bg-BG"/>
        </w:rPr>
      </w:pPr>
      <w:r w:rsidRPr="00FE6AC6">
        <w:rPr>
          <w:sz w:val="22"/>
          <w:szCs w:val="22"/>
          <w:lang w:val="bg-BG"/>
        </w:rPr>
        <w:t>Хронична бъбречна недостатъчност</w:t>
      </w:r>
      <w:r w:rsidR="005B7D7C" w:rsidRPr="00FE6AC6">
        <w:rPr>
          <w:sz w:val="22"/>
          <w:szCs w:val="22"/>
          <w:lang w:val="bg-BG"/>
        </w:rPr>
        <w:t>.</w:t>
      </w:r>
    </w:p>
    <w:p w14:paraId="3E550D58" w14:textId="77777777" w:rsidR="005E1CCC" w:rsidRPr="00FE6AC6" w:rsidRDefault="005E1CCC" w:rsidP="0063575E">
      <w:pPr>
        <w:pStyle w:val="Text"/>
        <w:widowControl w:val="0"/>
        <w:numPr>
          <w:ilvl w:val="0"/>
          <w:numId w:val="42"/>
        </w:numPr>
        <w:tabs>
          <w:tab w:val="clear" w:pos="357"/>
          <w:tab w:val="num" w:pos="567"/>
        </w:tabs>
        <w:spacing w:before="0"/>
        <w:ind w:left="567" w:hanging="567"/>
        <w:jc w:val="left"/>
        <w:rPr>
          <w:sz w:val="22"/>
          <w:szCs w:val="22"/>
          <w:lang w:val="bg-BG"/>
        </w:rPr>
      </w:pPr>
      <w:r w:rsidRPr="00FE6AC6">
        <w:rPr>
          <w:sz w:val="22"/>
          <w:szCs w:val="22"/>
          <w:lang w:val="bg-BG"/>
        </w:rPr>
        <w:t>Рецидив (повторно активиране) на инфекция с хепатит В, когато сте имали хепатит B в миналото (инфекция на черния дроб).</w:t>
      </w:r>
    </w:p>
    <w:p w14:paraId="3E550D59" w14:textId="77777777" w:rsidR="005B7D7C" w:rsidRPr="00FE6AC6" w:rsidRDefault="005B7D7C" w:rsidP="0063575E">
      <w:pPr>
        <w:widowControl w:val="0"/>
        <w:tabs>
          <w:tab w:val="clear" w:pos="567"/>
        </w:tabs>
        <w:spacing w:line="240" w:lineRule="auto"/>
        <w:ind w:right="-2"/>
        <w:rPr>
          <w:color w:val="000000"/>
          <w:lang w:val="bg-BG"/>
        </w:rPr>
      </w:pPr>
    </w:p>
    <w:p w14:paraId="3E550D5A" w14:textId="77777777" w:rsidR="001B628D" w:rsidRPr="00FE6AC6" w:rsidRDefault="001B628D" w:rsidP="0063575E">
      <w:pPr>
        <w:widowControl w:val="0"/>
        <w:tabs>
          <w:tab w:val="clear" w:pos="567"/>
        </w:tabs>
        <w:spacing w:line="240" w:lineRule="auto"/>
        <w:ind w:right="-2"/>
        <w:rPr>
          <w:b/>
          <w:color w:val="000000"/>
          <w:lang w:val="bg-BG"/>
        </w:rPr>
      </w:pPr>
      <w:r w:rsidRPr="00FE6AC6">
        <w:rPr>
          <w:color w:val="000000"/>
          <w:lang w:val="bg-BG"/>
        </w:rPr>
        <w:t xml:space="preserve">Ако получите някоя от изброените по-горе нежелани реакции, </w:t>
      </w:r>
      <w:r w:rsidRPr="00FE6AC6">
        <w:rPr>
          <w:b/>
          <w:color w:val="000000"/>
          <w:lang w:val="bg-BG"/>
        </w:rPr>
        <w:t>информирайте Вашия лекар незабавно.</w:t>
      </w:r>
    </w:p>
    <w:p w14:paraId="3E550D5B" w14:textId="77777777" w:rsidR="001B628D" w:rsidRPr="00FE6AC6" w:rsidRDefault="001B628D" w:rsidP="0063575E">
      <w:pPr>
        <w:widowControl w:val="0"/>
        <w:tabs>
          <w:tab w:val="clear" w:pos="567"/>
        </w:tabs>
        <w:spacing w:line="240" w:lineRule="auto"/>
        <w:ind w:right="-2"/>
        <w:rPr>
          <w:color w:val="000000"/>
          <w:lang w:val="bg-BG"/>
        </w:rPr>
      </w:pPr>
    </w:p>
    <w:p w14:paraId="3E550D5C" w14:textId="77777777" w:rsidR="001B628D" w:rsidRPr="00FE6AC6" w:rsidRDefault="001B628D" w:rsidP="0063575E">
      <w:pPr>
        <w:keepNext/>
        <w:widowControl w:val="0"/>
        <w:spacing w:line="240" w:lineRule="auto"/>
        <w:ind w:right="-2"/>
        <w:rPr>
          <w:b/>
          <w:color w:val="000000"/>
          <w:lang w:val="bg-BG"/>
        </w:rPr>
      </w:pPr>
      <w:r w:rsidRPr="00FE6AC6">
        <w:rPr>
          <w:b/>
          <w:color w:val="000000"/>
          <w:lang w:val="bg-BG"/>
        </w:rPr>
        <w:t>Други нежелани реакции могат да включват:</w:t>
      </w:r>
    </w:p>
    <w:p w14:paraId="3E550D5D" w14:textId="77777777" w:rsidR="001B628D" w:rsidRPr="00FE6AC6" w:rsidRDefault="001B628D" w:rsidP="0063575E">
      <w:pPr>
        <w:keepNext/>
        <w:widowControl w:val="0"/>
        <w:spacing w:line="240" w:lineRule="auto"/>
        <w:ind w:right="-2"/>
        <w:rPr>
          <w:color w:val="000000"/>
          <w:lang w:val="bg-BG"/>
        </w:rPr>
      </w:pPr>
    </w:p>
    <w:p w14:paraId="3E550D5E" w14:textId="77777777" w:rsidR="001B628D" w:rsidRPr="00FE6AC6" w:rsidRDefault="001B628D" w:rsidP="0063575E">
      <w:pPr>
        <w:keepNext/>
        <w:widowControl w:val="0"/>
        <w:spacing w:line="240" w:lineRule="auto"/>
        <w:ind w:right="-2"/>
        <w:rPr>
          <w:color w:val="000000"/>
          <w:lang w:val="bg-BG"/>
        </w:rPr>
      </w:pPr>
      <w:r w:rsidRPr="00FE6AC6">
        <w:rPr>
          <w:b/>
          <w:color w:val="000000"/>
          <w:lang w:val="bg-BG"/>
        </w:rPr>
        <w:t xml:space="preserve">Много чести </w:t>
      </w:r>
      <w:r w:rsidRPr="00FE6AC6">
        <w:rPr>
          <w:color w:val="000000"/>
          <w:lang w:val="bg-BG"/>
        </w:rPr>
        <w:t>(може да засегнат повече от 1 на 10 души):</w:t>
      </w:r>
    </w:p>
    <w:p w14:paraId="3E550D5F" w14:textId="77777777" w:rsidR="001B628D" w:rsidRPr="00FE6AC6" w:rsidRDefault="001B628D" w:rsidP="0063575E">
      <w:pPr>
        <w:widowControl w:val="0"/>
        <w:numPr>
          <w:ilvl w:val="0"/>
          <w:numId w:val="25"/>
        </w:numPr>
        <w:tabs>
          <w:tab w:val="clear" w:pos="927"/>
          <w:tab w:val="num" w:pos="567"/>
        </w:tabs>
        <w:spacing w:line="240" w:lineRule="auto"/>
        <w:ind w:left="567" w:right="-2" w:hanging="567"/>
        <w:rPr>
          <w:b/>
          <w:color w:val="000000"/>
          <w:lang w:val="bg-BG"/>
        </w:rPr>
      </w:pPr>
      <w:r w:rsidRPr="00FE6AC6">
        <w:rPr>
          <w:color w:val="000000"/>
          <w:lang w:val="bg-BG"/>
        </w:rPr>
        <w:t>Главоболие или усещане за умора;</w:t>
      </w:r>
    </w:p>
    <w:p w14:paraId="3E550D60" w14:textId="77777777" w:rsidR="001B628D" w:rsidRPr="00FE6AC6" w:rsidRDefault="001B628D" w:rsidP="0063575E">
      <w:pPr>
        <w:widowControl w:val="0"/>
        <w:numPr>
          <w:ilvl w:val="0"/>
          <w:numId w:val="26"/>
        </w:numPr>
        <w:tabs>
          <w:tab w:val="clear" w:pos="927"/>
          <w:tab w:val="num" w:pos="567"/>
        </w:tabs>
        <w:spacing w:line="240" w:lineRule="auto"/>
        <w:ind w:left="567" w:right="-2" w:hanging="567"/>
        <w:rPr>
          <w:b/>
          <w:color w:val="000000"/>
          <w:lang w:val="bg-BG"/>
        </w:rPr>
      </w:pPr>
      <w:r w:rsidRPr="00FE6AC6">
        <w:rPr>
          <w:color w:val="000000"/>
          <w:lang w:val="bg-BG"/>
        </w:rPr>
        <w:t>Гадене (повдигане), повръщане, диария или лошо храносмилане;</w:t>
      </w:r>
    </w:p>
    <w:p w14:paraId="3E550D61" w14:textId="77777777" w:rsidR="001B628D" w:rsidRPr="00FE6AC6" w:rsidRDefault="001B628D" w:rsidP="0063575E">
      <w:pPr>
        <w:widowControl w:val="0"/>
        <w:numPr>
          <w:ilvl w:val="0"/>
          <w:numId w:val="27"/>
        </w:numPr>
        <w:tabs>
          <w:tab w:val="clear" w:pos="927"/>
          <w:tab w:val="num" w:pos="567"/>
        </w:tabs>
        <w:spacing w:line="240" w:lineRule="auto"/>
        <w:ind w:left="567" w:right="-2" w:hanging="567"/>
        <w:rPr>
          <w:b/>
          <w:color w:val="000000"/>
          <w:lang w:val="bg-BG"/>
        </w:rPr>
      </w:pPr>
      <w:r w:rsidRPr="00FE6AC6">
        <w:rPr>
          <w:color w:val="000000"/>
          <w:lang w:val="bg-BG"/>
        </w:rPr>
        <w:t>Обрив;</w:t>
      </w:r>
    </w:p>
    <w:p w14:paraId="3E550D62" w14:textId="77777777" w:rsidR="001B628D" w:rsidRPr="00FE6AC6" w:rsidRDefault="001B628D" w:rsidP="0063575E">
      <w:pPr>
        <w:widowControl w:val="0"/>
        <w:numPr>
          <w:ilvl w:val="0"/>
          <w:numId w:val="28"/>
        </w:numPr>
        <w:tabs>
          <w:tab w:val="clear" w:pos="927"/>
          <w:tab w:val="num" w:pos="567"/>
        </w:tabs>
        <w:spacing w:line="240" w:lineRule="auto"/>
        <w:ind w:left="567" w:right="-2" w:hanging="567"/>
        <w:rPr>
          <w:b/>
          <w:color w:val="000000"/>
          <w:lang w:val="bg-BG"/>
        </w:rPr>
      </w:pPr>
      <w:r w:rsidRPr="00FE6AC6">
        <w:rPr>
          <w:color w:val="000000"/>
          <w:lang w:val="bg-BG"/>
        </w:rPr>
        <w:t>Мускулни спазми или болки в ставите, мускулите или костите</w:t>
      </w:r>
      <w:r w:rsidR="006603F8" w:rsidRPr="00FE6AC6">
        <w:rPr>
          <w:color w:val="000000"/>
          <w:lang w:val="bg-BG"/>
        </w:rPr>
        <w:t xml:space="preserve"> по време на лечението с </w:t>
      </w:r>
      <w:r w:rsidR="006603F8" w:rsidRPr="00FE6AC6">
        <w:rPr>
          <w:color w:val="000000"/>
          <w:lang w:val="en-US"/>
        </w:rPr>
        <w:t>Glivec</w:t>
      </w:r>
      <w:r w:rsidR="006603F8" w:rsidRPr="00FE6AC6">
        <w:rPr>
          <w:color w:val="000000"/>
          <w:lang w:val="bg-BG"/>
        </w:rPr>
        <w:t xml:space="preserve"> или след като сте спрели приема на </w:t>
      </w:r>
      <w:r w:rsidR="006603F8" w:rsidRPr="00FE6AC6">
        <w:rPr>
          <w:color w:val="000000"/>
          <w:lang w:val="en-US"/>
        </w:rPr>
        <w:t>Glivec</w:t>
      </w:r>
      <w:r w:rsidRPr="00FE6AC6">
        <w:rPr>
          <w:color w:val="000000"/>
          <w:lang w:val="bg-BG"/>
        </w:rPr>
        <w:t>;</w:t>
      </w:r>
    </w:p>
    <w:p w14:paraId="3E550D63" w14:textId="77777777" w:rsidR="001B628D" w:rsidRPr="00FE6AC6" w:rsidRDefault="001B628D" w:rsidP="0063575E">
      <w:pPr>
        <w:widowControl w:val="0"/>
        <w:numPr>
          <w:ilvl w:val="0"/>
          <w:numId w:val="29"/>
        </w:numPr>
        <w:tabs>
          <w:tab w:val="clear" w:pos="927"/>
        </w:tabs>
        <w:spacing w:line="240" w:lineRule="auto"/>
        <w:ind w:left="567" w:right="-2" w:hanging="567"/>
        <w:rPr>
          <w:b/>
          <w:color w:val="000000"/>
          <w:lang w:val="bg-BG"/>
        </w:rPr>
      </w:pPr>
      <w:r w:rsidRPr="00FE6AC6">
        <w:rPr>
          <w:color w:val="000000"/>
          <w:lang w:val="bg-BG"/>
        </w:rPr>
        <w:t>Отичане на глезените или подпухване на клепачите;</w:t>
      </w:r>
    </w:p>
    <w:p w14:paraId="3E550D64" w14:textId="77777777" w:rsidR="001B628D" w:rsidRPr="00FE6AC6" w:rsidRDefault="001B628D" w:rsidP="00572F70">
      <w:pPr>
        <w:keepNext/>
        <w:widowControl w:val="0"/>
        <w:numPr>
          <w:ilvl w:val="0"/>
          <w:numId w:val="30"/>
        </w:numPr>
        <w:tabs>
          <w:tab w:val="clear" w:pos="927"/>
          <w:tab w:val="num" w:pos="567"/>
        </w:tabs>
        <w:spacing w:line="240" w:lineRule="auto"/>
        <w:ind w:left="567" w:hanging="567"/>
        <w:rPr>
          <w:b/>
          <w:color w:val="000000"/>
          <w:lang w:val="bg-BG"/>
        </w:rPr>
      </w:pPr>
      <w:r w:rsidRPr="00FE6AC6">
        <w:rPr>
          <w:color w:val="000000"/>
          <w:lang w:val="bg-BG"/>
        </w:rPr>
        <w:t>Покачване на тегло.</w:t>
      </w:r>
    </w:p>
    <w:p w14:paraId="3E550D65" w14:textId="77777777" w:rsidR="001B628D" w:rsidRPr="00FE6AC6" w:rsidRDefault="001B628D" w:rsidP="0063575E">
      <w:pPr>
        <w:widowControl w:val="0"/>
        <w:spacing w:line="240" w:lineRule="auto"/>
        <w:ind w:right="-2"/>
        <w:rPr>
          <w:color w:val="000000"/>
          <w:lang w:val="bg-BG"/>
        </w:rPr>
      </w:pPr>
      <w:r w:rsidRPr="00FE6AC6">
        <w:rPr>
          <w:color w:val="000000"/>
          <w:lang w:val="bg-BG"/>
        </w:rPr>
        <w:t xml:space="preserve">Ако някоя от тези реакции Ви засегне в сериозна степен, </w:t>
      </w:r>
      <w:r w:rsidRPr="00FE6AC6">
        <w:rPr>
          <w:b/>
          <w:color w:val="000000"/>
          <w:lang w:val="bg-BG"/>
        </w:rPr>
        <w:t>информирайте Вашия лекар.</w:t>
      </w:r>
    </w:p>
    <w:p w14:paraId="3E550D66" w14:textId="77777777" w:rsidR="001B628D" w:rsidRPr="00FE6AC6" w:rsidRDefault="001B628D" w:rsidP="0063575E">
      <w:pPr>
        <w:widowControl w:val="0"/>
        <w:spacing w:line="240" w:lineRule="auto"/>
        <w:ind w:right="-2"/>
        <w:rPr>
          <w:color w:val="000000"/>
          <w:lang w:val="bg-BG"/>
        </w:rPr>
      </w:pPr>
    </w:p>
    <w:p w14:paraId="3E550D67" w14:textId="77777777" w:rsidR="001B628D" w:rsidRPr="00FE6AC6" w:rsidRDefault="001B628D" w:rsidP="0063575E">
      <w:pPr>
        <w:keepNext/>
        <w:widowControl w:val="0"/>
        <w:spacing w:line="240" w:lineRule="auto"/>
        <w:ind w:right="-2"/>
        <w:rPr>
          <w:color w:val="000000"/>
          <w:lang w:val="bg-BG"/>
        </w:rPr>
      </w:pPr>
      <w:r w:rsidRPr="00FE6AC6">
        <w:rPr>
          <w:b/>
          <w:color w:val="000000"/>
          <w:lang w:val="bg-BG"/>
        </w:rPr>
        <w:t xml:space="preserve">Чести </w:t>
      </w:r>
      <w:r w:rsidRPr="00FE6AC6">
        <w:rPr>
          <w:color w:val="000000"/>
          <w:lang w:val="bg-BG"/>
        </w:rPr>
        <w:t>(може да засегнат до 1 на 10 души):</w:t>
      </w:r>
    </w:p>
    <w:p w14:paraId="3E550D68"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Анорексия, загуба на тегло или нарушения на вкуса;</w:t>
      </w:r>
    </w:p>
    <w:p w14:paraId="3E550D69"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Усещане за замаяност или слабост;</w:t>
      </w:r>
    </w:p>
    <w:p w14:paraId="3E550D6A"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Нарушения на съня (безсъние);</w:t>
      </w:r>
    </w:p>
    <w:p w14:paraId="3E550D6B"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Сълзене от окото със сърбеж, зачервяване и оток (конюнктивит), насълзяване на очите или замъгляване на зрението;</w:t>
      </w:r>
    </w:p>
    <w:p w14:paraId="3E550D6C"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Кървене от носа;</w:t>
      </w:r>
    </w:p>
    <w:p w14:paraId="3E550D6D"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Болка или подуване на корема, образуване на газове, киселини или запек;</w:t>
      </w:r>
    </w:p>
    <w:p w14:paraId="3E550D6E"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Сърбеж;</w:t>
      </w:r>
    </w:p>
    <w:p w14:paraId="3E550D6F"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Необясним косопад или изтъняване на косата;</w:t>
      </w:r>
    </w:p>
    <w:p w14:paraId="3E550D70"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Изтръпване на ръцете от китката надолу или стъпалата;</w:t>
      </w:r>
    </w:p>
    <w:p w14:paraId="3E550D71"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Ранички в устата;</w:t>
      </w:r>
    </w:p>
    <w:p w14:paraId="3E550D72"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Болка и подуване на ставите;</w:t>
      </w:r>
    </w:p>
    <w:p w14:paraId="3E550D73"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Сухота в устата, суха кожа, сухота в очите;</w:t>
      </w:r>
    </w:p>
    <w:p w14:paraId="3E550D74" w14:textId="77777777" w:rsidR="001B628D" w:rsidRPr="00FE6AC6" w:rsidRDefault="001B628D" w:rsidP="0063575E">
      <w:pPr>
        <w:widowControl w:val="0"/>
        <w:numPr>
          <w:ilvl w:val="0"/>
          <w:numId w:val="30"/>
        </w:numPr>
        <w:tabs>
          <w:tab w:val="clear" w:pos="927"/>
          <w:tab w:val="num" w:pos="567"/>
        </w:tabs>
        <w:spacing w:line="240" w:lineRule="auto"/>
        <w:ind w:left="567" w:right="-2" w:hanging="567"/>
        <w:rPr>
          <w:color w:val="000000"/>
          <w:lang w:val="bg-BG"/>
        </w:rPr>
      </w:pPr>
      <w:r w:rsidRPr="00FE6AC6">
        <w:rPr>
          <w:color w:val="000000"/>
          <w:lang w:val="bg-BG"/>
        </w:rPr>
        <w:t>Понижена или повишена чувствителност на кожата;</w:t>
      </w:r>
    </w:p>
    <w:p w14:paraId="3E550D75" w14:textId="77777777" w:rsidR="001B628D" w:rsidRPr="00FE6AC6" w:rsidRDefault="001B628D" w:rsidP="00572F70">
      <w:pPr>
        <w:keepNext/>
        <w:widowControl w:val="0"/>
        <w:numPr>
          <w:ilvl w:val="0"/>
          <w:numId w:val="30"/>
        </w:numPr>
        <w:tabs>
          <w:tab w:val="clear" w:pos="927"/>
          <w:tab w:val="num" w:pos="567"/>
        </w:tabs>
        <w:spacing w:line="240" w:lineRule="auto"/>
        <w:ind w:left="567" w:hanging="567"/>
        <w:rPr>
          <w:color w:val="000000"/>
          <w:lang w:val="bg-BG"/>
        </w:rPr>
      </w:pPr>
      <w:r w:rsidRPr="00FE6AC6">
        <w:rPr>
          <w:color w:val="000000"/>
          <w:lang w:val="bg-BG"/>
        </w:rPr>
        <w:t>Горещи вълни, втрисане или нощни изпотявания.</w:t>
      </w:r>
    </w:p>
    <w:p w14:paraId="3E550D76" w14:textId="77777777" w:rsidR="001B628D" w:rsidRPr="00FE6AC6" w:rsidRDefault="001B628D" w:rsidP="0063575E">
      <w:pPr>
        <w:widowControl w:val="0"/>
        <w:spacing w:line="240" w:lineRule="auto"/>
        <w:ind w:right="-2"/>
        <w:rPr>
          <w:color w:val="000000"/>
          <w:lang w:val="bg-BG"/>
        </w:rPr>
      </w:pPr>
      <w:r w:rsidRPr="00FE6AC6">
        <w:rPr>
          <w:color w:val="000000"/>
          <w:lang w:val="bg-BG"/>
        </w:rPr>
        <w:t xml:space="preserve">Ако някоя от тези реакции Ви засегне в сериозна степен, </w:t>
      </w:r>
      <w:r w:rsidRPr="00FE6AC6">
        <w:rPr>
          <w:b/>
          <w:color w:val="000000"/>
          <w:lang w:val="bg-BG"/>
        </w:rPr>
        <w:t>информирайте Вашия лекар.</w:t>
      </w:r>
    </w:p>
    <w:p w14:paraId="3E550D77" w14:textId="77777777" w:rsidR="001B628D" w:rsidRPr="00FE6AC6" w:rsidRDefault="001B628D" w:rsidP="0063575E">
      <w:pPr>
        <w:widowControl w:val="0"/>
        <w:numPr>
          <w:ilvl w:val="12"/>
          <w:numId w:val="0"/>
        </w:numPr>
        <w:spacing w:line="240" w:lineRule="auto"/>
        <w:ind w:right="-2"/>
        <w:rPr>
          <w:color w:val="000000"/>
          <w:lang w:val="bg-BG"/>
        </w:rPr>
      </w:pPr>
    </w:p>
    <w:p w14:paraId="3E550D78" w14:textId="77777777" w:rsidR="001B628D" w:rsidRPr="00FE6AC6" w:rsidRDefault="001B628D" w:rsidP="0063575E">
      <w:pPr>
        <w:keepNext/>
        <w:widowControl w:val="0"/>
        <w:spacing w:line="240" w:lineRule="auto"/>
        <w:rPr>
          <w:noProof/>
          <w:color w:val="000000"/>
          <w:lang w:val="bg-BG"/>
        </w:rPr>
      </w:pPr>
      <w:r w:rsidRPr="00FE6AC6">
        <w:rPr>
          <w:b/>
          <w:noProof/>
          <w:color w:val="000000"/>
          <w:lang w:val="bg-BG"/>
        </w:rPr>
        <w:t xml:space="preserve">С неизвестна честота </w:t>
      </w:r>
      <w:r w:rsidRPr="00FE6AC6">
        <w:rPr>
          <w:noProof/>
          <w:color w:val="000000"/>
          <w:lang w:val="bg-BG"/>
        </w:rPr>
        <w:t>(от наличните данни не може да бъде направена оценка на честотата):</w:t>
      </w:r>
    </w:p>
    <w:p w14:paraId="3E550D79" w14:textId="77777777" w:rsidR="001B628D" w:rsidRPr="00FE6AC6" w:rsidRDefault="001B628D" w:rsidP="0063575E">
      <w:pPr>
        <w:widowControl w:val="0"/>
        <w:numPr>
          <w:ilvl w:val="0"/>
          <w:numId w:val="31"/>
        </w:numPr>
        <w:tabs>
          <w:tab w:val="clear" w:pos="720"/>
          <w:tab w:val="num" w:pos="567"/>
        </w:tabs>
        <w:spacing w:line="240" w:lineRule="auto"/>
        <w:ind w:left="567" w:right="-2" w:hanging="567"/>
        <w:rPr>
          <w:noProof/>
          <w:color w:val="000000"/>
          <w:lang w:val="bg-BG"/>
        </w:rPr>
      </w:pPr>
      <w:r w:rsidRPr="00FE6AC6">
        <w:rPr>
          <w:noProof/>
          <w:color w:val="000000"/>
          <w:lang w:val="bg-BG"/>
        </w:rPr>
        <w:t>Зачервяване и/или отичане на дланите на ръцете и долната част на ходилото, което може да бъде съпроводено от мравучкане или пареща болка.</w:t>
      </w:r>
    </w:p>
    <w:p w14:paraId="3E550D7A" w14:textId="77777777" w:rsidR="00602B47" w:rsidRPr="00FE6AC6" w:rsidRDefault="00602B47" w:rsidP="00572F70">
      <w:pPr>
        <w:widowControl w:val="0"/>
        <w:numPr>
          <w:ilvl w:val="0"/>
          <w:numId w:val="31"/>
        </w:numPr>
        <w:tabs>
          <w:tab w:val="clear" w:pos="720"/>
          <w:tab w:val="num" w:pos="567"/>
        </w:tabs>
        <w:spacing w:line="240" w:lineRule="auto"/>
        <w:ind w:left="567" w:hanging="567"/>
        <w:rPr>
          <w:noProof/>
          <w:color w:val="000000"/>
          <w:lang w:val="bg-BG"/>
        </w:rPr>
      </w:pPr>
      <w:r w:rsidRPr="00FE6AC6">
        <w:rPr>
          <w:noProof/>
          <w:color w:val="000000"/>
          <w:lang w:val="bg-BG"/>
        </w:rPr>
        <w:t xml:space="preserve">Болезнени и/или </w:t>
      </w:r>
      <w:r w:rsidR="003612E1" w:rsidRPr="00FE6AC6">
        <w:rPr>
          <w:noProof/>
          <w:color w:val="000000"/>
          <w:lang w:val="bg-BG"/>
        </w:rPr>
        <w:t>с мехури</w:t>
      </w:r>
      <w:r w:rsidRPr="00FE6AC6">
        <w:rPr>
          <w:noProof/>
          <w:color w:val="000000"/>
          <w:lang w:val="bg-BG"/>
        </w:rPr>
        <w:t xml:space="preserve"> кожни лезии.</w:t>
      </w:r>
    </w:p>
    <w:p w14:paraId="3E550D7B" w14:textId="77777777" w:rsidR="001B628D" w:rsidRPr="00FE6AC6" w:rsidRDefault="001B628D" w:rsidP="0063575E">
      <w:pPr>
        <w:keepNext/>
        <w:widowControl w:val="0"/>
        <w:numPr>
          <w:ilvl w:val="0"/>
          <w:numId w:val="31"/>
        </w:numPr>
        <w:tabs>
          <w:tab w:val="clear" w:pos="720"/>
          <w:tab w:val="num" w:pos="567"/>
        </w:tabs>
        <w:spacing w:line="240" w:lineRule="auto"/>
        <w:ind w:left="567" w:hanging="567"/>
        <w:rPr>
          <w:noProof/>
          <w:color w:val="000000"/>
          <w:lang w:val="bg-BG"/>
        </w:rPr>
      </w:pPr>
      <w:r w:rsidRPr="00FE6AC6">
        <w:rPr>
          <w:noProof/>
          <w:color w:val="000000"/>
          <w:lang w:val="bg-BG"/>
        </w:rPr>
        <w:t>Забавяне на растежа при деца и юноши.</w:t>
      </w:r>
    </w:p>
    <w:p w14:paraId="3E550D7C" w14:textId="77777777" w:rsidR="001B628D" w:rsidRPr="00FE6AC6" w:rsidRDefault="001B628D" w:rsidP="0063575E">
      <w:pPr>
        <w:widowControl w:val="0"/>
        <w:spacing w:line="240" w:lineRule="auto"/>
        <w:ind w:right="-2"/>
        <w:rPr>
          <w:b/>
          <w:color w:val="000000"/>
          <w:lang w:val="bg-BG"/>
        </w:rPr>
      </w:pPr>
      <w:r w:rsidRPr="00FE6AC6">
        <w:rPr>
          <w:color w:val="000000"/>
          <w:lang w:val="bg-BG"/>
        </w:rPr>
        <w:t xml:space="preserve">Ако някоя от тези реакции Ви засегне в сериозна степен, </w:t>
      </w:r>
      <w:r w:rsidRPr="00FE6AC6">
        <w:rPr>
          <w:b/>
          <w:color w:val="000000"/>
          <w:lang w:val="bg-BG"/>
        </w:rPr>
        <w:t>информирайте Вашия лекар.</w:t>
      </w:r>
    </w:p>
    <w:p w14:paraId="3E550D7D" w14:textId="77777777" w:rsidR="001B628D" w:rsidRPr="00FE6AC6" w:rsidRDefault="001B628D" w:rsidP="0063575E">
      <w:pPr>
        <w:widowControl w:val="0"/>
        <w:spacing w:line="240" w:lineRule="auto"/>
        <w:ind w:right="-2"/>
        <w:rPr>
          <w:noProof/>
          <w:color w:val="000000"/>
          <w:lang w:val="bg-BG"/>
        </w:rPr>
      </w:pPr>
    </w:p>
    <w:p w14:paraId="3E550D7E" w14:textId="77777777" w:rsidR="001B628D" w:rsidRPr="00FE6AC6" w:rsidRDefault="001B628D" w:rsidP="0063575E">
      <w:pPr>
        <w:keepNext/>
        <w:widowControl w:val="0"/>
        <w:numPr>
          <w:ilvl w:val="12"/>
          <w:numId w:val="0"/>
        </w:numPr>
        <w:tabs>
          <w:tab w:val="clear" w:pos="567"/>
          <w:tab w:val="left" w:pos="720"/>
        </w:tabs>
        <w:spacing w:line="240" w:lineRule="auto"/>
        <w:rPr>
          <w:b/>
          <w:snapToGrid w:val="0"/>
          <w:szCs w:val="22"/>
          <w:lang w:val="bg-BG"/>
        </w:rPr>
      </w:pPr>
      <w:r w:rsidRPr="00FE6AC6">
        <w:rPr>
          <w:b/>
          <w:snapToGrid w:val="0"/>
          <w:szCs w:val="22"/>
          <w:lang w:val="bg-BG"/>
        </w:rPr>
        <w:t>Съобщаване на нежелани реакции</w:t>
      </w:r>
    </w:p>
    <w:p w14:paraId="3E550D7F" w14:textId="77777777" w:rsidR="001B628D" w:rsidRPr="00FE6AC6" w:rsidRDefault="001B628D" w:rsidP="0063575E">
      <w:pPr>
        <w:widowControl w:val="0"/>
        <w:spacing w:line="240" w:lineRule="auto"/>
        <w:ind w:right="-2"/>
        <w:rPr>
          <w:color w:val="000000"/>
          <w:lang w:val="bg-BG"/>
        </w:rPr>
      </w:pPr>
      <w:r w:rsidRPr="00FE6AC6">
        <w:rPr>
          <w:noProof/>
          <w:color w:val="000000"/>
          <w:lang w:val="bg-BG"/>
        </w:rPr>
        <w:t xml:space="preserve">Ако получите някакви нежелани лекарствени реакции, уведомете </w:t>
      </w:r>
      <w:r w:rsidRPr="00FE6AC6">
        <w:rPr>
          <w:color w:val="000000"/>
          <w:lang w:val="bg-BG"/>
        </w:rPr>
        <w:t>Вашия лекар, фармацевт или медицинска сестра.</w:t>
      </w:r>
      <w:r w:rsidRPr="00FE6AC6">
        <w:rPr>
          <w:szCs w:val="24"/>
          <w:lang w:val="bg-BG"/>
        </w:rPr>
        <w:t xml:space="preserve"> Това включва всички възможни</w:t>
      </w:r>
      <w:r w:rsidRPr="00FE6AC6">
        <w:rPr>
          <w:color w:val="FF0000"/>
          <w:lang w:val="bg-BG"/>
        </w:rPr>
        <w:t xml:space="preserve"> </w:t>
      </w:r>
      <w:r w:rsidRPr="00FE6AC6">
        <w:rPr>
          <w:lang w:val="bg-BG"/>
        </w:rPr>
        <w:t>неописани в тази листовка нежелани реакции</w:t>
      </w:r>
      <w:r w:rsidRPr="00FE6AC6">
        <w:rPr>
          <w:noProof/>
          <w:szCs w:val="24"/>
          <w:lang w:val="bg-BG"/>
        </w:rPr>
        <w:t>.</w:t>
      </w:r>
      <w:r w:rsidRPr="00FE6AC6">
        <w:rPr>
          <w:noProof/>
          <w:snapToGrid w:val="0"/>
          <w:szCs w:val="22"/>
          <w:lang w:val="bg-BG"/>
        </w:rPr>
        <w:t xml:space="preserve"> Можете също да съобщите нежелани реакции </w:t>
      </w:r>
      <w:r w:rsidRPr="00FE6AC6">
        <w:rPr>
          <w:snapToGrid w:val="0"/>
          <w:szCs w:val="22"/>
          <w:lang w:val="bg-BG"/>
        </w:rPr>
        <w:t xml:space="preserve">директно </w:t>
      </w:r>
      <w:r w:rsidRPr="00FE6AC6">
        <w:rPr>
          <w:snapToGrid w:val="0"/>
          <w:szCs w:val="22"/>
          <w:shd w:val="clear" w:color="auto" w:fill="D9D9D9"/>
          <w:lang w:val="bg-BG"/>
        </w:rPr>
        <w:t xml:space="preserve">чрез националната система за съобщаване, посочена в </w:t>
      </w:r>
      <w:hyperlink r:id="rId18" w:history="1">
        <w:r w:rsidRPr="00FE6AC6">
          <w:rPr>
            <w:snapToGrid w:val="0"/>
            <w:color w:val="0000FF"/>
            <w:szCs w:val="22"/>
            <w:u w:val="single"/>
            <w:shd w:val="clear" w:color="auto" w:fill="D9D9D9"/>
            <w:lang w:val="bg-BG"/>
          </w:rPr>
          <w:t>Приложение V</w:t>
        </w:r>
      </w:hyperlink>
      <w:r w:rsidRPr="00FE6AC6">
        <w:rPr>
          <w:snapToGrid w:val="0"/>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14:paraId="3E550D80" w14:textId="77777777" w:rsidR="001B628D" w:rsidRPr="00FE6AC6" w:rsidRDefault="001B628D" w:rsidP="0063575E">
      <w:pPr>
        <w:widowControl w:val="0"/>
        <w:numPr>
          <w:ilvl w:val="12"/>
          <w:numId w:val="0"/>
        </w:numPr>
        <w:spacing w:line="240" w:lineRule="auto"/>
        <w:ind w:right="-2"/>
        <w:rPr>
          <w:color w:val="000000"/>
          <w:lang w:val="bg-BG"/>
        </w:rPr>
      </w:pPr>
    </w:p>
    <w:p w14:paraId="3E550D81" w14:textId="77777777" w:rsidR="001B628D" w:rsidRPr="00FE6AC6" w:rsidRDefault="001B628D" w:rsidP="0063575E">
      <w:pPr>
        <w:widowControl w:val="0"/>
        <w:numPr>
          <w:ilvl w:val="12"/>
          <w:numId w:val="0"/>
        </w:numPr>
        <w:spacing w:line="240" w:lineRule="auto"/>
        <w:ind w:right="-2"/>
        <w:rPr>
          <w:color w:val="000000"/>
          <w:lang w:val="bg-BG"/>
        </w:rPr>
      </w:pPr>
    </w:p>
    <w:p w14:paraId="3E550D82" w14:textId="77777777" w:rsidR="001348DB" w:rsidRPr="00FE6AC6" w:rsidRDefault="001348DB" w:rsidP="0063575E">
      <w:pPr>
        <w:keepNext/>
        <w:widowControl w:val="0"/>
        <w:numPr>
          <w:ilvl w:val="12"/>
          <w:numId w:val="0"/>
        </w:numPr>
        <w:spacing w:line="240" w:lineRule="auto"/>
        <w:ind w:left="567" w:hanging="567"/>
        <w:rPr>
          <w:color w:val="000000"/>
          <w:lang w:val="bg-BG"/>
        </w:rPr>
      </w:pPr>
      <w:r w:rsidRPr="00FE6AC6">
        <w:rPr>
          <w:b/>
          <w:color w:val="000000"/>
          <w:lang w:val="bg-BG"/>
        </w:rPr>
        <w:t>5.</w:t>
      </w:r>
      <w:r w:rsidRPr="00FE6AC6">
        <w:rPr>
          <w:b/>
          <w:color w:val="000000"/>
          <w:lang w:val="bg-BG"/>
        </w:rPr>
        <w:tab/>
      </w:r>
      <w:r w:rsidRPr="00FE6AC6">
        <w:rPr>
          <w:b/>
          <w:noProof/>
          <w:szCs w:val="24"/>
          <w:lang w:val="bg-BG"/>
        </w:rPr>
        <w:t>Как да съхранявате</w:t>
      </w:r>
      <w:r w:rsidRPr="00FE6AC6">
        <w:rPr>
          <w:b/>
          <w:lang w:val="bg-BG"/>
        </w:rPr>
        <w:t xml:space="preserve"> </w:t>
      </w:r>
      <w:r w:rsidRPr="00FE6AC6">
        <w:rPr>
          <w:b/>
          <w:lang w:val="en-US"/>
        </w:rPr>
        <w:t>Glivec</w:t>
      </w:r>
    </w:p>
    <w:p w14:paraId="3E550D83" w14:textId="77777777" w:rsidR="001348DB" w:rsidRPr="00FE6AC6" w:rsidRDefault="001348DB" w:rsidP="0063575E">
      <w:pPr>
        <w:keepNext/>
        <w:widowControl w:val="0"/>
        <w:numPr>
          <w:ilvl w:val="12"/>
          <w:numId w:val="0"/>
        </w:numPr>
        <w:spacing w:line="240" w:lineRule="auto"/>
        <w:rPr>
          <w:color w:val="000000"/>
          <w:lang w:val="bg-BG"/>
        </w:rPr>
      </w:pPr>
    </w:p>
    <w:p w14:paraId="3E550D84"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Да се съхранява на място, недостъпно за деца.</w:t>
      </w:r>
    </w:p>
    <w:p w14:paraId="3E550D85"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Не използвайте това лекарство след срока на годност, отбелязан върху картонената опаковка</w:t>
      </w:r>
      <w:r w:rsidR="00AB1E9C" w:rsidRPr="00FE6AC6">
        <w:rPr>
          <w:color w:val="000000"/>
          <w:lang w:val="bg-BG"/>
        </w:rPr>
        <w:t xml:space="preserve"> след „Годен до:“</w:t>
      </w:r>
      <w:r w:rsidRPr="00FE6AC6">
        <w:rPr>
          <w:color w:val="000000"/>
          <w:lang w:val="bg-BG"/>
        </w:rPr>
        <w:t>.</w:t>
      </w:r>
    </w:p>
    <w:p w14:paraId="3E550D86"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 xml:space="preserve">Да не се съхранява над </w:t>
      </w:r>
      <w:smartTag w:uri="urn:schemas-microsoft-com:office:smarttags" w:element="metricconverter">
        <w:smartTagPr>
          <w:attr w:name="ProductID" w:val="30ﾰC"/>
        </w:smartTagPr>
        <w:r w:rsidRPr="00FE6AC6">
          <w:rPr>
            <w:color w:val="000000"/>
            <w:lang w:val="bg-BG"/>
          </w:rPr>
          <w:t>30°C</w:t>
        </w:r>
      </w:smartTag>
      <w:r w:rsidRPr="00FE6AC6">
        <w:rPr>
          <w:color w:val="000000"/>
          <w:lang w:val="bg-BG"/>
        </w:rPr>
        <w:t>.</w:t>
      </w:r>
    </w:p>
    <w:p w14:paraId="3E550D87"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color w:val="000000"/>
          <w:lang w:val="bg-BG"/>
        </w:rPr>
        <w:t>Да се съхранява в оригиналната опаковка, за да се предпази от влага.</w:t>
      </w:r>
    </w:p>
    <w:p w14:paraId="3E550D88" w14:textId="77777777" w:rsidR="001348DB" w:rsidRPr="00FE6AC6" w:rsidRDefault="001348DB" w:rsidP="0063575E">
      <w:pPr>
        <w:widowControl w:val="0"/>
        <w:numPr>
          <w:ilvl w:val="0"/>
          <w:numId w:val="6"/>
        </w:numPr>
        <w:tabs>
          <w:tab w:val="clear" w:pos="720"/>
          <w:tab w:val="num" w:pos="567"/>
        </w:tabs>
        <w:spacing w:line="240" w:lineRule="auto"/>
        <w:ind w:left="567" w:right="-2" w:hanging="567"/>
        <w:rPr>
          <w:color w:val="000000"/>
          <w:lang w:val="bg-BG"/>
        </w:rPr>
      </w:pPr>
      <w:r w:rsidRPr="00FE6AC6">
        <w:rPr>
          <w:noProof/>
          <w:szCs w:val="22"/>
          <w:lang w:val="ru-RU"/>
        </w:rPr>
        <w:t>Не използвайте опаковки</w:t>
      </w:r>
      <w:r w:rsidRPr="00FE6AC6">
        <w:rPr>
          <w:noProof/>
          <w:color w:val="000000"/>
          <w:szCs w:val="22"/>
          <w:lang w:val="bg-BG"/>
        </w:rPr>
        <w:t>,</w:t>
      </w:r>
      <w:r w:rsidRPr="00FE6AC6">
        <w:rPr>
          <w:noProof/>
          <w:color w:val="000000"/>
          <w:szCs w:val="22"/>
          <w:lang w:val="ru-RU"/>
        </w:rPr>
        <w:t xml:space="preserve"> </w:t>
      </w:r>
      <w:r w:rsidRPr="00FE6AC6">
        <w:rPr>
          <w:noProof/>
          <w:szCs w:val="22"/>
          <w:lang w:val="ru-RU"/>
        </w:rPr>
        <w:t>които са повредени или имат признаци на фалшифициране.</w:t>
      </w:r>
    </w:p>
    <w:p w14:paraId="3E550D89" w14:textId="77777777" w:rsidR="00C46822" w:rsidRPr="00FE6AC6" w:rsidRDefault="00C46822" w:rsidP="0063575E">
      <w:pPr>
        <w:widowControl w:val="0"/>
        <w:numPr>
          <w:ilvl w:val="0"/>
          <w:numId w:val="6"/>
        </w:numPr>
        <w:tabs>
          <w:tab w:val="clear" w:pos="567"/>
          <w:tab w:val="clear" w:pos="720"/>
        </w:tabs>
        <w:spacing w:line="240" w:lineRule="auto"/>
        <w:ind w:left="567" w:right="-2" w:hanging="567"/>
        <w:rPr>
          <w:color w:val="000000"/>
          <w:lang w:val="bg-BG"/>
        </w:rPr>
      </w:pPr>
      <w:r w:rsidRPr="00FE6AC6">
        <w:rPr>
          <w:color w:val="000000"/>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14:paraId="3E550D8A" w14:textId="77777777" w:rsidR="001348DB" w:rsidRPr="00FE6AC6" w:rsidRDefault="001348DB" w:rsidP="0063575E">
      <w:pPr>
        <w:widowControl w:val="0"/>
        <w:numPr>
          <w:ilvl w:val="12"/>
          <w:numId w:val="0"/>
        </w:numPr>
        <w:spacing w:line="240" w:lineRule="auto"/>
        <w:ind w:right="-2"/>
        <w:rPr>
          <w:color w:val="000000"/>
          <w:lang w:val="bg-BG"/>
        </w:rPr>
      </w:pPr>
    </w:p>
    <w:p w14:paraId="3E550D8B" w14:textId="77777777" w:rsidR="001348DB" w:rsidRPr="00FE6AC6" w:rsidRDefault="001348DB" w:rsidP="0063575E">
      <w:pPr>
        <w:widowControl w:val="0"/>
        <w:numPr>
          <w:ilvl w:val="12"/>
          <w:numId w:val="0"/>
        </w:numPr>
        <w:spacing w:line="240" w:lineRule="auto"/>
        <w:ind w:right="-2"/>
        <w:rPr>
          <w:color w:val="000000"/>
          <w:lang w:val="bg-BG"/>
        </w:rPr>
      </w:pPr>
    </w:p>
    <w:p w14:paraId="3E550D8C" w14:textId="77777777" w:rsidR="00426F49" w:rsidRPr="00FE6AC6" w:rsidRDefault="00426F49" w:rsidP="0063575E">
      <w:pPr>
        <w:keepNext/>
        <w:widowControl w:val="0"/>
        <w:tabs>
          <w:tab w:val="clear" w:pos="567"/>
        </w:tabs>
        <w:spacing w:line="240" w:lineRule="auto"/>
        <w:ind w:right="-2"/>
        <w:rPr>
          <w:b/>
          <w:color w:val="000000"/>
          <w:lang w:val="bg-BG"/>
        </w:rPr>
      </w:pPr>
      <w:r w:rsidRPr="00FE6AC6">
        <w:rPr>
          <w:b/>
          <w:color w:val="000000"/>
          <w:lang w:val="bg-BG"/>
        </w:rPr>
        <w:t>6.</w:t>
      </w:r>
      <w:r w:rsidRPr="00FE6AC6">
        <w:rPr>
          <w:b/>
          <w:color w:val="000000"/>
          <w:lang w:val="bg-BG"/>
        </w:rPr>
        <w:tab/>
      </w:r>
      <w:r w:rsidR="001D5414" w:rsidRPr="00FE6AC6">
        <w:rPr>
          <w:b/>
          <w:noProof/>
          <w:szCs w:val="24"/>
          <w:lang w:val="bg-BG"/>
        </w:rPr>
        <w:t>Съдържание на опаковката и допълнителна информация</w:t>
      </w:r>
    </w:p>
    <w:p w14:paraId="3E550D8D" w14:textId="77777777" w:rsidR="00426F49" w:rsidRPr="00FE6AC6" w:rsidRDefault="00426F49" w:rsidP="0063575E">
      <w:pPr>
        <w:keepNext/>
        <w:widowControl w:val="0"/>
        <w:tabs>
          <w:tab w:val="clear" w:pos="567"/>
        </w:tabs>
        <w:spacing w:line="240" w:lineRule="auto"/>
        <w:ind w:right="-2"/>
        <w:rPr>
          <w:color w:val="000000"/>
          <w:lang w:val="bg-BG"/>
        </w:rPr>
      </w:pPr>
    </w:p>
    <w:p w14:paraId="3E550D8E" w14:textId="77777777" w:rsidR="00426F49" w:rsidRPr="00FE6AC6" w:rsidRDefault="00426F49" w:rsidP="0063575E">
      <w:pPr>
        <w:keepNext/>
        <w:widowControl w:val="0"/>
        <w:numPr>
          <w:ilvl w:val="12"/>
          <w:numId w:val="0"/>
        </w:numPr>
        <w:spacing w:line="240" w:lineRule="auto"/>
        <w:rPr>
          <w:b/>
          <w:noProof/>
          <w:color w:val="000000"/>
          <w:lang w:val="bg-BG"/>
        </w:rPr>
      </w:pPr>
      <w:r w:rsidRPr="00FE6AC6">
        <w:rPr>
          <w:b/>
          <w:noProof/>
          <w:color w:val="000000"/>
          <w:lang w:val="bg-BG"/>
        </w:rPr>
        <w:t xml:space="preserve">Какво съдържа </w:t>
      </w:r>
      <w:r w:rsidRPr="00FE6AC6">
        <w:rPr>
          <w:b/>
          <w:noProof/>
          <w:color w:val="000000"/>
        </w:rPr>
        <w:t>Glivec</w:t>
      </w:r>
    </w:p>
    <w:p w14:paraId="06283293" w14:textId="77777777" w:rsidR="008E7A12" w:rsidRDefault="00426F49" w:rsidP="0063575E">
      <w:pPr>
        <w:widowControl w:val="0"/>
        <w:numPr>
          <w:ilvl w:val="0"/>
          <w:numId w:val="4"/>
        </w:numPr>
        <w:tabs>
          <w:tab w:val="clear" w:pos="720"/>
        </w:tabs>
        <w:spacing w:line="240" w:lineRule="auto"/>
        <w:ind w:left="567" w:hanging="567"/>
        <w:rPr>
          <w:color w:val="000000"/>
          <w:lang w:val="bg-BG"/>
        </w:rPr>
      </w:pPr>
      <w:r w:rsidRPr="00FE6AC6">
        <w:rPr>
          <w:color w:val="000000"/>
          <w:lang w:val="bg-BG"/>
        </w:rPr>
        <w:t>Активното вещество е иматиниб мезилат.</w:t>
      </w:r>
    </w:p>
    <w:p w14:paraId="3E550D8F" w14:textId="08C3F6CD" w:rsidR="00426F49" w:rsidRDefault="00426F49" w:rsidP="009A0A88">
      <w:pPr>
        <w:widowControl w:val="0"/>
        <w:numPr>
          <w:ilvl w:val="1"/>
          <w:numId w:val="4"/>
        </w:numPr>
        <w:tabs>
          <w:tab w:val="clear" w:pos="567"/>
          <w:tab w:val="clear" w:pos="1440"/>
        </w:tabs>
        <w:spacing w:line="240" w:lineRule="auto"/>
        <w:ind w:left="1080" w:hanging="450"/>
        <w:rPr>
          <w:color w:val="000000"/>
          <w:lang w:val="bg-BG"/>
        </w:rPr>
      </w:pPr>
      <w:r w:rsidRPr="00FE6AC6">
        <w:rPr>
          <w:color w:val="000000"/>
          <w:lang w:val="bg-BG"/>
        </w:rPr>
        <w:t xml:space="preserve">Всяка таблетка </w:t>
      </w:r>
      <w:r w:rsidRPr="00FE6AC6">
        <w:rPr>
          <w:color w:val="000000"/>
          <w:lang w:val="en-US"/>
        </w:rPr>
        <w:t>Glivec</w:t>
      </w:r>
      <w:r w:rsidRPr="00FE6AC6">
        <w:rPr>
          <w:color w:val="000000"/>
          <w:lang w:val="bg-BG"/>
        </w:rPr>
        <w:t xml:space="preserve"> </w:t>
      </w:r>
      <w:r w:rsidR="008E7A12">
        <w:rPr>
          <w:color w:val="000000"/>
          <w:lang w:val="en-US"/>
        </w:rPr>
        <w:t>o</w:t>
      </w:r>
      <w:r w:rsidR="008E7A12">
        <w:rPr>
          <w:color w:val="000000"/>
          <w:lang w:val="bg-BG"/>
        </w:rPr>
        <w:t>т 100</w:t>
      </w:r>
      <w:r w:rsidR="005E6CD9">
        <w:rPr>
          <w:color w:val="000000"/>
          <w:lang w:val="bg-BG"/>
        </w:rPr>
        <w:t> </w:t>
      </w:r>
      <w:r w:rsidR="008E7A12">
        <w:rPr>
          <w:color w:val="000000"/>
          <w:lang w:val="en-US"/>
        </w:rPr>
        <w:t>m</w:t>
      </w:r>
      <w:r w:rsidR="00533AFA">
        <w:rPr>
          <w:color w:val="000000"/>
          <w:lang w:val="en-US"/>
        </w:rPr>
        <w:t>g</w:t>
      </w:r>
      <w:r w:rsidR="008E7A12" w:rsidRPr="009A0A88">
        <w:rPr>
          <w:color w:val="000000"/>
          <w:lang w:val="bg-BG"/>
        </w:rPr>
        <w:t xml:space="preserve"> </w:t>
      </w:r>
      <w:r w:rsidRPr="00FE6AC6">
        <w:rPr>
          <w:color w:val="000000"/>
          <w:lang w:val="bg-BG"/>
        </w:rPr>
        <w:t>съдържа 100</w:t>
      </w:r>
      <w:r w:rsidRPr="00FE6AC6">
        <w:rPr>
          <w:color w:val="000000"/>
          <w:lang w:val="en-US"/>
        </w:rPr>
        <w:t> mg</w:t>
      </w:r>
      <w:r w:rsidRPr="00FE6AC6">
        <w:rPr>
          <w:color w:val="000000"/>
          <w:lang w:val="bg-BG"/>
        </w:rPr>
        <w:t xml:space="preserve"> иматиниб мезилат.</w:t>
      </w:r>
    </w:p>
    <w:p w14:paraId="7B3EA9A0" w14:textId="07B790BF" w:rsidR="003A3126" w:rsidRPr="00FE6AC6" w:rsidRDefault="003A3126" w:rsidP="009A0A88">
      <w:pPr>
        <w:widowControl w:val="0"/>
        <w:numPr>
          <w:ilvl w:val="1"/>
          <w:numId w:val="4"/>
        </w:numPr>
        <w:tabs>
          <w:tab w:val="clear" w:pos="567"/>
          <w:tab w:val="clear" w:pos="1440"/>
        </w:tabs>
        <w:spacing w:line="240" w:lineRule="auto"/>
        <w:ind w:left="1080" w:hanging="450"/>
        <w:rPr>
          <w:color w:val="000000"/>
          <w:lang w:val="bg-BG"/>
        </w:rPr>
      </w:pPr>
      <w:r>
        <w:rPr>
          <w:color w:val="000000"/>
          <w:lang w:val="bg-BG"/>
        </w:rPr>
        <w:t xml:space="preserve">Всяка таблетка </w:t>
      </w:r>
      <w:r w:rsidR="00533AFA">
        <w:rPr>
          <w:color w:val="000000"/>
          <w:lang w:val="en-US"/>
        </w:rPr>
        <w:t>Glivec</w:t>
      </w:r>
      <w:r w:rsidR="00533AFA" w:rsidRPr="009A0A88">
        <w:rPr>
          <w:color w:val="000000"/>
          <w:lang w:val="bg-BG"/>
        </w:rPr>
        <w:t xml:space="preserve"> </w:t>
      </w:r>
      <w:r w:rsidR="00533AFA">
        <w:rPr>
          <w:color w:val="000000"/>
          <w:lang w:val="bg-BG"/>
        </w:rPr>
        <w:t>от 400</w:t>
      </w:r>
      <w:r w:rsidR="00607DAB">
        <w:rPr>
          <w:color w:val="000000"/>
          <w:lang w:val="bg-BG"/>
        </w:rPr>
        <w:t> </w:t>
      </w:r>
      <w:r w:rsidR="00533AFA">
        <w:rPr>
          <w:color w:val="000000"/>
          <w:lang w:val="en-US"/>
        </w:rPr>
        <w:t>mg</w:t>
      </w:r>
      <w:r w:rsidR="00533AFA" w:rsidRPr="009A0A88">
        <w:rPr>
          <w:color w:val="000000"/>
          <w:lang w:val="bg-BG"/>
        </w:rPr>
        <w:t xml:space="preserve"> </w:t>
      </w:r>
      <w:r w:rsidR="00533AFA">
        <w:rPr>
          <w:color w:val="000000"/>
          <w:lang w:val="bg-BG"/>
        </w:rPr>
        <w:t>съдържа 400</w:t>
      </w:r>
      <w:r w:rsidR="00607DAB">
        <w:rPr>
          <w:color w:val="000000"/>
          <w:lang w:val="bg-BG"/>
        </w:rPr>
        <w:t> </w:t>
      </w:r>
      <w:r w:rsidR="00533AFA">
        <w:rPr>
          <w:color w:val="000000"/>
          <w:lang w:val="en-US"/>
        </w:rPr>
        <w:t>mg</w:t>
      </w:r>
      <w:r w:rsidR="00533AFA" w:rsidRPr="009A0A88">
        <w:rPr>
          <w:color w:val="000000"/>
          <w:lang w:val="bg-BG"/>
        </w:rPr>
        <w:t xml:space="preserve"> </w:t>
      </w:r>
      <w:r w:rsidR="00533AFA" w:rsidRPr="00FE6AC6">
        <w:rPr>
          <w:color w:val="000000"/>
          <w:lang w:val="bg-BG"/>
        </w:rPr>
        <w:t>иматиниб мезилат</w:t>
      </w:r>
      <w:r w:rsidR="00533AFA">
        <w:rPr>
          <w:color w:val="000000"/>
          <w:lang w:val="bg-BG"/>
        </w:rPr>
        <w:t>.</w:t>
      </w:r>
    </w:p>
    <w:p w14:paraId="3E550D90" w14:textId="77777777" w:rsidR="00426F49" w:rsidRPr="00FE6AC6" w:rsidRDefault="00426F49" w:rsidP="0063575E">
      <w:pPr>
        <w:widowControl w:val="0"/>
        <w:numPr>
          <w:ilvl w:val="0"/>
          <w:numId w:val="4"/>
        </w:numPr>
        <w:tabs>
          <w:tab w:val="clear" w:pos="567"/>
          <w:tab w:val="clear" w:pos="720"/>
        </w:tabs>
        <w:spacing w:line="240" w:lineRule="auto"/>
        <w:ind w:left="567" w:right="-2" w:hanging="567"/>
        <w:rPr>
          <w:color w:val="000000"/>
          <w:lang w:val="bg-BG"/>
        </w:rPr>
      </w:pPr>
      <w:r w:rsidRPr="00FE6AC6">
        <w:rPr>
          <w:color w:val="000000"/>
          <w:lang w:val="bg-BG"/>
        </w:rPr>
        <w:t>Другите съставки са микрокристална целулоза, кросповидон, магнезиев стеарат и силициев диоксид, колоиден безводен.</w:t>
      </w:r>
    </w:p>
    <w:p w14:paraId="3E550D91" w14:textId="77777777" w:rsidR="00426F49" w:rsidRPr="00FE6AC6" w:rsidRDefault="00426F49" w:rsidP="0063575E">
      <w:pPr>
        <w:widowControl w:val="0"/>
        <w:numPr>
          <w:ilvl w:val="0"/>
          <w:numId w:val="4"/>
        </w:numPr>
        <w:tabs>
          <w:tab w:val="clear" w:pos="567"/>
          <w:tab w:val="clear" w:pos="720"/>
        </w:tabs>
        <w:spacing w:line="240" w:lineRule="auto"/>
        <w:ind w:left="567" w:right="-2" w:hanging="567"/>
        <w:rPr>
          <w:color w:val="000000"/>
          <w:lang w:val="bg-BG"/>
        </w:rPr>
      </w:pPr>
      <w:r w:rsidRPr="00FE6AC6">
        <w:rPr>
          <w:color w:val="000000"/>
          <w:lang w:val="bg-BG"/>
        </w:rPr>
        <w:t>Обвивката на таблетката е направена от червен железен оксид (E172), жълт железен оксид (E172), макрогол, талк и хипромелоза.</w:t>
      </w:r>
    </w:p>
    <w:p w14:paraId="3E550D92" w14:textId="77777777" w:rsidR="00426F49" w:rsidRPr="00FE6AC6" w:rsidRDefault="00426F49" w:rsidP="0063575E">
      <w:pPr>
        <w:widowControl w:val="0"/>
        <w:tabs>
          <w:tab w:val="clear" w:pos="567"/>
        </w:tabs>
        <w:spacing w:line="240" w:lineRule="auto"/>
        <w:rPr>
          <w:color w:val="000000"/>
          <w:lang w:val="bg-BG"/>
        </w:rPr>
      </w:pPr>
    </w:p>
    <w:p w14:paraId="3E550D93" w14:textId="77777777" w:rsidR="00426F49" w:rsidRPr="00FE6AC6" w:rsidRDefault="00426F49" w:rsidP="0063575E">
      <w:pPr>
        <w:keepNext/>
        <w:widowControl w:val="0"/>
        <w:spacing w:line="240" w:lineRule="auto"/>
        <w:rPr>
          <w:b/>
          <w:noProof/>
          <w:color w:val="000000"/>
          <w:lang w:val="bg-BG"/>
        </w:rPr>
      </w:pPr>
      <w:r w:rsidRPr="00FE6AC6">
        <w:rPr>
          <w:b/>
          <w:noProof/>
          <w:color w:val="000000"/>
          <w:lang w:val="bg-BG"/>
        </w:rPr>
        <w:t xml:space="preserve">Как изглежда </w:t>
      </w:r>
      <w:r w:rsidRPr="00FE6AC6">
        <w:rPr>
          <w:b/>
          <w:noProof/>
          <w:color w:val="000000"/>
        </w:rPr>
        <w:t>Glivec</w:t>
      </w:r>
      <w:r w:rsidRPr="00FE6AC6">
        <w:rPr>
          <w:b/>
          <w:noProof/>
          <w:color w:val="000000"/>
          <w:lang w:val="bg-BG"/>
        </w:rPr>
        <w:t xml:space="preserve"> и какво съдържа опаковката</w:t>
      </w:r>
    </w:p>
    <w:p w14:paraId="3E550D94" w14:textId="77777777" w:rsidR="00426F49" w:rsidRPr="00FE6AC6" w:rsidRDefault="00426F49" w:rsidP="0063575E">
      <w:pPr>
        <w:pStyle w:val="EndnoteText"/>
        <w:widowControl w:val="0"/>
        <w:numPr>
          <w:ilvl w:val="12"/>
          <w:numId w:val="0"/>
        </w:numPr>
        <w:tabs>
          <w:tab w:val="clear" w:pos="567"/>
        </w:tabs>
        <w:rPr>
          <w:color w:val="000000"/>
          <w:lang w:val="bg-BG"/>
        </w:rPr>
      </w:pPr>
      <w:r w:rsidRPr="00FE6AC6">
        <w:rPr>
          <w:color w:val="000000"/>
        </w:rPr>
        <w:t>Glivec</w:t>
      </w:r>
      <w:r w:rsidRPr="00FE6AC6">
        <w:rPr>
          <w:color w:val="000000"/>
          <w:lang w:val="bg-BG"/>
        </w:rPr>
        <w:t xml:space="preserve"> 100</w:t>
      </w:r>
      <w:r w:rsidRPr="00FE6AC6">
        <w:rPr>
          <w:color w:val="000000"/>
        </w:rPr>
        <w:t> mg</w:t>
      </w:r>
      <w:r w:rsidRPr="00FE6AC6">
        <w:rPr>
          <w:color w:val="000000"/>
          <w:lang w:val="bg-BG"/>
        </w:rPr>
        <w:t xml:space="preserve"> филмирани таблетки са много тъмно жълти до кафяво-оранжеви кръгли таблетки. Те имат надпис “</w:t>
      </w:r>
      <w:r w:rsidRPr="00FE6AC6">
        <w:rPr>
          <w:color w:val="000000"/>
        </w:rPr>
        <w:t>NVR</w:t>
      </w:r>
      <w:r w:rsidRPr="00FE6AC6">
        <w:rPr>
          <w:color w:val="000000"/>
          <w:lang w:val="bg-BG"/>
        </w:rPr>
        <w:t>” от едната страна и “</w:t>
      </w:r>
      <w:r w:rsidRPr="00FE6AC6">
        <w:rPr>
          <w:color w:val="000000"/>
        </w:rPr>
        <w:t>SA</w:t>
      </w:r>
      <w:r w:rsidRPr="00FE6AC6">
        <w:rPr>
          <w:color w:val="000000"/>
          <w:lang w:val="bg-BG"/>
        </w:rPr>
        <w:t>” и делителна черта от другата страна.</w:t>
      </w:r>
    </w:p>
    <w:p w14:paraId="3E550D95" w14:textId="0F3248B9" w:rsidR="00426F49" w:rsidRDefault="00607DAB" w:rsidP="0063575E">
      <w:pPr>
        <w:pStyle w:val="EndnoteText"/>
        <w:widowControl w:val="0"/>
        <w:numPr>
          <w:ilvl w:val="12"/>
          <w:numId w:val="0"/>
        </w:numPr>
        <w:tabs>
          <w:tab w:val="clear" w:pos="567"/>
        </w:tabs>
        <w:rPr>
          <w:color w:val="000000"/>
          <w:lang w:val="bg-BG"/>
        </w:rPr>
      </w:pPr>
      <w:r w:rsidRPr="00FE6AC6">
        <w:rPr>
          <w:color w:val="000000"/>
        </w:rPr>
        <w:t>Glivec</w:t>
      </w:r>
      <w:r w:rsidRPr="00FE6AC6">
        <w:rPr>
          <w:color w:val="000000"/>
          <w:lang w:val="bg-BG"/>
        </w:rPr>
        <w:t xml:space="preserve"> </w:t>
      </w:r>
      <w:r>
        <w:rPr>
          <w:color w:val="000000"/>
          <w:lang w:val="bg-BG"/>
        </w:rPr>
        <w:t>4</w:t>
      </w:r>
      <w:r w:rsidRPr="00FE6AC6">
        <w:rPr>
          <w:color w:val="000000"/>
          <w:lang w:val="bg-BG"/>
        </w:rPr>
        <w:t>00</w:t>
      </w:r>
      <w:r w:rsidRPr="00FE6AC6">
        <w:rPr>
          <w:color w:val="000000"/>
        </w:rPr>
        <w:t> mg</w:t>
      </w:r>
      <w:r w:rsidRPr="00FE6AC6">
        <w:rPr>
          <w:color w:val="000000"/>
          <w:lang w:val="bg-BG"/>
        </w:rPr>
        <w:t xml:space="preserve"> филмирани таблетки са много тъмно жълти до кафяво-оранжеви </w:t>
      </w:r>
      <w:r>
        <w:rPr>
          <w:color w:val="000000"/>
          <w:lang w:val="bg-BG"/>
        </w:rPr>
        <w:t xml:space="preserve">овални </w:t>
      </w:r>
      <w:r w:rsidRPr="00FE6AC6">
        <w:rPr>
          <w:color w:val="000000"/>
          <w:lang w:val="bg-BG"/>
        </w:rPr>
        <w:t>таблетки. Те имат надпис “</w:t>
      </w:r>
      <w:r w:rsidRPr="00FE6AC6">
        <w:rPr>
          <w:color w:val="000000"/>
          <w:szCs w:val="22"/>
        </w:rPr>
        <w:t>glivec</w:t>
      </w:r>
      <w:r w:rsidRPr="00FE6AC6">
        <w:rPr>
          <w:color w:val="000000"/>
          <w:lang w:val="bg-BG"/>
        </w:rPr>
        <w:t>” от едната страна.</w:t>
      </w:r>
    </w:p>
    <w:p w14:paraId="171C8985" w14:textId="77777777" w:rsidR="00607DAB" w:rsidRPr="00FE6AC6" w:rsidRDefault="00607DAB" w:rsidP="0063575E">
      <w:pPr>
        <w:pStyle w:val="EndnoteText"/>
        <w:widowControl w:val="0"/>
        <w:numPr>
          <w:ilvl w:val="12"/>
          <w:numId w:val="0"/>
        </w:numPr>
        <w:tabs>
          <w:tab w:val="clear" w:pos="567"/>
        </w:tabs>
        <w:rPr>
          <w:color w:val="000000"/>
          <w:lang w:val="bg-BG"/>
        </w:rPr>
      </w:pPr>
    </w:p>
    <w:p w14:paraId="3231A296" w14:textId="6B382E36" w:rsidR="00607DAB" w:rsidRDefault="00607DAB" w:rsidP="0063575E">
      <w:pPr>
        <w:pStyle w:val="Text"/>
        <w:widowControl w:val="0"/>
        <w:spacing w:before="0"/>
        <w:jc w:val="left"/>
        <w:rPr>
          <w:color w:val="000000"/>
          <w:sz w:val="22"/>
          <w:lang w:val="bg-BG"/>
        </w:rPr>
      </w:pPr>
      <w:r>
        <w:rPr>
          <w:color w:val="000000"/>
          <w:sz w:val="22"/>
        </w:rPr>
        <w:t>Glivec</w:t>
      </w:r>
      <w:r w:rsidRPr="009A0A88">
        <w:rPr>
          <w:color w:val="000000"/>
          <w:sz w:val="22"/>
          <w:lang w:val="bg-BG"/>
        </w:rPr>
        <w:t xml:space="preserve"> 100</w:t>
      </w:r>
      <w:r>
        <w:rPr>
          <w:color w:val="000000"/>
          <w:sz w:val="22"/>
        </w:rPr>
        <w:t> mg</w:t>
      </w:r>
      <w:r w:rsidRPr="009A0A88">
        <w:rPr>
          <w:color w:val="000000"/>
          <w:sz w:val="22"/>
          <w:lang w:val="bg-BG"/>
        </w:rPr>
        <w:t xml:space="preserve"> </w:t>
      </w:r>
      <w:r>
        <w:rPr>
          <w:color w:val="000000"/>
          <w:sz w:val="22"/>
          <w:lang w:val="bg-BG"/>
        </w:rPr>
        <w:t>филмирани таблетки се п</w:t>
      </w:r>
      <w:r w:rsidR="00426F49" w:rsidRPr="00FE6AC6">
        <w:rPr>
          <w:color w:val="000000"/>
          <w:sz w:val="22"/>
          <w:lang w:val="bg-BG"/>
        </w:rPr>
        <w:t>редлагат в опаковки</w:t>
      </w:r>
      <w:r w:rsidR="0012426F" w:rsidRPr="00FE6AC6">
        <w:rPr>
          <w:color w:val="000000"/>
          <w:sz w:val="22"/>
          <w:lang w:val="bg-BG"/>
        </w:rPr>
        <w:t>,</w:t>
      </w:r>
      <w:r w:rsidR="00426F49" w:rsidRPr="00FE6AC6">
        <w:rPr>
          <w:color w:val="000000"/>
          <w:sz w:val="22"/>
          <w:lang w:val="bg-BG"/>
        </w:rPr>
        <w:t xml:space="preserve"> съдържащи 20, 60, 120 или 180</w:t>
      </w:r>
      <w:r w:rsidR="00426F49" w:rsidRPr="00FE6AC6">
        <w:rPr>
          <w:color w:val="000000"/>
          <w:sz w:val="22"/>
        </w:rPr>
        <w:t> </w:t>
      </w:r>
      <w:r w:rsidR="00426F49" w:rsidRPr="00FE6AC6">
        <w:rPr>
          <w:color w:val="000000"/>
          <w:sz w:val="22"/>
          <w:lang w:val="bg-BG"/>
        </w:rPr>
        <w:t>таблетки</w:t>
      </w:r>
      <w:r>
        <w:rPr>
          <w:color w:val="000000"/>
          <w:sz w:val="22"/>
          <w:lang w:val="bg-BG"/>
        </w:rPr>
        <w:t>.</w:t>
      </w:r>
    </w:p>
    <w:p w14:paraId="06EFDE65" w14:textId="7E2D5BC8" w:rsidR="00607DAB" w:rsidRDefault="00607DAB" w:rsidP="00607DAB">
      <w:pPr>
        <w:pStyle w:val="Text"/>
        <w:widowControl w:val="0"/>
        <w:spacing w:before="0"/>
        <w:jc w:val="left"/>
        <w:rPr>
          <w:color w:val="000000"/>
          <w:sz w:val="22"/>
          <w:lang w:val="bg-BG"/>
        </w:rPr>
      </w:pPr>
      <w:r>
        <w:rPr>
          <w:color w:val="000000"/>
          <w:sz w:val="22"/>
        </w:rPr>
        <w:t>Glivec</w:t>
      </w:r>
      <w:r w:rsidRPr="009A0A88">
        <w:rPr>
          <w:color w:val="000000"/>
          <w:sz w:val="22"/>
          <w:lang w:val="bg-BG"/>
        </w:rPr>
        <w:t xml:space="preserve"> </w:t>
      </w:r>
      <w:r>
        <w:rPr>
          <w:color w:val="000000"/>
          <w:sz w:val="22"/>
          <w:lang w:val="bg-BG"/>
        </w:rPr>
        <w:t>4</w:t>
      </w:r>
      <w:r w:rsidRPr="009A0A88">
        <w:rPr>
          <w:color w:val="000000"/>
          <w:sz w:val="22"/>
          <w:lang w:val="bg-BG"/>
        </w:rPr>
        <w:t>00</w:t>
      </w:r>
      <w:r>
        <w:rPr>
          <w:color w:val="000000"/>
          <w:sz w:val="22"/>
        </w:rPr>
        <w:t> mg</w:t>
      </w:r>
      <w:r w:rsidRPr="009A0A88">
        <w:rPr>
          <w:color w:val="000000"/>
          <w:sz w:val="22"/>
          <w:lang w:val="bg-BG"/>
        </w:rPr>
        <w:t xml:space="preserve"> </w:t>
      </w:r>
      <w:r>
        <w:rPr>
          <w:color w:val="000000"/>
          <w:sz w:val="22"/>
          <w:lang w:val="bg-BG"/>
        </w:rPr>
        <w:t>филмирани таблетки се п</w:t>
      </w:r>
      <w:r w:rsidRPr="00FE6AC6">
        <w:rPr>
          <w:color w:val="000000"/>
          <w:sz w:val="22"/>
          <w:lang w:val="bg-BG"/>
        </w:rPr>
        <w:t xml:space="preserve">редлагат в опаковки, съдържащи </w:t>
      </w:r>
      <w:r>
        <w:rPr>
          <w:color w:val="000000"/>
          <w:sz w:val="22"/>
          <w:lang w:val="bg-BG"/>
        </w:rPr>
        <w:t>1</w:t>
      </w:r>
      <w:r w:rsidRPr="00FE6AC6">
        <w:rPr>
          <w:color w:val="000000"/>
          <w:sz w:val="22"/>
          <w:lang w:val="bg-BG"/>
        </w:rPr>
        <w:t xml:space="preserve">0, </w:t>
      </w:r>
      <w:r>
        <w:rPr>
          <w:color w:val="000000"/>
          <w:sz w:val="22"/>
          <w:lang w:val="bg-BG"/>
        </w:rPr>
        <w:t>3</w:t>
      </w:r>
      <w:r w:rsidRPr="00FE6AC6">
        <w:rPr>
          <w:color w:val="000000"/>
          <w:sz w:val="22"/>
          <w:lang w:val="bg-BG"/>
        </w:rPr>
        <w:t>0</w:t>
      </w:r>
      <w:r>
        <w:rPr>
          <w:color w:val="000000"/>
          <w:sz w:val="22"/>
          <w:lang w:val="bg-BG"/>
        </w:rPr>
        <w:t xml:space="preserve"> </w:t>
      </w:r>
      <w:r w:rsidRPr="00FE6AC6">
        <w:rPr>
          <w:color w:val="000000"/>
          <w:sz w:val="22"/>
          <w:lang w:val="bg-BG"/>
        </w:rPr>
        <w:t xml:space="preserve">или </w:t>
      </w:r>
      <w:r>
        <w:rPr>
          <w:color w:val="000000"/>
          <w:sz w:val="22"/>
          <w:lang w:val="bg-BG"/>
        </w:rPr>
        <w:t>90</w:t>
      </w:r>
      <w:r w:rsidRPr="00FE6AC6">
        <w:rPr>
          <w:color w:val="000000"/>
          <w:sz w:val="22"/>
        </w:rPr>
        <w:t> </w:t>
      </w:r>
      <w:r w:rsidRPr="00FE6AC6">
        <w:rPr>
          <w:color w:val="000000"/>
          <w:sz w:val="22"/>
          <w:lang w:val="bg-BG"/>
        </w:rPr>
        <w:t>таблетки</w:t>
      </w:r>
      <w:r>
        <w:rPr>
          <w:color w:val="000000"/>
          <w:sz w:val="22"/>
          <w:lang w:val="bg-BG"/>
        </w:rPr>
        <w:t>.</w:t>
      </w:r>
    </w:p>
    <w:p w14:paraId="3E550D96" w14:textId="1F645FCF" w:rsidR="00426F49" w:rsidRPr="00FE6AC6" w:rsidRDefault="00607DAB" w:rsidP="0063575E">
      <w:pPr>
        <w:pStyle w:val="Text"/>
        <w:widowControl w:val="0"/>
        <w:spacing w:before="0"/>
        <w:jc w:val="left"/>
        <w:rPr>
          <w:color w:val="000000"/>
          <w:sz w:val="22"/>
          <w:lang w:val="bg-BG"/>
        </w:rPr>
      </w:pPr>
      <w:r>
        <w:rPr>
          <w:color w:val="000000"/>
          <w:sz w:val="22"/>
          <w:lang w:val="bg-BG"/>
        </w:rPr>
        <w:t>Т</w:t>
      </w:r>
      <w:r w:rsidR="00426F49" w:rsidRPr="00FE6AC6">
        <w:rPr>
          <w:color w:val="000000"/>
          <w:sz w:val="22"/>
          <w:lang w:val="bg-BG"/>
        </w:rPr>
        <w:t>е може да не са налични във Вашата страна.</w:t>
      </w:r>
    </w:p>
    <w:p w14:paraId="3E550D97" w14:textId="77777777" w:rsidR="00426F49" w:rsidRPr="00FE6AC6" w:rsidRDefault="00426F49" w:rsidP="0063575E">
      <w:pPr>
        <w:widowControl w:val="0"/>
        <w:spacing w:line="240" w:lineRule="auto"/>
        <w:rPr>
          <w:color w:val="000000"/>
          <w:lang w:val="bg-BG"/>
        </w:rPr>
      </w:pPr>
    </w:p>
    <w:p w14:paraId="3E550D98" w14:textId="77777777" w:rsidR="00426F49" w:rsidRPr="00FE6AC6" w:rsidRDefault="00426F49" w:rsidP="0063575E">
      <w:pPr>
        <w:keepNext/>
        <w:widowControl w:val="0"/>
        <w:spacing w:line="240" w:lineRule="auto"/>
        <w:rPr>
          <w:b/>
          <w:color w:val="000000"/>
          <w:lang w:val="bg-BG"/>
        </w:rPr>
      </w:pPr>
      <w:r w:rsidRPr="00FE6AC6">
        <w:rPr>
          <w:b/>
          <w:color w:val="000000"/>
          <w:lang w:val="bg-BG"/>
        </w:rPr>
        <w:t>Притежател на разрешението за употреба</w:t>
      </w:r>
    </w:p>
    <w:p w14:paraId="3E550D99" w14:textId="77777777" w:rsidR="00426F49" w:rsidRPr="00FE6AC6" w:rsidRDefault="00426F49" w:rsidP="0063575E">
      <w:pPr>
        <w:keepNext/>
        <w:widowControl w:val="0"/>
        <w:spacing w:line="240" w:lineRule="auto"/>
        <w:rPr>
          <w:color w:val="000000"/>
          <w:lang w:val="bg-BG"/>
        </w:rPr>
      </w:pPr>
      <w:r w:rsidRPr="00FE6AC6">
        <w:rPr>
          <w:color w:val="000000"/>
          <w:lang w:val="bg-BG"/>
        </w:rPr>
        <w:t>Novartis Europharm Limited</w:t>
      </w:r>
    </w:p>
    <w:p w14:paraId="3E550D9A" w14:textId="77777777" w:rsidR="000B10A3" w:rsidRPr="00FE6AC6" w:rsidRDefault="000B10A3" w:rsidP="0063575E">
      <w:pPr>
        <w:keepNext/>
        <w:widowControl w:val="0"/>
        <w:spacing w:line="240" w:lineRule="auto"/>
        <w:rPr>
          <w:color w:val="000000"/>
        </w:rPr>
      </w:pPr>
      <w:r w:rsidRPr="00FE6AC6">
        <w:rPr>
          <w:color w:val="000000"/>
        </w:rPr>
        <w:t>Vista Building</w:t>
      </w:r>
    </w:p>
    <w:p w14:paraId="3E550D9B" w14:textId="77777777" w:rsidR="000B10A3" w:rsidRPr="00FE6AC6" w:rsidRDefault="000B10A3" w:rsidP="0063575E">
      <w:pPr>
        <w:keepNext/>
        <w:widowControl w:val="0"/>
        <w:spacing w:line="240" w:lineRule="auto"/>
        <w:rPr>
          <w:color w:val="000000"/>
        </w:rPr>
      </w:pPr>
      <w:r w:rsidRPr="00FE6AC6">
        <w:rPr>
          <w:color w:val="000000"/>
        </w:rPr>
        <w:t>Elm Park, Merrion Road</w:t>
      </w:r>
    </w:p>
    <w:p w14:paraId="3E550D9C" w14:textId="77777777" w:rsidR="000B10A3" w:rsidRPr="00FE6AC6" w:rsidRDefault="000B10A3" w:rsidP="0063575E">
      <w:pPr>
        <w:keepNext/>
        <w:widowControl w:val="0"/>
        <w:spacing w:line="240" w:lineRule="auto"/>
        <w:rPr>
          <w:color w:val="000000"/>
        </w:rPr>
      </w:pPr>
      <w:r w:rsidRPr="00FE6AC6">
        <w:rPr>
          <w:color w:val="000000"/>
        </w:rPr>
        <w:t>Dublin 4</w:t>
      </w:r>
    </w:p>
    <w:p w14:paraId="3E550D9D" w14:textId="77777777" w:rsidR="000B10A3" w:rsidRPr="00FE6AC6" w:rsidRDefault="000B10A3" w:rsidP="0063575E">
      <w:pPr>
        <w:spacing w:line="240" w:lineRule="auto"/>
        <w:rPr>
          <w:color w:val="000000"/>
        </w:rPr>
      </w:pPr>
      <w:r w:rsidRPr="00FE6AC6">
        <w:rPr>
          <w:color w:val="000000"/>
        </w:rPr>
        <w:t>Ирландия</w:t>
      </w:r>
    </w:p>
    <w:p w14:paraId="3E550D9E" w14:textId="77777777" w:rsidR="00426F49" w:rsidRPr="00FE6AC6" w:rsidRDefault="00426F49" w:rsidP="0063575E">
      <w:pPr>
        <w:widowControl w:val="0"/>
        <w:spacing w:line="240" w:lineRule="auto"/>
        <w:rPr>
          <w:color w:val="000000"/>
          <w:lang w:val="bg-BG"/>
        </w:rPr>
      </w:pPr>
    </w:p>
    <w:p w14:paraId="3E550D9F" w14:textId="77777777" w:rsidR="00426F49" w:rsidRPr="00FE6AC6" w:rsidRDefault="00426F49" w:rsidP="0063575E">
      <w:pPr>
        <w:keepNext/>
        <w:widowControl w:val="0"/>
        <w:spacing w:line="240" w:lineRule="auto"/>
        <w:rPr>
          <w:color w:val="000000"/>
          <w:lang w:val="bg-BG"/>
        </w:rPr>
      </w:pPr>
      <w:r w:rsidRPr="00FE6AC6">
        <w:rPr>
          <w:b/>
          <w:color w:val="000000"/>
          <w:lang w:val="bg-BG"/>
        </w:rPr>
        <w:t>Производител</w:t>
      </w:r>
    </w:p>
    <w:p w14:paraId="3E550DA0" w14:textId="77777777" w:rsidR="009A59CD" w:rsidRPr="000778ED" w:rsidRDefault="009A59CD" w:rsidP="009A59CD">
      <w:pPr>
        <w:keepNext/>
        <w:widowControl w:val="0"/>
        <w:tabs>
          <w:tab w:val="left" w:pos="7513"/>
        </w:tabs>
        <w:spacing w:line="240" w:lineRule="auto"/>
        <w:rPr>
          <w:szCs w:val="22"/>
          <w:lang w:val="fr-CH"/>
        </w:rPr>
      </w:pPr>
      <w:r w:rsidRPr="000778ED">
        <w:rPr>
          <w:szCs w:val="22"/>
          <w:lang w:val="fr-CH"/>
        </w:rPr>
        <w:t>Lek d.d, PE PROIZVODNJA LENDAVA</w:t>
      </w:r>
    </w:p>
    <w:p w14:paraId="3E550DA1" w14:textId="77777777" w:rsidR="009A59CD" w:rsidRPr="0063575E" w:rsidRDefault="009A59CD" w:rsidP="009A59CD">
      <w:pPr>
        <w:keepNext/>
        <w:widowControl w:val="0"/>
        <w:tabs>
          <w:tab w:val="left" w:pos="7513"/>
        </w:tabs>
        <w:spacing w:line="240" w:lineRule="auto"/>
        <w:rPr>
          <w:szCs w:val="22"/>
          <w:lang w:val="fr-CH"/>
        </w:rPr>
      </w:pPr>
      <w:r w:rsidRPr="0063575E">
        <w:rPr>
          <w:szCs w:val="22"/>
          <w:lang w:val="fr-CH"/>
        </w:rPr>
        <w:t>Trimlini 2D</w:t>
      </w:r>
    </w:p>
    <w:p w14:paraId="3E550DA2" w14:textId="77777777" w:rsidR="009A59CD" w:rsidRPr="001968F8" w:rsidRDefault="009A59CD" w:rsidP="009A59CD">
      <w:pPr>
        <w:keepNext/>
        <w:widowControl w:val="0"/>
        <w:tabs>
          <w:tab w:val="left" w:pos="7513"/>
        </w:tabs>
        <w:spacing w:line="240" w:lineRule="auto"/>
        <w:rPr>
          <w:szCs w:val="22"/>
          <w:lang w:val="fr-CH"/>
        </w:rPr>
      </w:pPr>
      <w:r w:rsidRPr="001968F8">
        <w:rPr>
          <w:szCs w:val="22"/>
          <w:lang w:val="fr-CH"/>
        </w:rPr>
        <w:t>Lendava, 9220</w:t>
      </w:r>
    </w:p>
    <w:p w14:paraId="3E550DA3" w14:textId="77777777" w:rsidR="009A59CD" w:rsidRPr="001968F8" w:rsidRDefault="009A59CD" w:rsidP="009A59CD">
      <w:pPr>
        <w:widowControl w:val="0"/>
        <w:tabs>
          <w:tab w:val="left" w:pos="7513"/>
        </w:tabs>
        <w:spacing w:line="240" w:lineRule="auto"/>
        <w:rPr>
          <w:szCs w:val="22"/>
          <w:lang w:val="pt-BR"/>
        </w:rPr>
      </w:pPr>
      <w:r w:rsidRPr="001968F8">
        <w:rPr>
          <w:szCs w:val="22"/>
          <w:lang w:val="en-US"/>
        </w:rPr>
        <w:t>Словения</w:t>
      </w:r>
    </w:p>
    <w:p w14:paraId="3E550DA4" w14:textId="77777777" w:rsidR="009A59CD" w:rsidRPr="001968F8" w:rsidRDefault="009A59CD" w:rsidP="009A59CD">
      <w:pPr>
        <w:widowControl w:val="0"/>
        <w:tabs>
          <w:tab w:val="left" w:pos="7513"/>
        </w:tabs>
        <w:spacing w:line="240" w:lineRule="auto"/>
        <w:rPr>
          <w:szCs w:val="22"/>
          <w:lang w:val="pt-BR"/>
        </w:rPr>
      </w:pPr>
    </w:p>
    <w:p w14:paraId="3E550DA5" w14:textId="77777777" w:rsidR="00426F49" w:rsidRPr="000778ED" w:rsidRDefault="00426F49" w:rsidP="0063575E">
      <w:pPr>
        <w:keepNext/>
        <w:widowControl w:val="0"/>
        <w:spacing w:line="240" w:lineRule="auto"/>
        <w:rPr>
          <w:color w:val="000000"/>
          <w:shd w:val="pct15" w:color="auto" w:fill="auto"/>
          <w:lang w:val="bg-BG"/>
        </w:rPr>
      </w:pPr>
      <w:r w:rsidRPr="000778ED">
        <w:rPr>
          <w:color w:val="000000"/>
          <w:shd w:val="pct15" w:color="auto" w:fill="auto"/>
          <w:lang w:val="bg-BG"/>
        </w:rPr>
        <w:t>Novartis Pharma GmbH</w:t>
      </w:r>
    </w:p>
    <w:p w14:paraId="3E550DA6" w14:textId="77777777" w:rsidR="00426F49" w:rsidRPr="000778ED" w:rsidRDefault="00426F49" w:rsidP="0063575E">
      <w:pPr>
        <w:keepNext/>
        <w:widowControl w:val="0"/>
        <w:spacing w:line="240" w:lineRule="auto"/>
        <w:rPr>
          <w:color w:val="000000"/>
          <w:shd w:val="pct15" w:color="auto" w:fill="auto"/>
          <w:lang w:val="bg-BG"/>
        </w:rPr>
      </w:pPr>
      <w:r w:rsidRPr="000778ED">
        <w:rPr>
          <w:color w:val="000000"/>
          <w:shd w:val="pct15" w:color="auto" w:fill="auto"/>
          <w:lang w:val="bg-BG"/>
        </w:rPr>
        <w:t>Roons</w:t>
      </w:r>
      <w:r w:rsidRPr="000778ED">
        <w:rPr>
          <w:color w:val="000000"/>
          <w:shd w:val="pct15" w:color="auto" w:fill="auto"/>
          <w:lang w:val="en-US"/>
        </w:rPr>
        <w:t>t</w:t>
      </w:r>
      <w:r w:rsidRPr="000778ED">
        <w:rPr>
          <w:color w:val="000000"/>
          <w:shd w:val="pct15" w:color="auto" w:fill="auto"/>
          <w:lang w:val="bg-BG"/>
        </w:rPr>
        <w:t>rasse</w:t>
      </w:r>
    </w:p>
    <w:p w14:paraId="3E550DA7" w14:textId="77777777" w:rsidR="00426F49" w:rsidRPr="000778ED" w:rsidRDefault="00426F49" w:rsidP="0063575E">
      <w:pPr>
        <w:keepNext/>
        <w:widowControl w:val="0"/>
        <w:tabs>
          <w:tab w:val="clear" w:pos="567"/>
        </w:tabs>
        <w:spacing w:line="240" w:lineRule="auto"/>
        <w:ind w:right="-2"/>
        <w:rPr>
          <w:color w:val="000000"/>
          <w:shd w:val="pct15" w:color="auto" w:fill="auto"/>
          <w:lang w:val="bg-BG"/>
        </w:rPr>
      </w:pPr>
      <w:r w:rsidRPr="000778ED">
        <w:rPr>
          <w:color w:val="000000"/>
          <w:shd w:val="pct15" w:color="auto" w:fill="auto"/>
          <w:lang w:val="bg-BG"/>
        </w:rPr>
        <w:t>D-90429 </w:t>
      </w:r>
      <w:r w:rsidRPr="000778ED">
        <w:rPr>
          <w:color w:val="000000"/>
          <w:shd w:val="pct15" w:color="auto" w:fill="auto"/>
          <w:lang w:val="en-US"/>
        </w:rPr>
        <w:t>N</w:t>
      </w:r>
      <w:r w:rsidRPr="000778ED">
        <w:rPr>
          <w:color w:val="000000"/>
          <w:shd w:val="pct15" w:color="auto" w:fill="auto"/>
          <w:lang w:val="bg-BG"/>
        </w:rPr>
        <w:t>ü</w:t>
      </w:r>
      <w:r w:rsidRPr="000778ED">
        <w:rPr>
          <w:color w:val="000000"/>
          <w:shd w:val="pct15" w:color="auto" w:fill="auto"/>
          <w:lang w:val="en-US"/>
        </w:rPr>
        <w:t>rnberg</w:t>
      </w:r>
    </w:p>
    <w:p w14:paraId="3E550DA8" w14:textId="77777777" w:rsidR="00426F49" w:rsidRPr="000778ED" w:rsidRDefault="00426F49" w:rsidP="0063575E">
      <w:pPr>
        <w:widowControl w:val="0"/>
        <w:spacing w:line="240" w:lineRule="auto"/>
        <w:rPr>
          <w:color w:val="000000"/>
          <w:shd w:val="pct15" w:color="auto" w:fill="auto"/>
          <w:lang w:val="bg-BG"/>
        </w:rPr>
      </w:pPr>
      <w:r w:rsidRPr="000778ED">
        <w:rPr>
          <w:color w:val="000000"/>
          <w:shd w:val="pct15" w:color="auto" w:fill="auto"/>
          <w:lang w:val="bg-BG"/>
        </w:rPr>
        <w:t>Германия</w:t>
      </w:r>
    </w:p>
    <w:p w14:paraId="3E550DA9" w14:textId="77777777" w:rsidR="00426F49" w:rsidRPr="00FE6AC6" w:rsidRDefault="00426F49" w:rsidP="0063575E">
      <w:pPr>
        <w:widowControl w:val="0"/>
        <w:spacing w:line="240" w:lineRule="auto"/>
        <w:ind w:right="-2"/>
        <w:rPr>
          <w:color w:val="000000"/>
          <w:lang w:val="bg-BG"/>
        </w:rPr>
      </w:pPr>
    </w:p>
    <w:p w14:paraId="3E550DAA" w14:textId="77777777" w:rsidR="00426F49" w:rsidRPr="00FE6AC6" w:rsidRDefault="00426F49" w:rsidP="0063575E">
      <w:pPr>
        <w:keepNext/>
        <w:widowControl w:val="0"/>
        <w:spacing w:line="240" w:lineRule="auto"/>
        <w:ind w:right="-2"/>
        <w:rPr>
          <w:color w:val="000000"/>
          <w:lang w:val="bg-BG"/>
        </w:rPr>
      </w:pPr>
      <w:r w:rsidRPr="00FE6AC6">
        <w:rPr>
          <w:color w:val="000000"/>
          <w:lang w:val="bg-BG"/>
        </w:rPr>
        <w:t>За допълнителна информация относно това лекарство, моля, свържете се с локалния представител на притежателя на разрешението за употреба:</w:t>
      </w:r>
    </w:p>
    <w:p w14:paraId="3E550DAB" w14:textId="77777777" w:rsidR="00B1589E" w:rsidRPr="00FE6AC6" w:rsidRDefault="00B1589E" w:rsidP="0063575E">
      <w:pPr>
        <w:keepNext/>
        <w:widowControl w:val="0"/>
        <w:tabs>
          <w:tab w:val="clear" w:pos="567"/>
        </w:tabs>
        <w:spacing w:line="240" w:lineRule="auto"/>
        <w:ind w:right="-449"/>
        <w:rPr>
          <w:color w:val="000000"/>
          <w:szCs w:val="22"/>
          <w:lang w:val="bg-BG"/>
        </w:rPr>
      </w:pPr>
    </w:p>
    <w:tbl>
      <w:tblPr>
        <w:tblW w:w="9300" w:type="dxa"/>
        <w:tblLayout w:type="fixed"/>
        <w:tblLook w:val="0000" w:firstRow="0" w:lastRow="0" w:firstColumn="0" w:lastColumn="0" w:noHBand="0" w:noVBand="0"/>
      </w:tblPr>
      <w:tblGrid>
        <w:gridCol w:w="4650"/>
        <w:gridCol w:w="4650"/>
      </w:tblGrid>
      <w:tr w:rsidR="00B1589E" w:rsidRPr="00FE6AC6" w14:paraId="3E550DB4" w14:textId="77777777" w:rsidTr="0055257C">
        <w:trPr>
          <w:cantSplit/>
        </w:trPr>
        <w:tc>
          <w:tcPr>
            <w:tcW w:w="4650" w:type="dxa"/>
          </w:tcPr>
          <w:p w14:paraId="3E550DAC" w14:textId="77777777" w:rsidR="00B1589E" w:rsidRPr="00FE6AC6" w:rsidRDefault="00B1589E" w:rsidP="0063575E">
            <w:pPr>
              <w:widowControl w:val="0"/>
              <w:spacing w:line="240" w:lineRule="auto"/>
              <w:rPr>
                <w:b/>
                <w:color w:val="000000"/>
                <w:szCs w:val="22"/>
                <w:lang w:val="fr-FR"/>
              </w:rPr>
            </w:pPr>
            <w:r w:rsidRPr="00FE6AC6">
              <w:rPr>
                <w:b/>
                <w:color w:val="000000"/>
                <w:szCs w:val="22"/>
                <w:lang w:val="fr-FR"/>
              </w:rPr>
              <w:t>België/Belgique/Belgien</w:t>
            </w:r>
          </w:p>
          <w:p w14:paraId="3E550DAD"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Novartis Pharma N.V.</w:t>
            </w:r>
          </w:p>
          <w:p w14:paraId="3E550DAE" w14:textId="77777777" w:rsidR="00B1589E" w:rsidRPr="00FE6AC6" w:rsidRDefault="00B1589E" w:rsidP="0063575E">
            <w:pPr>
              <w:widowControl w:val="0"/>
              <w:spacing w:line="240" w:lineRule="auto"/>
              <w:rPr>
                <w:color w:val="000000"/>
                <w:szCs w:val="22"/>
              </w:rPr>
            </w:pPr>
            <w:r w:rsidRPr="00FE6AC6">
              <w:rPr>
                <w:color w:val="000000"/>
                <w:szCs w:val="22"/>
              </w:rPr>
              <w:t>Tél/Tel: +32 2 246 16 11</w:t>
            </w:r>
          </w:p>
          <w:p w14:paraId="3E550DAF" w14:textId="77777777" w:rsidR="00B1589E" w:rsidRPr="00FE6AC6" w:rsidRDefault="00B1589E" w:rsidP="0063575E">
            <w:pPr>
              <w:widowControl w:val="0"/>
              <w:spacing w:line="240" w:lineRule="auto"/>
              <w:rPr>
                <w:b/>
                <w:color w:val="000000"/>
                <w:szCs w:val="22"/>
              </w:rPr>
            </w:pPr>
          </w:p>
        </w:tc>
        <w:tc>
          <w:tcPr>
            <w:tcW w:w="4650" w:type="dxa"/>
          </w:tcPr>
          <w:p w14:paraId="3E550DB0" w14:textId="77777777" w:rsidR="00B1589E" w:rsidRPr="00FE6AC6" w:rsidRDefault="00B1589E" w:rsidP="0063575E">
            <w:pPr>
              <w:widowControl w:val="0"/>
              <w:spacing w:line="240" w:lineRule="auto"/>
              <w:rPr>
                <w:b/>
                <w:color w:val="000000"/>
                <w:szCs w:val="22"/>
                <w:lang w:val="es-ES"/>
              </w:rPr>
            </w:pPr>
            <w:r w:rsidRPr="00FE6AC6">
              <w:rPr>
                <w:b/>
                <w:color w:val="000000"/>
                <w:szCs w:val="22"/>
                <w:lang w:val="es-ES"/>
              </w:rPr>
              <w:t>Lietuva</w:t>
            </w:r>
          </w:p>
          <w:p w14:paraId="3E550DB1" w14:textId="1B46CB1F" w:rsidR="00B1589E" w:rsidRPr="00FE6AC6" w:rsidRDefault="0094754E" w:rsidP="0063575E">
            <w:pPr>
              <w:widowControl w:val="0"/>
              <w:spacing w:line="240" w:lineRule="auto"/>
              <w:rPr>
                <w:color w:val="000000"/>
                <w:szCs w:val="22"/>
                <w:lang w:val="es-ES"/>
              </w:rPr>
            </w:pPr>
            <w:r w:rsidRPr="00FE6AC6">
              <w:rPr>
                <w:color w:val="000000"/>
                <w:szCs w:val="22"/>
                <w:lang w:val="es-ES"/>
              </w:rPr>
              <w:t>SIA Novartis Baltics Lietuvos filialas</w:t>
            </w:r>
          </w:p>
          <w:p w14:paraId="3E550DB2" w14:textId="77777777" w:rsidR="00B1589E" w:rsidRPr="00FE6AC6" w:rsidRDefault="00B1589E" w:rsidP="0063575E">
            <w:pPr>
              <w:widowControl w:val="0"/>
              <w:spacing w:line="240" w:lineRule="auto"/>
              <w:rPr>
                <w:color w:val="000000"/>
                <w:szCs w:val="22"/>
                <w:lang w:val="es-ES"/>
              </w:rPr>
            </w:pPr>
            <w:r w:rsidRPr="00FE6AC6">
              <w:rPr>
                <w:color w:val="000000"/>
                <w:szCs w:val="22"/>
                <w:lang w:val="es-ES"/>
              </w:rPr>
              <w:t>Tel: +370 5 269 16 50</w:t>
            </w:r>
          </w:p>
          <w:p w14:paraId="3E550DB3" w14:textId="77777777" w:rsidR="00B1589E" w:rsidRPr="00FE6AC6" w:rsidRDefault="00B1589E" w:rsidP="0063575E">
            <w:pPr>
              <w:widowControl w:val="0"/>
              <w:spacing w:line="240" w:lineRule="auto"/>
              <w:rPr>
                <w:color w:val="000000"/>
                <w:szCs w:val="22"/>
                <w:lang w:val="es-ES"/>
              </w:rPr>
            </w:pPr>
          </w:p>
        </w:tc>
      </w:tr>
      <w:tr w:rsidR="00B1589E" w:rsidRPr="00FE6AC6" w14:paraId="3E550DBD" w14:textId="77777777" w:rsidTr="0055257C">
        <w:trPr>
          <w:cantSplit/>
        </w:trPr>
        <w:tc>
          <w:tcPr>
            <w:tcW w:w="4650" w:type="dxa"/>
          </w:tcPr>
          <w:p w14:paraId="3E550DB5" w14:textId="77777777" w:rsidR="00B1589E" w:rsidRPr="003B2B39" w:rsidRDefault="00B1589E" w:rsidP="0063575E">
            <w:pPr>
              <w:widowControl w:val="0"/>
              <w:spacing w:line="240" w:lineRule="auto"/>
              <w:rPr>
                <w:b/>
                <w:noProof/>
                <w:color w:val="000000"/>
                <w:szCs w:val="22"/>
                <w:lang w:val="es-ES"/>
              </w:rPr>
            </w:pPr>
            <w:r w:rsidRPr="00FE6AC6">
              <w:rPr>
                <w:b/>
                <w:noProof/>
                <w:color w:val="000000"/>
                <w:szCs w:val="22"/>
              </w:rPr>
              <w:t>България</w:t>
            </w:r>
          </w:p>
          <w:p w14:paraId="3E550DB6" w14:textId="77777777" w:rsidR="00B1589E" w:rsidRPr="003B2B39" w:rsidRDefault="00AB1E9C" w:rsidP="0063575E">
            <w:pPr>
              <w:widowControl w:val="0"/>
              <w:spacing w:line="240" w:lineRule="auto"/>
              <w:rPr>
                <w:noProof/>
                <w:color w:val="000000"/>
                <w:szCs w:val="22"/>
                <w:lang w:val="es-ES"/>
              </w:rPr>
            </w:pPr>
            <w:r w:rsidRPr="003B2B39">
              <w:rPr>
                <w:szCs w:val="22"/>
                <w:lang w:val="es-ES"/>
              </w:rPr>
              <w:t>Novartis Bulgaria EOOD</w:t>
            </w:r>
          </w:p>
          <w:p w14:paraId="3E550DB7" w14:textId="77777777" w:rsidR="00B1589E" w:rsidRPr="003B2B39" w:rsidRDefault="00B1589E" w:rsidP="0063575E">
            <w:pPr>
              <w:widowControl w:val="0"/>
              <w:spacing w:line="240" w:lineRule="auto"/>
              <w:rPr>
                <w:noProof/>
                <w:color w:val="000000"/>
                <w:szCs w:val="22"/>
                <w:lang w:val="es-ES"/>
              </w:rPr>
            </w:pPr>
            <w:r w:rsidRPr="00FE6AC6">
              <w:rPr>
                <w:noProof/>
                <w:color w:val="000000"/>
                <w:szCs w:val="22"/>
              </w:rPr>
              <w:t>Тел</w:t>
            </w:r>
            <w:r w:rsidRPr="003B2B39">
              <w:rPr>
                <w:noProof/>
                <w:color w:val="000000"/>
                <w:szCs w:val="22"/>
                <w:lang w:val="es-ES"/>
              </w:rPr>
              <w:t>.: +359 2 489 98 28</w:t>
            </w:r>
          </w:p>
          <w:p w14:paraId="3E550DB8" w14:textId="77777777" w:rsidR="00B1589E" w:rsidRPr="00FE6AC6" w:rsidRDefault="00B1589E" w:rsidP="0063575E">
            <w:pPr>
              <w:widowControl w:val="0"/>
              <w:spacing w:line="240" w:lineRule="auto"/>
              <w:rPr>
                <w:b/>
                <w:color w:val="000000"/>
                <w:szCs w:val="22"/>
                <w:lang w:val="pt-BR"/>
              </w:rPr>
            </w:pPr>
          </w:p>
        </w:tc>
        <w:tc>
          <w:tcPr>
            <w:tcW w:w="4650" w:type="dxa"/>
          </w:tcPr>
          <w:p w14:paraId="3E550DB9"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Luxembourg/Luxemburg</w:t>
            </w:r>
          </w:p>
          <w:p w14:paraId="3E550DBA"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Pharma N.V.</w:t>
            </w:r>
          </w:p>
          <w:p w14:paraId="3E550DBB"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Tél/Tel: +32 2 246 16 11</w:t>
            </w:r>
          </w:p>
          <w:p w14:paraId="3E550DBC" w14:textId="77777777" w:rsidR="00B1589E" w:rsidRPr="00FE6AC6" w:rsidRDefault="00B1589E" w:rsidP="0063575E">
            <w:pPr>
              <w:widowControl w:val="0"/>
              <w:spacing w:line="240" w:lineRule="auto"/>
              <w:rPr>
                <w:color w:val="000000"/>
                <w:szCs w:val="22"/>
                <w:lang w:val="de-CH"/>
              </w:rPr>
            </w:pPr>
          </w:p>
        </w:tc>
      </w:tr>
      <w:tr w:rsidR="00B1589E" w:rsidRPr="00FE6AC6" w14:paraId="3E550DC5" w14:textId="77777777" w:rsidTr="0055257C">
        <w:trPr>
          <w:cantSplit/>
        </w:trPr>
        <w:tc>
          <w:tcPr>
            <w:tcW w:w="4650" w:type="dxa"/>
          </w:tcPr>
          <w:p w14:paraId="3E550DBE"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Česká republika</w:t>
            </w:r>
          </w:p>
          <w:p w14:paraId="3E550DBF"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s.r.o.</w:t>
            </w:r>
          </w:p>
          <w:p w14:paraId="3E550DC0" w14:textId="77777777" w:rsidR="00B1589E" w:rsidRPr="00FE6AC6" w:rsidRDefault="00B1589E" w:rsidP="0063575E">
            <w:pPr>
              <w:widowControl w:val="0"/>
              <w:spacing w:line="240" w:lineRule="auto"/>
              <w:rPr>
                <w:color w:val="000000"/>
                <w:szCs w:val="22"/>
              </w:rPr>
            </w:pPr>
            <w:r w:rsidRPr="00FE6AC6">
              <w:rPr>
                <w:color w:val="000000"/>
                <w:szCs w:val="22"/>
              </w:rPr>
              <w:t>Tel: +420 225 775 111</w:t>
            </w:r>
          </w:p>
          <w:p w14:paraId="3E550DC1" w14:textId="77777777" w:rsidR="00B1589E" w:rsidRPr="00FE6AC6" w:rsidRDefault="00B1589E" w:rsidP="0063575E">
            <w:pPr>
              <w:widowControl w:val="0"/>
              <w:spacing w:line="240" w:lineRule="auto"/>
              <w:rPr>
                <w:b/>
                <w:color w:val="000000"/>
                <w:szCs w:val="22"/>
              </w:rPr>
            </w:pPr>
          </w:p>
        </w:tc>
        <w:tc>
          <w:tcPr>
            <w:tcW w:w="4650" w:type="dxa"/>
          </w:tcPr>
          <w:p w14:paraId="3E550DC2"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Magyarország</w:t>
            </w:r>
          </w:p>
          <w:p w14:paraId="3E550DC3"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Hungária Kft.</w:t>
            </w:r>
          </w:p>
          <w:p w14:paraId="3E550DC4"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Tel.: +36 1 457 65 00</w:t>
            </w:r>
          </w:p>
        </w:tc>
      </w:tr>
      <w:tr w:rsidR="00B1589E" w:rsidRPr="00FE6AC6" w14:paraId="3E550DCD" w14:textId="77777777" w:rsidTr="0055257C">
        <w:trPr>
          <w:cantSplit/>
        </w:trPr>
        <w:tc>
          <w:tcPr>
            <w:tcW w:w="4650" w:type="dxa"/>
          </w:tcPr>
          <w:p w14:paraId="3E550DC6" w14:textId="77777777" w:rsidR="00B1589E" w:rsidRPr="00FE6AC6" w:rsidRDefault="00B1589E" w:rsidP="0063575E">
            <w:pPr>
              <w:widowControl w:val="0"/>
              <w:spacing w:line="240" w:lineRule="auto"/>
              <w:rPr>
                <w:b/>
                <w:color w:val="000000"/>
                <w:szCs w:val="22"/>
              </w:rPr>
            </w:pPr>
            <w:r w:rsidRPr="00FE6AC6">
              <w:rPr>
                <w:b/>
                <w:color w:val="000000"/>
                <w:szCs w:val="22"/>
              </w:rPr>
              <w:t>Danmark</w:t>
            </w:r>
          </w:p>
          <w:p w14:paraId="3E550DC7" w14:textId="77777777" w:rsidR="00B1589E" w:rsidRPr="00FE6AC6" w:rsidRDefault="00B1589E" w:rsidP="0063575E">
            <w:pPr>
              <w:widowControl w:val="0"/>
              <w:spacing w:line="240" w:lineRule="auto"/>
              <w:rPr>
                <w:color w:val="000000"/>
                <w:szCs w:val="22"/>
              </w:rPr>
            </w:pPr>
            <w:r w:rsidRPr="00FE6AC6">
              <w:rPr>
                <w:color w:val="000000"/>
                <w:szCs w:val="22"/>
              </w:rPr>
              <w:t>Novartis Healthcare A/S</w:t>
            </w:r>
          </w:p>
          <w:p w14:paraId="3E550DC8" w14:textId="77777777" w:rsidR="00B1589E" w:rsidRPr="00FE6AC6" w:rsidRDefault="00B1589E" w:rsidP="0063575E">
            <w:pPr>
              <w:widowControl w:val="0"/>
              <w:spacing w:line="240" w:lineRule="auto"/>
              <w:rPr>
                <w:color w:val="000000"/>
                <w:szCs w:val="22"/>
              </w:rPr>
            </w:pPr>
            <w:r w:rsidRPr="00FE6AC6">
              <w:rPr>
                <w:color w:val="000000"/>
                <w:szCs w:val="22"/>
              </w:rPr>
              <w:t>Tlf: +45 39 16 84 00</w:t>
            </w:r>
          </w:p>
          <w:p w14:paraId="3E550DC9" w14:textId="77777777" w:rsidR="00B1589E" w:rsidRPr="00FE6AC6" w:rsidRDefault="00B1589E" w:rsidP="0063575E">
            <w:pPr>
              <w:widowControl w:val="0"/>
              <w:spacing w:line="240" w:lineRule="auto"/>
              <w:rPr>
                <w:b/>
                <w:color w:val="000000"/>
                <w:szCs w:val="22"/>
              </w:rPr>
            </w:pPr>
          </w:p>
        </w:tc>
        <w:tc>
          <w:tcPr>
            <w:tcW w:w="4650" w:type="dxa"/>
          </w:tcPr>
          <w:p w14:paraId="3E550DCA"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Malta</w:t>
            </w:r>
          </w:p>
          <w:p w14:paraId="3E550DCB"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Pharma Services Inc.</w:t>
            </w:r>
          </w:p>
          <w:p w14:paraId="3E550DCC" w14:textId="77777777" w:rsidR="00B1589E" w:rsidRPr="00FE6AC6" w:rsidRDefault="00B1589E" w:rsidP="0063575E">
            <w:pPr>
              <w:widowControl w:val="0"/>
              <w:spacing w:line="240" w:lineRule="auto"/>
              <w:rPr>
                <w:color w:val="000000"/>
                <w:szCs w:val="22"/>
              </w:rPr>
            </w:pPr>
            <w:r w:rsidRPr="00FE6AC6">
              <w:rPr>
                <w:color w:val="000000"/>
                <w:szCs w:val="22"/>
              </w:rPr>
              <w:t xml:space="preserve">Tel: +356 </w:t>
            </w:r>
            <w:r w:rsidRPr="00FE6AC6">
              <w:rPr>
                <w:color w:val="000000"/>
              </w:rPr>
              <w:t>2122 2872</w:t>
            </w:r>
          </w:p>
        </w:tc>
      </w:tr>
      <w:tr w:rsidR="00B1589E" w:rsidRPr="00FE6AC6" w14:paraId="3E550DD5" w14:textId="77777777" w:rsidTr="0055257C">
        <w:trPr>
          <w:cantSplit/>
        </w:trPr>
        <w:tc>
          <w:tcPr>
            <w:tcW w:w="4650" w:type="dxa"/>
          </w:tcPr>
          <w:p w14:paraId="3E550DCE"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Deutschland</w:t>
            </w:r>
          </w:p>
          <w:p w14:paraId="3E550DCF"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Pharma GmbH</w:t>
            </w:r>
          </w:p>
          <w:p w14:paraId="3E550DD0"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Tel: +49 911 273 0</w:t>
            </w:r>
          </w:p>
          <w:p w14:paraId="3E550DD1" w14:textId="77777777" w:rsidR="00B1589E" w:rsidRPr="00FE6AC6" w:rsidRDefault="00B1589E" w:rsidP="0063575E">
            <w:pPr>
              <w:widowControl w:val="0"/>
              <w:spacing w:line="240" w:lineRule="auto"/>
              <w:rPr>
                <w:b/>
                <w:color w:val="000000"/>
                <w:szCs w:val="22"/>
                <w:lang w:val="de-CH"/>
              </w:rPr>
            </w:pPr>
          </w:p>
        </w:tc>
        <w:tc>
          <w:tcPr>
            <w:tcW w:w="4650" w:type="dxa"/>
          </w:tcPr>
          <w:p w14:paraId="3E550DD2"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Nederland</w:t>
            </w:r>
          </w:p>
          <w:p w14:paraId="3E550DD3"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Pharma B.V.</w:t>
            </w:r>
          </w:p>
          <w:p w14:paraId="3E550DD4" w14:textId="05EB27A0" w:rsidR="00B1589E" w:rsidRPr="00FE6AC6" w:rsidRDefault="00B1589E" w:rsidP="0063575E">
            <w:pPr>
              <w:widowControl w:val="0"/>
              <w:spacing w:line="240" w:lineRule="auto"/>
              <w:rPr>
                <w:color w:val="000000"/>
                <w:szCs w:val="22"/>
              </w:rPr>
            </w:pPr>
            <w:r w:rsidRPr="00FE6AC6">
              <w:rPr>
                <w:color w:val="000000"/>
                <w:szCs w:val="22"/>
              </w:rPr>
              <w:t xml:space="preserve">Tel: +31 </w:t>
            </w:r>
            <w:r w:rsidR="00607DAB">
              <w:rPr>
                <w:color w:val="000000"/>
                <w:szCs w:val="22"/>
                <w:lang w:val="bg-BG"/>
              </w:rPr>
              <w:t>88 04 52</w:t>
            </w:r>
            <w:r w:rsidRPr="00FE6AC6">
              <w:rPr>
                <w:color w:val="000000"/>
                <w:szCs w:val="22"/>
              </w:rPr>
              <w:t xml:space="preserve"> </w:t>
            </w:r>
            <w:r w:rsidR="00211ADC" w:rsidRPr="00FE6AC6">
              <w:rPr>
                <w:color w:val="000000"/>
                <w:szCs w:val="22"/>
              </w:rPr>
              <w:t>555</w:t>
            </w:r>
          </w:p>
        </w:tc>
      </w:tr>
      <w:tr w:rsidR="00B1589E" w:rsidRPr="00FE6AC6" w14:paraId="3E550DDD" w14:textId="77777777" w:rsidTr="0055257C">
        <w:trPr>
          <w:cantSplit/>
        </w:trPr>
        <w:tc>
          <w:tcPr>
            <w:tcW w:w="4650" w:type="dxa"/>
          </w:tcPr>
          <w:p w14:paraId="3E550DD6" w14:textId="77777777" w:rsidR="00B1589E" w:rsidRPr="00FE6AC6" w:rsidRDefault="00B1589E" w:rsidP="0063575E">
            <w:pPr>
              <w:widowControl w:val="0"/>
              <w:spacing w:line="240" w:lineRule="auto"/>
              <w:rPr>
                <w:b/>
                <w:color w:val="000000"/>
                <w:szCs w:val="22"/>
                <w:lang w:val="it-IT"/>
              </w:rPr>
            </w:pPr>
            <w:r w:rsidRPr="00FE6AC6">
              <w:rPr>
                <w:b/>
                <w:color w:val="000000"/>
                <w:szCs w:val="22"/>
                <w:lang w:val="it-IT"/>
              </w:rPr>
              <w:t>Eesti</w:t>
            </w:r>
          </w:p>
          <w:p w14:paraId="3E550DD7" w14:textId="77777777" w:rsidR="00B1589E" w:rsidRPr="00FE6AC6" w:rsidRDefault="0094754E" w:rsidP="0063575E">
            <w:pPr>
              <w:widowControl w:val="0"/>
              <w:spacing w:line="240" w:lineRule="auto"/>
              <w:rPr>
                <w:color w:val="000000"/>
                <w:szCs w:val="22"/>
                <w:lang w:val="it-IT"/>
              </w:rPr>
            </w:pPr>
            <w:r w:rsidRPr="00FE6AC6">
              <w:rPr>
                <w:color w:val="000000"/>
                <w:szCs w:val="22"/>
                <w:lang w:val="it-IT"/>
              </w:rPr>
              <w:t>SIA Novartis Baltics Eesti filiaal</w:t>
            </w:r>
          </w:p>
          <w:p w14:paraId="3E550DD8" w14:textId="77777777" w:rsidR="00B1589E" w:rsidRPr="00FE6AC6" w:rsidRDefault="00B1589E" w:rsidP="0063575E">
            <w:pPr>
              <w:widowControl w:val="0"/>
              <w:spacing w:line="240" w:lineRule="auto"/>
              <w:rPr>
                <w:color w:val="000000"/>
                <w:szCs w:val="22"/>
                <w:lang w:val="it-IT"/>
              </w:rPr>
            </w:pPr>
            <w:r w:rsidRPr="00FE6AC6">
              <w:rPr>
                <w:color w:val="000000"/>
                <w:szCs w:val="22"/>
                <w:lang w:val="it-IT"/>
              </w:rPr>
              <w:t>Tel: +372 66 30 810</w:t>
            </w:r>
          </w:p>
          <w:p w14:paraId="3E550DD9" w14:textId="77777777" w:rsidR="00B1589E" w:rsidRPr="00FE6AC6" w:rsidRDefault="00B1589E" w:rsidP="0063575E">
            <w:pPr>
              <w:widowControl w:val="0"/>
              <w:spacing w:line="240" w:lineRule="auto"/>
              <w:rPr>
                <w:b/>
                <w:color w:val="000000"/>
                <w:szCs w:val="22"/>
                <w:lang w:val="it-IT"/>
              </w:rPr>
            </w:pPr>
          </w:p>
        </w:tc>
        <w:tc>
          <w:tcPr>
            <w:tcW w:w="4650" w:type="dxa"/>
          </w:tcPr>
          <w:p w14:paraId="3E550DDA"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Norge</w:t>
            </w:r>
          </w:p>
          <w:p w14:paraId="3E550DDB"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Norge AS</w:t>
            </w:r>
          </w:p>
          <w:p w14:paraId="3E550DDC"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Tlf: +47 23 05 20 00</w:t>
            </w:r>
          </w:p>
        </w:tc>
      </w:tr>
      <w:tr w:rsidR="00B1589E" w:rsidRPr="004015AA" w14:paraId="3E550DE5" w14:textId="77777777" w:rsidTr="0055257C">
        <w:trPr>
          <w:cantSplit/>
        </w:trPr>
        <w:tc>
          <w:tcPr>
            <w:tcW w:w="4650" w:type="dxa"/>
          </w:tcPr>
          <w:p w14:paraId="3E550DDE" w14:textId="77777777" w:rsidR="00B1589E" w:rsidRPr="00FE6AC6" w:rsidRDefault="00B1589E" w:rsidP="0063575E">
            <w:pPr>
              <w:widowControl w:val="0"/>
              <w:spacing w:line="240" w:lineRule="auto"/>
              <w:rPr>
                <w:b/>
                <w:color w:val="000000"/>
                <w:szCs w:val="22"/>
                <w:lang w:val="pt-BR"/>
              </w:rPr>
            </w:pPr>
            <w:r w:rsidRPr="00FE6AC6">
              <w:rPr>
                <w:b/>
                <w:color w:val="000000"/>
                <w:szCs w:val="22"/>
              </w:rPr>
              <w:t>Ελλάδα</w:t>
            </w:r>
          </w:p>
          <w:p w14:paraId="3E550DDF"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(Hellas) A.E.B.E.</w:t>
            </w:r>
          </w:p>
          <w:p w14:paraId="3E550DE0" w14:textId="77777777" w:rsidR="00B1589E" w:rsidRPr="00FE6AC6" w:rsidRDefault="00B1589E" w:rsidP="0063575E">
            <w:pPr>
              <w:widowControl w:val="0"/>
              <w:spacing w:line="240" w:lineRule="auto"/>
              <w:rPr>
                <w:color w:val="000000"/>
                <w:szCs w:val="22"/>
                <w:lang w:val="pt-BR"/>
              </w:rPr>
            </w:pPr>
            <w:r w:rsidRPr="00FE6AC6">
              <w:rPr>
                <w:color w:val="000000"/>
                <w:szCs w:val="22"/>
              </w:rPr>
              <w:t>Τηλ</w:t>
            </w:r>
            <w:r w:rsidRPr="00FE6AC6">
              <w:rPr>
                <w:color w:val="000000"/>
                <w:szCs w:val="22"/>
                <w:lang w:val="pt-BR"/>
              </w:rPr>
              <w:t>: +30 210 281 17 12</w:t>
            </w:r>
          </w:p>
          <w:p w14:paraId="3E550DE1" w14:textId="77777777" w:rsidR="00B1589E" w:rsidRPr="00FE6AC6" w:rsidRDefault="00B1589E" w:rsidP="0063575E">
            <w:pPr>
              <w:widowControl w:val="0"/>
              <w:spacing w:line="240" w:lineRule="auto"/>
              <w:rPr>
                <w:b/>
                <w:color w:val="000000"/>
                <w:szCs w:val="22"/>
                <w:lang w:val="pt-BR"/>
              </w:rPr>
            </w:pPr>
          </w:p>
        </w:tc>
        <w:tc>
          <w:tcPr>
            <w:tcW w:w="4650" w:type="dxa"/>
          </w:tcPr>
          <w:p w14:paraId="3E550DE2"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Österreich</w:t>
            </w:r>
          </w:p>
          <w:p w14:paraId="3E550DE3"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Pharma GmbH</w:t>
            </w:r>
          </w:p>
          <w:p w14:paraId="3E550DE4"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Tel: +43 1 86 6570</w:t>
            </w:r>
          </w:p>
        </w:tc>
      </w:tr>
      <w:tr w:rsidR="00B1589E" w:rsidRPr="003B2B39" w14:paraId="3E550DED" w14:textId="77777777" w:rsidTr="0055257C">
        <w:trPr>
          <w:cantSplit/>
        </w:trPr>
        <w:tc>
          <w:tcPr>
            <w:tcW w:w="4650" w:type="dxa"/>
          </w:tcPr>
          <w:p w14:paraId="3E550DE6"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España</w:t>
            </w:r>
          </w:p>
          <w:p w14:paraId="3E550DE7"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Farmacéutica, S.A.</w:t>
            </w:r>
          </w:p>
          <w:p w14:paraId="3E550DE8" w14:textId="77777777" w:rsidR="00B1589E" w:rsidRPr="00FE6AC6" w:rsidRDefault="00B1589E" w:rsidP="0063575E">
            <w:pPr>
              <w:widowControl w:val="0"/>
              <w:spacing w:line="240" w:lineRule="auto"/>
              <w:rPr>
                <w:color w:val="000000"/>
                <w:szCs w:val="22"/>
              </w:rPr>
            </w:pPr>
            <w:r w:rsidRPr="00FE6AC6">
              <w:rPr>
                <w:color w:val="000000"/>
                <w:szCs w:val="22"/>
              </w:rPr>
              <w:t>Tel: +34 93 306 42 00</w:t>
            </w:r>
          </w:p>
          <w:p w14:paraId="3E550DE9" w14:textId="77777777" w:rsidR="00B1589E" w:rsidRPr="00FE6AC6" w:rsidRDefault="00B1589E" w:rsidP="0063575E">
            <w:pPr>
              <w:widowControl w:val="0"/>
              <w:spacing w:line="240" w:lineRule="auto"/>
              <w:rPr>
                <w:b/>
                <w:color w:val="000000"/>
                <w:szCs w:val="22"/>
              </w:rPr>
            </w:pPr>
          </w:p>
        </w:tc>
        <w:tc>
          <w:tcPr>
            <w:tcW w:w="4650" w:type="dxa"/>
          </w:tcPr>
          <w:p w14:paraId="3E550DEA"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Polska</w:t>
            </w:r>
          </w:p>
          <w:p w14:paraId="3E550DEB"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Poland Sp. z o.o.</w:t>
            </w:r>
          </w:p>
          <w:p w14:paraId="3E550DEC"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 xml:space="preserve">Tel.: +48 22 </w:t>
            </w:r>
            <w:r w:rsidRPr="003B2B39">
              <w:rPr>
                <w:szCs w:val="22"/>
                <w:lang w:val="fr-CH"/>
              </w:rPr>
              <w:t>375 4888</w:t>
            </w:r>
          </w:p>
        </w:tc>
      </w:tr>
      <w:tr w:rsidR="00B1589E" w:rsidRPr="00FE6AC6" w14:paraId="3E550DF5" w14:textId="77777777" w:rsidTr="0055257C">
        <w:trPr>
          <w:cantSplit/>
        </w:trPr>
        <w:tc>
          <w:tcPr>
            <w:tcW w:w="4650" w:type="dxa"/>
          </w:tcPr>
          <w:p w14:paraId="3E550DEE" w14:textId="77777777" w:rsidR="00B1589E" w:rsidRPr="00FE6AC6" w:rsidRDefault="00B1589E" w:rsidP="0063575E">
            <w:pPr>
              <w:widowControl w:val="0"/>
              <w:spacing w:line="240" w:lineRule="auto"/>
              <w:rPr>
                <w:b/>
                <w:color w:val="000000"/>
                <w:szCs w:val="22"/>
                <w:lang w:val="fr-FR"/>
              </w:rPr>
            </w:pPr>
            <w:r w:rsidRPr="00FE6AC6">
              <w:rPr>
                <w:b/>
                <w:color w:val="000000"/>
                <w:szCs w:val="22"/>
                <w:lang w:val="fr-FR"/>
              </w:rPr>
              <w:t>France</w:t>
            </w:r>
          </w:p>
          <w:p w14:paraId="3E550DEF"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Novartis Pharma S.A.S.</w:t>
            </w:r>
          </w:p>
          <w:p w14:paraId="3E550DF0"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Tél: +33 1 55 47 66 00</w:t>
            </w:r>
          </w:p>
          <w:p w14:paraId="3E550DF1" w14:textId="77777777" w:rsidR="00B1589E" w:rsidRPr="00FE6AC6" w:rsidRDefault="00B1589E" w:rsidP="0063575E">
            <w:pPr>
              <w:widowControl w:val="0"/>
              <w:spacing w:line="240" w:lineRule="auto"/>
              <w:rPr>
                <w:b/>
                <w:color w:val="000000"/>
                <w:szCs w:val="22"/>
                <w:lang w:val="fr-FR"/>
              </w:rPr>
            </w:pPr>
          </w:p>
        </w:tc>
        <w:tc>
          <w:tcPr>
            <w:tcW w:w="4650" w:type="dxa"/>
          </w:tcPr>
          <w:p w14:paraId="3E550DF2"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Portugal</w:t>
            </w:r>
          </w:p>
          <w:p w14:paraId="3E550DF3"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Farma - Produtos Farmacêuticos, S.A.</w:t>
            </w:r>
          </w:p>
          <w:p w14:paraId="3E550DF4" w14:textId="77777777" w:rsidR="00B1589E" w:rsidRPr="00FE6AC6" w:rsidRDefault="00B1589E" w:rsidP="0063575E">
            <w:pPr>
              <w:widowControl w:val="0"/>
              <w:spacing w:line="240" w:lineRule="auto"/>
              <w:rPr>
                <w:color w:val="000000"/>
                <w:szCs w:val="22"/>
              </w:rPr>
            </w:pPr>
            <w:r w:rsidRPr="00FE6AC6">
              <w:rPr>
                <w:color w:val="000000"/>
                <w:szCs w:val="22"/>
              </w:rPr>
              <w:t>Tel: +351 21 000 8600</w:t>
            </w:r>
          </w:p>
        </w:tc>
      </w:tr>
      <w:tr w:rsidR="00B1589E" w:rsidRPr="00FE6AC6" w14:paraId="3E550DFD" w14:textId="77777777" w:rsidTr="0055257C">
        <w:trPr>
          <w:cantSplit/>
        </w:trPr>
        <w:tc>
          <w:tcPr>
            <w:tcW w:w="4650" w:type="dxa"/>
          </w:tcPr>
          <w:p w14:paraId="3E550DF6" w14:textId="77777777" w:rsidR="00B1589E" w:rsidRPr="009A0A88" w:rsidRDefault="00B1589E" w:rsidP="0063575E">
            <w:pPr>
              <w:widowControl w:val="0"/>
              <w:spacing w:line="240" w:lineRule="auto"/>
              <w:rPr>
                <w:rFonts w:eastAsia="PMingLiU"/>
                <w:b/>
                <w:lang w:val="de-CH"/>
              </w:rPr>
            </w:pPr>
            <w:r w:rsidRPr="009A0A88">
              <w:rPr>
                <w:rFonts w:eastAsia="PMingLiU"/>
                <w:b/>
                <w:lang w:val="de-CH"/>
              </w:rPr>
              <w:t>Hrvatska</w:t>
            </w:r>
          </w:p>
          <w:p w14:paraId="3E550DF7" w14:textId="77777777" w:rsidR="00B1589E" w:rsidRPr="009A0A88" w:rsidRDefault="00B1589E" w:rsidP="0063575E">
            <w:pPr>
              <w:widowControl w:val="0"/>
              <w:spacing w:line="240" w:lineRule="auto"/>
              <w:rPr>
                <w:lang w:val="de-CH"/>
              </w:rPr>
            </w:pPr>
            <w:r w:rsidRPr="009A0A88">
              <w:rPr>
                <w:lang w:val="de-CH"/>
              </w:rPr>
              <w:t>Novartis Hrvatska d.o.o.</w:t>
            </w:r>
          </w:p>
          <w:p w14:paraId="3E550DF8" w14:textId="77777777" w:rsidR="00B1589E" w:rsidRPr="00FE6AC6" w:rsidRDefault="00B1589E" w:rsidP="0063575E">
            <w:pPr>
              <w:widowControl w:val="0"/>
              <w:spacing w:line="240" w:lineRule="auto"/>
            </w:pPr>
            <w:r w:rsidRPr="00FE6AC6">
              <w:t>Tel. +385 1 6274 220</w:t>
            </w:r>
          </w:p>
          <w:p w14:paraId="3E550DF9" w14:textId="77777777" w:rsidR="00B1589E" w:rsidRPr="00FE6AC6" w:rsidRDefault="00B1589E" w:rsidP="0063575E">
            <w:pPr>
              <w:widowControl w:val="0"/>
              <w:spacing w:line="240" w:lineRule="auto"/>
              <w:rPr>
                <w:b/>
                <w:color w:val="000000"/>
                <w:szCs w:val="22"/>
                <w:lang w:val="fr-FR"/>
              </w:rPr>
            </w:pPr>
          </w:p>
        </w:tc>
        <w:tc>
          <w:tcPr>
            <w:tcW w:w="4650" w:type="dxa"/>
          </w:tcPr>
          <w:p w14:paraId="3E550DFA" w14:textId="77777777" w:rsidR="00B1589E" w:rsidRPr="00FE6AC6" w:rsidRDefault="00B1589E" w:rsidP="0063575E">
            <w:pPr>
              <w:widowControl w:val="0"/>
              <w:spacing w:line="240" w:lineRule="auto"/>
              <w:rPr>
                <w:b/>
                <w:noProof/>
                <w:color w:val="000000"/>
                <w:szCs w:val="22"/>
                <w:lang w:val="it-IT"/>
              </w:rPr>
            </w:pPr>
            <w:r w:rsidRPr="00FE6AC6">
              <w:rPr>
                <w:b/>
                <w:noProof/>
                <w:color w:val="000000"/>
                <w:szCs w:val="22"/>
                <w:lang w:val="it-IT"/>
              </w:rPr>
              <w:t>România</w:t>
            </w:r>
          </w:p>
          <w:p w14:paraId="3E550DFB" w14:textId="77777777" w:rsidR="00B1589E" w:rsidRPr="00FE6AC6" w:rsidRDefault="00B1589E" w:rsidP="0063575E">
            <w:pPr>
              <w:widowControl w:val="0"/>
              <w:spacing w:line="240" w:lineRule="auto"/>
              <w:rPr>
                <w:noProof/>
                <w:color w:val="000000"/>
                <w:szCs w:val="22"/>
                <w:lang w:val="it-IT"/>
              </w:rPr>
            </w:pPr>
            <w:r w:rsidRPr="00FE6AC6">
              <w:rPr>
                <w:noProof/>
                <w:color w:val="000000"/>
                <w:szCs w:val="22"/>
                <w:lang w:val="it-IT"/>
              </w:rPr>
              <w:t xml:space="preserve">Novartis Pharma Services </w:t>
            </w:r>
            <w:r w:rsidRPr="00FE6AC6">
              <w:rPr>
                <w:color w:val="2F2F2F"/>
                <w:szCs w:val="22"/>
              </w:rPr>
              <w:t>Romania SRL</w:t>
            </w:r>
          </w:p>
          <w:p w14:paraId="3E550DFC" w14:textId="77777777" w:rsidR="00B1589E" w:rsidRPr="00FE6AC6" w:rsidRDefault="00B1589E" w:rsidP="0063575E">
            <w:pPr>
              <w:widowControl w:val="0"/>
              <w:spacing w:line="240" w:lineRule="auto"/>
              <w:rPr>
                <w:color w:val="000000"/>
                <w:szCs w:val="22"/>
              </w:rPr>
            </w:pPr>
            <w:r w:rsidRPr="00FE6AC6">
              <w:rPr>
                <w:noProof/>
                <w:color w:val="000000"/>
                <w:szCs w:val="22"/>
                <w:lang w:val="it-IT"/>
              </w:rPr>
              <w:t>Tel: +40 21 31299 01</w:t>
            </w:r>
          </w:p>
        </w:tc>
      </w:tr>
      <w:tr w:rsidR="00B1589E" w:rsidRPr="00FE6AC6" w14:paraId="3E550E05" w14:textId="77777777" w:rsidTr="0055257C">
        <w:trPr>
          <w:cantSplit/>
        </w:trPr>
        <w:tc>
          <w:tcPr>
            <w:tcW w:w="4650" w:type="dxa"/>
          </w:tcPr>
          <w:p w14:paraId="3E550DFE" w14:textId="77777777" w:rsidR="00B1589E" w:rsidRPr="00FE6AC6" w:rsidRDefault="00B1589E" w:rsidP="0063575E">
            <w:pPr>
              <w:widowControl w:val="0"/>
              <w:spacing w:line="240" w:lineRule="auto"/>
              <w:rPr>
                <w:b/>
                <w:color w:val="000000"/>
                <w:szCs w:val="22"/>
              </w:rPr>
            </w:pPr>
            <w:r w:rsidRPr="00FE6AC6">
              <w:rPr>
                <w:b/>
                <w:color w:val="000000"/>
                <w:szCs w:val="22"/>
              </w:rPr>
              <w:t>Ireland</w:t>
            </w:r>
          </w:p>
          <w:p w14:paraId="3E550DFF" w14:textId="77777777" w:rsidR="00B1589E" w:rsidRPr="00FE6AC6" w:rsidRDefault="00B1589E" w:rsidP="0063575E">
            <w:pPr>
              <w:widowControl w:val="0"/>
              <w:spacing w:line="240" w:lineRule="auto"/>
              <w:rPr>
                <w:color w:val="000000"/>
                <w:szCs w:val="22"/>
              </w:rPr>
            </w:pPr>
            <w:r w:rsidRPr="00FE6AC6">
              <w:rPr>
                <w:color w:val="000000"/>
                <w:szCs w:val="22"/>
              </w:rPr>
              <w:t>Novartis Ireland Limited</w:t>
            </w:r>
          </w:p>
          <w:p w14:paraId="3E550E00" w14:textId="77777777" w:rsidR="00B1589E" w:rsidRPr="00FE6AC6" w:rsidRDefault="00B1589E" w:rsidP="0063575E">
            <w:pPr>
              <w:widowControl w:val="0"/>
              <w:spacing w:line="240" w:lineRule="auto"/>
              <w:rPr>
                <w:color w:val="000000"/>
                <w:szCs w:val="22"/>
              </w:rPr>
            </w:pPr>
            <w:r w:rsidRPr="00FE6AC6">
              <w:rPr>
                <w:color w:val="000000"/>
                <w:szCs w:val="22"/>
              </w:rPr>
              <w:t>Tel: +353 1 260 12 55</w:t>
            </w:r>
          </w:p>
          <w:p w14:paraId="3E550E01" w14:textId="77777777" w:rsidR="00B1589E" w:rsidRPr="00FE6AC6" w:rsidRDefault="00B1589E" w:rsidP="0063575E">
            <w:pPr>
              <w:widowControl w:val="0"/>
              <w:spacing w:line="240" w:lineRule="auto"/>
              <w:rPr>
                <w:b/>
                <w:color w:val="000000"/>
                <w:szCs w:val="22"/>
              </w:rPr>
            </w:pPr>
          </w:p>
        </w:tc>
        <w:tc>
          <w:tcPr>
            <w:tcW w:w="4650" w:type="dxa"/>
          </w:tcPr>
          <w:p w14:paraId="3E550E02" w14:textId="77777777" w:rsidR="00B1589E" w:rsidRPr="00FE6AC6" w:rsidRDefault="00B1589E" w:rsidP="0063575E">
            <w:pPr>
              <w:widowControl w:val="0"/>
              <w:spacing w:line="240" w:lineRule="auto"/>
              <w:rPr>
                <w:b/>
                <w:color w:val="000000"/>
                <w:szCs w:val="22"/>
                <w:lang w:val="fr-FR"/>
              </w:rPr>
            </w:pPr>
            <w:r w:rsidRPr="00FE6AC6">
              <w:rPr>
                <w:b/>
                <w:color w:val="000000"/>
                <w:szCs w:val="22"/>
                <w:lang w:val="fr-FR"/>
              </w:rPr>
              <w:t>Slovenija</w:t>
            </w:r>
          </w:p>
          <w:p w14:paraId="3E550E03"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Novartis Pharma Services Inc.</w:t>
            </w:r>
          </w:p>
          <w:p w14:paraId="3E550E04"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Tel: +386 1 300 75 50</w:t>
            </w:r>
          </w:p>
        </w:tc>
      </w:tr>
      <w:tr w:rsidR="00B1589E" w:rsidRPr="00FE6AC6" w14:paraId="3E550E0E" w14:textId="77777777" w:rsidTr="0055257C">
        <w:trPr>
          <w:cantSplit/>
        </w:trPr>
        <w:tc>
          <w:tcPr>
            <w:tcW w:w="4650" w:type="dxa"/>
          </w:tcPr>
          <w:p w14:paraId="3E550E06" w14:textId="77777777" w:rsidR="00B1589E" w:rsidRPr="00FE6AC6" w:rsidRDefault="00B1589E" w:rsidP="0063575E">
            <w:pPr>
              <w:widowControl w:val="0"/>
              <w:spacing w:line="240" w:lineRule="auto"/>
              <w:rPr>
                <w:b/>
                <w:color w:val="000000"/>
                <w:szCs w:val="22"/>
              </w:rPr>
            </w:pPr>
            <w:r w:rsidRPr="00FE6AC6">
              <w:rPr>
                <w:b/>
                <w:color w:val="000000"/>
                <w:szCs w:val="22"/>
              </w:rPr>
              <w:t>Ísland</w:t>
            </w:r>
          </w:p>
          <w:p w14:paraId="3E550E07" w14:textId="77777777" w:rsidR="00B1589E" w:rsidRPr="00FE6AC6" w:rsidRDefault="00B1589E" w:rsidP="0063575E">
            <w:pPr>
              <w:widowControl w:val="0"/>
              <w:spacing w:line="240" w:lineRule="auto"/>
              <w:rPr>
                <w:color w:val="000000"/>
                <w:szCs w:val="22"/>
              </w:rPr>
            </w:pPr>
            <w:r w:rsidRPr="00FE6AC6">
              <w:rPr>
                <w:color w:val="000000"/>
                <w:szCs w:val="22"/>
              </w:rPr>
              <w:t>Vistor hf.</w:t>
            </w:r>
          </w:p>
          <w:p w14:paraId="3E550E08" w14:textId="77777777" w:rsidR="00B1589E" w:rsidRPr="00FE6AC6" w:rsidRDefault="00B1589E" w:rsidP="0063575E">
            <w:pPr>
              <w:widowControl w:val="0"/>
              <w:spacing w:line="240" w:lineRule="auto"/>
              <w:rPr>
                <w:color w:val="000000"/>
                <w:szCs w:val="22"/>
              </w:rPr>
            </w:pPr>
            <w:r w:rsidRPr="00FE6AC6">
              <w:rPr>
                <w:noProof/>
                <w:color w:val="000000"/>
                <w:lang w:val="it-IT"/>
              </w:rPr>
              <w:t>S</w:t>
            </w:r>
            <w:r w:rsidRPr="00FE6AC6">
              <w:rPr>
                <w:noProof/>
                <w:color w:val="000000"/>
                <w:lang w:val="cs-CZ"/>
              </w:rPr>
              <w:t>í</w:t>
            </w:r>
            <w:r w:rsidRPr="00FE6AC6">
              <w:rPr>
                <w:noProof/>
                <w:color w:val="000000"/>
                <w:lang w:val="it-IT"/>
              </w:rPr>
              <w:t>mi</w:t>
            </w:r>
            <w:r w:rsidRPr="00FE6AC6">
              <w:rPr>
                <w:color w:val="000000"/>
                <w:szCs w:val="22"/>
              </w:rPr>
              <w:t>: +354 535 7000</w:t>
            </w:r>
          </w:p>
          <w:p w14:paraId="3E550E09" w14:textId="77777777" w:rsidR="00B1589E" w:rsidRPr="00FE6AC6" w:rsidRDefault="00B1589E" w:rsidP="0063575E">
            <w:pPr>
              <w:widowControl w:val="0"/>
              <w:spacing w:line="240" w:lineRule="auto"/>
              <w:rPr>
                <w:b/>
                <w:color w:val="000000"/>
                <w:szCs w:val="22"/>
              </w:rPr>
            </w:pPr>
          </w:p>
        </w:tc>
        <w:tc>
          <w:tcPr>
            <w:tcW w:w="4650" w:type="dxa"/>
          </w:tcPr>
          <w:p w14:paraId="3E550E0A"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Slovenská republika</w:t>
            </w:r>
          </w:p>
          <w:p w14:paraId="3E550E0B"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Slovakia s.r.o.</w:t>
            </w:r>
          </w:p>
          <w:p w14:paraId="3E550E0C" w14:textId="77777777" w:rsidR="00B1589E" w:rsidRPr="00FE6AC6" w:rsidRDefault="00B1589E" w:rsidP="0063575E">
            <w:pPr>
              <w:widowControl w:val="0"/>
              <w:spacing w:line="240" w:lineRule="auto"/>
              <w:rPr>
                <w:color w:val="000000"/>
                <w:szCs w:val="22"/>
              </w:rPr>
            </w:pPr>
            <w:r w:rsidRPr="00FE6AC6">
              <w:rPr>
                <w:color w:val="000000"/>
                <w:szCs w:val="22"/>
              </w:rPr>
              <w:t>Tel: +421 2 5542 5439</w:t>
            </w:r>
          </w:p>
          <w:p w14:paraId="3E550E0D" w14:textId="77777777" w:rsidR="00B1589E" w:rsidRPr="00FE6AC6" w:rsidRDefault="00B1589E" w:rsidP="0063575E">
            <w:pPr>
              <w:widowControl w:val="0"/>
              <w:spacing w:line="240" w:lineRule="auto"/>
              <w:rPr>
                <w:color w:val="000000"/>
                <w:szCs w:val="22"/>
              </w:rPr>
            </w:pPr>
          </w:p>
        </w:tc>
      </w:tr>
      <w:tr w:rsidR="00B1589E" w:rsidRPr="004015AA" w14:paraId="3E550E16" w14:textId="77777777" w:rsidTr="0055257C">
        <w:trPr>
          <w:cantSplit/>
        </w:trPr>
        <w:tc>
          <w:tcPr>
            <w:tcW w:w="4650" w:type="dxa"/>
          </w:tcPr>
          <w:p w14:paraId="3E550E0F" w14:textId="77777777" w:rsidR="00B1589E" w:rsidRPr="00FE6AC6" w:rsidRDefault="00B1589E" w:rsidP="0063575E">
            <w:pPr>
              <w:widowControl w:val="0"/>
              <w:spacing w:line="240" w:lineRule="auto"/>
              <w:rPr>
                <w:b/>
                <w:color w:val="000000"/>
                <w:szCs w:val="22"/>
                <w:lang w:val="pt-BR"/>
              </w:rPr>
            </w:pPr>
            <w:r w:rsidRPr="00FE6AC6">
              <w:rPr>
                <w:b/>
                <w:color w:val="000000"/>
                <w:szCs w:val="22"/>
                <w:lang w:val="pt-BR"/>
              </w:rPr>
              <w:t>Italia</w:t>
            </w:r>
          </w:p>
          <w:p w14:paraId="3E550E10" w14:textId="77777777" w:rsidR="00B1589E" w:rsidRPr="00FE6AC6" w:rsidRDefault="00B1589E" w:rsidP="0063575E">
            <w:pPr>
              <w:widowControl w:val="0"/>
              <w:spacing w:line="240" w:lineRule="auto"/>
              <w:rPr>
                <w:color w:val="000000"/>
                <w:szCs w:val="22"/>
                <w:lang w:val="pt-BR"/>
              </w:rPr>
            </w:pPr>
            <w:r w:rsidRPr="00FE6AC6">
              <w:rPr>
                <w:color w:val="000000"/>
                <w:szCs w:val="22"/>
                <w:lang w:val="pt-BR"/>
              </w:rPr>
              <w:t>Novartis Farma S.p.A.</w:t>
            </w:r>
          </w:p>
          <w:p w14:paraId="3E550E11" w14:textId="77777777" w:rsidR="00B1589E" w:rsidRPr="00FE6AC6" w:rsidRDefault="00B1589E" w:rsidP="0063575E">
            <w:pPr>
              <w:widowControl w:val="0"/>
              <w:spacing w:line="240" w:lineRule="auto"/>
              <w:rPr>
                <w:b/>
                <w:color w:val="000000"/>
                <w:szCs w:val="22"/>
              </w:rPr>
            </w:pPr>
            <w:r w:rsidRPr="00FE6AC6">
              <w:rPr>
                <w:color w:val="000000"/>
                <w:szCs w:val="22"/>
              </w:rPr>
              <w:t>Tel: +39 02 96 54 1</w:t>
            </w:r>
          </w:p>
        </w:tc>
        <w:tc>
          <w:tcPr>
            <w:tcW w:w="4650" w:type="dxa"/>
          </w:tcPr>
          <w:p w14:paraId="3E550E12" w14:textId="77777777" w:rsidR="00B1589E" w:rsidRPr="00FE6AC6" w:rsidRDefault="00B1589E" w:rsidP="0063575E">
            <w:pPr>
              <w:widowControl w:val="0"/>
              <w:spacing w:line="240" w:lineRule="auto"/>
              <w:rPr>
                <w:b/>
                <w:color w:val="000000"/>
                <w:szCs w:val="22"/>
                <w:lang w:val="fr-FR"/>
              </w:rPr>
            </w:pPr>
            <w:r w:rsidRPr="00FE6AC6">
              <w:rPr>
                <w:b/>
                <w:color w:val="000000"/>
                <w:szCs w:val="22"/>
                <w:lang w:val="fr-FR"/>
              </w:rPr>
              <w:t>Suomi/Finland</w:t>
            </w:r>
          </w:p>
          <w:p w14:paraId="3E550E13"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Novartis Finland Oy</w:t>
            </w:r>
          </w:p>
          <w:p w14:paraId="3E550E14" w14:textId="77777777" w:rsidR="00B1589E" w:rsidRPr="00FE6AC6" w:rsidRDefault="00B1589E" w:rsidP="0063575E">
            <w:pPr>
              <w:widowControl w:val="0"/>
              <w:spacing w:line="240" w:lineRule="auto"/>
              <w:rPr>
                <w:color w:val="000000"/>
                <w:szCs w:val="22"/>
                <w:lang w:val="fr-FR"/>
              </w:rPr>
            </w:pPr>
            <w:r w:rsidRPr="00FE6AC6">
              <w:rPr>
                <w:color w:val="000000"/>
                <w:szCs w:val="22"/>
                <w:lang w:val="fr-FR"/>
              </w:rPr>
              <w:t xml:space="preserve">Puh/Tel: </w:t>
            </w:r>
            <w:r w:rsidRPr="00FE6AC6">
              <w:rPr>
                <w:color w:val="000000"/>
                <w:szCs w:val="22"/>
                <w:lang w:val="de-CH" w:bidi="he-IL"/>
              </w:rPr>
              <w:t>+358 (0)10 6133 200</w:t>
            </w:r>
          </w:p>
          <w:p w14:paraId="3E550E15" w14:textId="77777777" w:rsidR="00B1589E" w:rsidRPr="00FE6AC6" w:rsidRDefault="00B1589E" w:rsidP="0063575E">
            <w:pPr>
              <w:widowControl w:val="0"/>
              <w:spacing w:line="240" w:lineRule="auto"/>
              <w:rPr>
                <w:color w:val="000000"/>
                <w:szCs w:val="22"/>
                <w:lang w:val="fr-FR"/>
              </w:rPr>
            </w:pPr>
          </w:p>
        </w:tc>
      </w:tr>
      <w:tr w:rsidR="00B1589E" w:rsidRPr="004015AA" w14:paraId="3E550E1F" w14:textId="77777777" w:rsidTr="0055257C">
        <w:trPr>
          <w:cantSplit/>
        </w:trPr>
        <w:tc>
          <w:tcPr>
            <w:tcW w:w="4650" w:type="dxa"/>
          </w:tcPr>
          <w:p w14:paraId="3E550E17" w14:textId="77777777" w:rsidR="00B1589E" w:rsidRPr="00FE6AC6" w:rsidRDefault="00B1589E" w:rsidP="0063575E">
            <w:pPr>
              <w:widowControl w:val="0"/>
              <w:spacing w:line="240" w:lineRule="auto"/>
              <w:rPr>
                <w:b/>
                <w:color w:val="000000"/>
                <w:szCs w:val="22"/>
                <w:lang w:val="fr-FR"/>
              </w:rPr>
            </w:pPr>
            <w:r w:rsidRPr="00FE6AC6">
              <w:rPr>
                <w:b/>
                <w:color w:val="000000"/>
                <w:szCs w:val="22"/>
              </w:rPr>
              <w:t>Κύπρος</w:t>
            </w:r>
          </w:p>
          <w:p w14:paraId="3E550E18" w14:textId="77777777" w:rsidR="00B1589E" w:rsidRPr="00FE6AC6" w:rsidRDefault="00B1589E" w:rsidP="0063575E">
            <w:pPr>
              <w:widowControl w:val="0"/>
              <w:spacing w:line="240" w:lineRule="auto"/>
              <w:rPr>
                <w:color w:val="000000"/>
                <w:szCs w:val="22"/>
                <w:lang w:val="fr-FR"/>
              </w:rPr>
            </w:pPr>
            <w:r w:rsidRPr="00FE6AC6">
              <w:rPr>
                <w:color w:val="000000"/>
                <w:szCs w:val="22"/>
                <w:lang w:val="fr-FR" w:bidi="he-IL"/>
              </w:rPr>
              <w:t>Novartis Pharma Services Inc.</w:t>
            </w:r>
          </w:p>
          <w:p w14:paraId="3E550E19" w14:textId="77777777" w:rsidR="00B1589E" w:rsidRPr="00FE6AC6" w:rsidRDefault="00B1589E" w:rsidP="0063575E">
            <w:pPr>
              <w:widowControl w:val="0"/>
              <w:spacing w:line="240" w:lineRule="auto"/>
              <w:rPr>
                <w:color w:val="000000"/>
                <w:szCs w:val="22"/>
                <w:lang w:val="fr-FR"/>
              </w:rPr>
            </w:pPr>
            <w:r w:rsidRPr="00FE6AC6">
              <w:rPr>
                <w:color w:val="000000"/>
                <w:szCs w:val="22"/>
              </w:rPr>
              <w:t>Τηλ</w:t>
            </w:r>
            <w:r w:rsidRPr="00FE6AC6">
              <w:rPr>
                <w:color w:val="000000"/>
                <w:szCs w:val="22"/>
                <w:lang w:val="fr-FR"/>
              </w:rPr>
              <w:t>: +357 22 690 690</w:t>
            </w:r>
          </w:p>
          <w:p w14:paraId="3E550E1A" w14:textId="77777777" w:rsidR="00B1589E" w:rsidRPr="00FE6AC6" w:rsidRDefault="00B1589E" w:rsidP="0063575E">
            <w:pPr>
              <w:widowControl w:val="0"/>
              <w:spacing w:line="240" w:lineRule="auto"/>
              <w:rPr>
                <w:b/>
                <w:color w:val="000000"/>
                <w:szCs w:val="22"/>
                <w:lang w:val="fr-FR"/>
              </w:rPr>
            </w:pPr>
          </w:p>
        </w:tc>
        <w:tc>
          <w:tcPr>
            <w:tcW w:w="4650" w:type="dxa"/>
          </w:tcPr>
          <w:p w14:paraId="3E550E1B" w14:textId="77777777" w:rsidR="00B1589E" w:rsidRPr="00FE6AC6" w:rsidRDefault="00B1589E" w:rsidP="0063575E">
            <w:pPr>
              <w:widowControl w:val="0"/>
              <w:spacing w:line="240" w:lineRule="auto"/>
              <w:rPr>
                <w:b/>
                <w:color w:val="000000"/>
                <w:szCs w:val="22"/>
                <w:lang w:val="de-CH"/>
              </w:rPr>
            </w:pPr>
            <w:r w:rsidRPr="00FE6AC6">
              <w:rPr>
                <w:b/>
                <w:color w:val="000000"/>
                <w:szCs w:val="22"/>
                <w:lang w:val="de-CH"/>
              </w:rPr>
              <w:t>Sverige</w:t>
            </w:r>
          </w:p>
          <w:p w14:paraId="3E550E1C"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Novartis Sverige AB</w:t>
            </w:r>
          </w:p>
          <w:p w14:paraId="3E550E1D" w14:textId="77777777" w:rsidR="00B1589E" w:rsidRPr="00FE6AC6" w:rsidRDefault="00B1589E" w:rsidP="0063575E">
            <w:pPr>
              <w:widowControl w:val="0"/>
              <w:spacing w:line="240" w:lineRule="auto"/>
              <w:rPr>
                <w:color w:val="000000"/>
                <w:szCs w:val="22"/>
                <w:lang w:val="de-CH"/>
              </w:rPr>
            </w:pPr>
            <w:r w:rsidRPr="00FE6AC6">
              <w:rPr>
                <w:color w:val="000000"/>
                <w:szCs w:val="22"/>
                <w:lang w:val="de-CH"/>
              </w:rPr>
              <w:t>Tel: +46 8 732 32 00</w:t>
            </w:r>
          </w:p>
          <w:p w14:paraId="3E550E1E" w14:textId="77777777" w:rsidR="00B1589E" w:rsidRPr="00FE6AC6" w:rsidRDefault="00B1589E" w:rsidP="0063575E">
            <w:pPr>
              <w:widowControl w:val="0"/>
              <w:spacing w:line="240" w:lineRule="auto"/>
              <w:rPr>
                <w:color w:val="000000"/>
                <w:szCs w:val="22"/>
                <w:lang w:val="de-CH"/>
              </w:rPr>
            </w:pPr>
          </w:p>
        </w:tc>
      </w:tr>
      <w:tr w:rsidR="00B1589E" w:rsidRPr="00FE6AC6" w14:paraId="3E550E28" w14:textId="77777777" w:rsidTr="0055257C">
        <w:trPr>
          <w:cantSplit/>
        </w:trPr>
        <w:tc>
          <w:tcPr>
            <w:tcW w:w="4650" w:type="dxa"/>
          </w:tcPr>
          <w:p w14:paraId="3E550E20" w14:textId="77777777" w:rsidR="00B1589E" w:rsidRPr="00FE6AC6" w:rsidRDefault="00B1589E" w:rsidP="0063575E">
            <w:pPr>
              <w:widowControl w:val="0"/>
              <w:spacing w:line="240" w:lineRule="auto"/>
              <w:rPr>
                <w:b/>
                <w:color w:val="000000"/>
                <w:szCs w:val="22"/>
                <w:lang w:val="it-IT"/>
              </w:rPr>
            </w:pPr>
            <w:r w:rsidRPr="00FE6AC6">
              <w:rPr>
                <w:b/>
                <w:color w:val="000000"/>
                <w:szCs w:val="22"/>
                <w:lang w:val="it-IT"/>
              </w:rPr>
              <w:t>Latvija</w:t>
            </w:r>
          </w:p>
          <w:p w14:paraId="3E550E21" w14:textId="45436A17" w:rsidR="00B1589E" w:rsidRPr="00FE6AC6" w:rsidRDefault="001C51C1" w:rsidP="0063575E">
            <w:pPr>
              <w:widowControl w:val="0"/>
              <w:spacing w:line="240" w:lineRule="auto"/>
              <w:rPr>
                <w:color w:val="000000"/>
                <w:szCs w:val="22"/>
                <w:lang w:val="it-IT"/>
              </w:rPr>
            </w:pPr>
            <w:r w:rsidRPr="00FE6AC6">
              <w:rPr>
                <w:szCs w:val="22"/>
                <w:lang w:val="it-IT"/>
              </w:rPr>
              <w:t>SIA Novartis Baltics</w:t>
            </w:r>
          </w:p>
          <w:p w14:paraId="3E550E22" w14:textId="77777777" w:rsidR="00B1589E" w:rsidRPr="00FE6AC6" w:rsidRDefault="00B1589E" w:rsidP="0063575E">
            <w:pPr>
              <w:widowControl w:val="0"/>
              <w:spacing w:line="240" w:lineRule="auto"/>
              <w:rPr>
                <w:color w:val="000000"/>
                <w:szCs w:val="22"/>
                <w:lang w:val="it-IT"/>
              </w:rPr>
            </w:pPr>
            <w:r w:rsidRPr="00FE6AC6">
              <w:rPr>
                <w:color w:val="000000"/>
                <w:szCs w:val="22"/>
                <w:lang w:val="it-IT"/>
              </w:rPr>
              <w:t>Tel: +371 67 887 070</w:t>
            </w:r>
          </w:p>
          <w:p w14:paraId="3E550E23" w14:textId="77777777" w:rsidR="00B1589E" w:rsidRPr="00FE6AC6" w:rsidRDefault="00B1589E" w:rsidP="0063575E">
            <w:pPr>
              <w:widowControl w:val="0"/>
              <w:spacing w:line="240" w:lineRule="auto"/>
              <w:rPr>
                <w:b/>
                <w:color w:val="000000"/>
                <w:szCs w:val="22"/>
                <w:lang w:val="it-IT"/>
              </w:rPr>
            </w:pPr>
          </w:p>
        </w:tc>
        <w:tc>
          <w:tcPr>
            <w:tcW w:w="4650" w:type="dxa"/>
          </w:tcPr>
          <w:p w14:paraId="3E550E24" w14:textId="77777777" w:rsidR="00B1589E" w:rsidRPr="00FE6AC6" w:rsidRDefault="00B1589E" w:rsidP="0063575E">
            <w:pPr>
              <w:widowControl w:val="0"/>
              <w:spacing w:line="240" w:lineRule="auto"/>
              <w:rPr>
                <w:b/>
                <w:color w:val="000000"/>
                <w:szCs w:val="22"/>
              </w:rPr>
            </w:pPr>
            <w:r w:rsidRPr="00FE6AC6">
              <w:rPr>
                <w:b/>
                <w:color w:val="000000"/>
                <w:szCs w:val="22"/>
              </w:rPr>
              <w:t>United Kingdom</w:t>
            </w:r>
          </w:p>
          <w:p w14:paraId="3E550E25" w14:textId="77777777" w:rsidR="00B1589E" w:rsidRPr="00FE6AC6" w:rsidRDefault="00B1589E" w:rsidP="0063575E">
            <w:pPr>
              <w:widowControl w:val="0"/>
              <w:spacing w:line="240" w:lineRule="auto"/>
              <w:rPr>
                <w:color w:val="000000"/>
                <w:szCs w:val="22"/>
              </w:rPr>
            </w:pPr>
            <w:r w:rsidRPr="00FE6AC6">
              <w:rPr>
                <w:color w:val="000000"/>
                <w:szCs w:val="22"/>
              </w:rPr>
              <w:t>Novartis Pharmaceuticals UK Ltd.</w:t>
            </w:r>
          </w:p>
          <w:p w14:paraId="3E550E26" w14:textId="77777777" w:rsidR="00B1589E" w:rsidRPr="00FE6AC6" w:rsidRDefault="00B1589E" w:rsidP="0063575E">
            <w:pPr>
              <w:widowControl w:val="0"/>
              <w:spacing w:line="240" w:lineRule="auto"/>
              <w:rPr>
                <w:color w:val="000000"/>
                <w:szCs w:val="22"/>
              </w:rPr>
            </w:pPr>
            <w:r w:rsidRPr="00FE6AC6">
              <w:rPr>
                <w:color w:val="000000"/>
                <w:szCs w:val="22"/>
              </w:rPr>
              <w:t>Tel: +44 1276 698370</w:t>
            </w:r>
          </w:p>
          <w:p w14:paraId="3E550E27" w14:textId="77777777" w:rsidR="00B1589E" w:rsidRPr="00FE6AC6" w:rsidRDefault="00B1589E" w:rsidP="0063575E">
            <w:pPr>
              <w:widowControl w:val="0"/>
              <w:spacing w:line="240" w:lineRule="auto"/>
              <w:rPr>
                <w:color w:val="000000"/>
                <w:szCs w:val="22"/>
              </w:rPr>
            </w:pPr>
          </w:p>
        </w:tc>
      </w:tr>
    </w:tbl>
    <w:p w14:paraId="3E550E29" w14:textId="77777777" w:rsidR="00B1589E" w:rsidRPr="00FE6AC6" w:rsidRDefault="00B1589E" w:rsidP="0063575E">
      <w:pPr>
        <w:widowControl w:val="0"/>
        <w:tabs>
          <w:tab w:val="clear" w:pos="567"/>
        </w:tabs>
        <w:spacing w:line="240" w:lineRule="auto"/>
        <w:ind w:right="-449"/>
        <w:rPr>
          <w:color w:val="000000"/>
          <w:szCs w:val="22"/>
        </w:rPr>
      </w:pPr>
    </w:p>
    <w:p w14:paraId="3E550E2A" w14:textId="77777777" w:rsidR="00426F49" w:rsidRPr="00FE6AC6" w:rsidRDefault="00426F49" w:rsidP="0063575E">
      <w:pPr>
        <w:widowControl w:val="0"/>
        <w:spacing w:line="240" w:lineRule="auto"/>
        <w:ind w:right="-2"/>
        <w:rPr>
          <w:b/>
          <w:color w:val="000000"/>
        </w:rPr>
      </w:pPr>
      <w:r w:rsidRPr="00FE6AC6">
        <w:rPr>
          <w:b/>
          <w:color w:val="000000"/>
          <w:lang w:val="bg-BG"/>
        </w:rPr>
        <w:t xml:space="preserve">Дата на последно </w:t>
      </w:r>
      <w:r w:rsidR="001D5414" w:rsidRPr="00FE6AC6">
        <w:rPr>
          <w:b/>
          <w:noProof/>
          <w:szCs w:val="24"/>
          <w:lang w:val="ru-RU"/>
        </w:rPr>
        <w:t>преразглеждане</w:t>
      </w:r>
      <w:r w:rsidRPr="00FE6AC6">
        <w:rPr>
          <w:b/>
          <w:color w:val="000000"/>
          <w:lang w:val="bg-BG"/>
        </w:rPr>
        <w:t xml:space="preserve"> на листовката</w:t>
      </w:r>
    </w:p>
    <w:p w14:paraId="3E550E2B" w14:textId="77777777" w:rsidR="00426F49" w:rsidRPr="00FE6AC6" w:rsidRDefault="00426F49" w:rsidP="0063575E">
      <w:pPr>
        <w:widowControl w:val="0"/>
        <w:tabs>
          <w:tab w:val="clear" w:pos="567"/>
        </w:tabs>
        <w:spacing w:line="240" w:lineRule="auto"/>
        <w:ind w:right="-449"/>
        <w:rPr>
          <w:color w:val="000000"/>
          <w:szCs w:val="22"/>
          <w:lang w:val="bg-BG"/>
        </w:rPr>
      </w:pPr>
    </w:p>
    <w:p w14:paraId="3E550E2C" w14:textId="77777777" w:rsidR="001D5414" w:rsidRPr="00FE6AC6" w:rsidRDefault="001D5414" w:rsidP="0063575E">
      <w:pPr>
        <w:keepNext/>
        <w:widowControl w:val="0"/>
        <w:tabs>
          <w:tab w:val="clear" w:pos="567"/>
        </w:tabs>
        <w:spacing w:line="240" w:lineRule="auto"/>
        <w:ind w:right="-448"/>
        <w:rPr>
          <w:noProof/>
          <w:lang w:val="ru-RU"/>
        </w:rPr>
      </w:pPr>
      <w:r w:rsidRPr="00FE6AC6">
        <w:rPr>
          <w:b/>
          <w:noProof/>
          <w:szCs w:val="24"/>
          <w:lang w:val="bg-BG"/>
        </w:rPr>
        <w:t>Други източници на информация</w:t>
      </w:r>
    </w:p>
    <w:p w14:paraId="3E550E2D" w14:textId="77777777" w:rsidR="00426F49" w:rsidRPr="00FE6AC6" w:rsidRDefault="00426F49" w:rsidP="0063575E">
      <w:pPr>
        <w:widowControl w:val="0"/>
        <w:tabs>
          <w:tab w:val="clear" w:pos="567"/>
        </w:tabs>
        <w:spacing w:line="240" w:lineRule="auto"/>
        <w:ind w:right="-449"/>
        <w:rPr>
          <w:color w:val="000000"/>
          <w:szCs w:val="22"/>
          <w:lang w:val="ru-RU"/>
        </w:rPr>
      </w:pPr>
      <w:r w:rsidRPr="00FE6AC6">
        <w:rPr>
          <w:noProof/>
          <w:lang w:val="ru-RU"/>
        </w:rPr>
        <w:t>Подробна информация за това лекарств</w:t>
      </w:r>
      <w:r w:rsidRPr="00FE6AC6">
        <w:rPr>
          <w:noProof/>
          <w:lang w:val="it-IT"/>
        </w:rPr>
        <w:t>o</w:t>
      </w:r>
      <w:r w:rsidRPr="00FE6AC6">
        <w:rPr>
          <w:noProof/>
          <w:lang w:val="ru-RU"/>
        </w:rPr>
        <w:t xml:space="preserve"> е предоставена на уебсайта на Европейската агенция по лекарствата </w:t>
      </w:r>
      <w:r w:rsidRPr="00FE6AC6">
        <w:rPr>
          <w:noProof/>
          <w:color w:val="000000"/>
          <w:lang w:val="it-IT"/>
        </w:rPr>
        <w:t>http</w:t>
      </w:r>
      <w:r w:rsidRPr="00FE6AC6">
        <w:rPr>
          <w:noProof/>
          <w:color w:val="000000"/>
          <w:lang w:val="ru-RU"/>
        </w:rPr>
        <w:t>://</w:t>
      </w:r>
      <w:r w:rsidRPr="00FE6AC6">
        <w:rPr>
          <w:noProof/>
          <w:color w:val="000000"/>
          <w:lang w:val="it-IT"/>
        </w:rPr>
        <w:t>www</w:t>
      </w:r>
      <w:r w:rsidRPr="00FE6AC6">
        <w:rPr>
          <w:noProof/>
          <w:color w:val="000000"/>
          <w:lang w:val="ru-RU"/>
        </w:rPr>
        <w:t>.</w:t>
      </w:r>
      <w:r w:rsidRPr="00FE6AC6">
        <w:rPr>
          <w:noProof/>
          <w:color w:val="000000"/>
          <w:lang w:val="it-IT"/>
        </w:rPr>
        <w:t>ema</w:t>
      </w:r>
      <w:r w:rsidRPr="00FE6AC6">
        <w:rPr>
          <w:noProof/>
          <w:color w:val="000000"/>
          <w:lang w:val="ru-RU"/>
        </w:rPr>
        <w:t>.</w:t>
      </w:r>
      <w:r w:rsidRPr="00FE6AC6">
        <w:rPr>
          <w:noProof/>
          <w:color w:val="000000"/>
          <w:lang w:val="it-IT"/>
        </w:rPr>
        <w:t>europa</w:t>
      </w:r>
      <w:r w:rsidRPr="00FE6AC6">
        <w:rPr>
          <w:noProof/>
          <w:color w:val="000000"/>
          <w:lang w:val="ru-RU"/>
        </w:rPr>
        <w:t>.</w:t>
      </w:r>
      <w:r w:rsidRPr="00FE6AC6">
        <w:rPr>
          <w:noProof/>
          <w:color w:val="000000"/>
          <w:lang w:val="it-IT"/>
        </w:rPr>
        <w:t>eu</w:t>
      </w:r>
    </w:p>
    <w:p w14:paraId="3E550E2E" w14:textId="77777777" w:rsidR="00426F49" w:rsidRPr="00FE6AC6" w:rsidRDefault="00426F49" w:rsidP="0063575E">
      <w:pPr>
        <w:widowControl w:val="0"/>
        <w:tabs>
          <w:tab w:val="clear" w:pos="567"/>
        </w:tabs>
        <w:spacing w:line="240" w:lineRule="auto"/>
        <w:ind w:right="-449"/>
        <w:rPr>
          <w:color w:val="000000"/>
          <w:szCs w:val="22"/>
          <w:lang w:val="ru-RU"/>
        </w:rPr>
      </w:pPr>
    </w:p>
    <w:p w14:paraId="3E550FC3" w14:textId="77E94CCA" w:rsidR="00D73861" w:rsidRPr="00D73861" w:rsidRDefault="00D73861" w:rsidP="00607DAB">
      <w:pPr>
        <w:widowControl w:val="0"/>
        <w:spacing w:line="240" w:lineRule="auto"/>
        <w:ind w:right="-2"/>
        <w:rPr>
          <w:lang w:val="bg-BG"/>
        </w:rPr>
      </w:pPr>
    </w:p>
    <w:sectPr w:rsidR="00D73861" w:rsidRPr="00D73861" w:rsidSect="00126725">
      <w:headerReference w:type="even" r:id="rId19"/>
      <w:headerReference w:type="default" r:id="rId20"/>
      <w:footerReference w:type="even" r:id="rId21"/>
      <w:footerReference w:type="default" r:id="rId22"/>
      <w:headerReference w:type="first" r:id="rId23"/>
      <w:footerReference w:type="first" r:id="rId24"/>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50FF2" w14:textId="77777777" w:rsidR="006033B4" w:rsidRDefault="006033B4">
      <w:r>
        <w:separator/>
      </w:r>
    </w:p>
  </w:endnote>
  <w:endnote w:type="continuationSeparator" w:id="0">
    <w:p w14:paraId="3E550FF3" w14:textId="77777777" w:rsidR="006033B4" w:rsidRDefault="0060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Yu Gothic UI"/>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0FF6" w14:textId="77777777" w:rsidR="006033B4" w:rsidRDefault="00603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0FF7" w14:textId="43108F4D" w:rsidR="006033B4" w:rsidRPr="00126725" w:rsidRDefault="006033B4">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126725">
      <w:rPr>
        <w:rStyle w:val="PageNumber"/>
        <w:rFonts w:ascii="Arial" w:hAnsi="Arial" w:cs="Arial"/>
      </w:rPr>
      <w:fldChar w:fldCharType="begin"/>
    </w:r>
    <w:r w:rsidRPr="00126725">
      <w:rPr>
        <w:rStyle w:val="PageNumber"/>
        <w:rFonts w:ascii="Arial" w:hAnsi="Arial" w:cs="Arial"/>
      </w:rPr>
      <w:instrText xml:space="preserve">PAGE  </w:instrText>
    </w:r>
    <w:r w:rsidRPr="00126725">
      <w:rPr>
        <w:rStyle w:val="PageNumber"/>
        <w:rFonts w:ascii="Arial" w:hAnsi="Arial" w:cs="Arial"/>
      </w:rPr>
      <w:fldChar w:fldCharType="separate"/>
    </w:r>
    <w:r w:rsidR="001F6712">
      <w:rPr>
        <w:rStyle w:val="PageNumber"/>
        <w:rFonts w:ascii="Arial" w:hAnsi="Arial" w:cs="Arial"/>
        <w:noProof/>
      </w:rPr>
      <w:t>108</w:t>
    </w:r>
    <w:r w:rsidRPr="00126725">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0FF9" w14:textId="77777777" w:rsidR="006033B4" w:rsidRDefault="006033B4" w:rsidP="003771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550FFA" w14:textId="77777777" w:rsidR="006033B4" w:rsidRDefault="006033B4">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50FF0" w14:textId="77777777" w:rsidR="006033B4" w:rsidRDefault="006033B4">
      <w:r>
        <w:separator/>
      </w:r>
    </w:p>
  </w:footnote>
  <w:footnote w:type="continuationSeparator" w:id="0">
    <w:p w14:paraId="3E550FF1" w14:textId="77777777" w:rsidR="006033B4" w:rsidRDefault="00603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0FF4" w14:textId="77777777" w:rsidR="006033B4" w:rsidRDefault="00603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0FF5" w14:textId="77777777" w:rsidR="006033B4" w:rsidRDefault="006033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0FF8" w14:textId="77777777" w:rsidR="006033B4" w:rsidRDefault="00603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3.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105072"/>
    <w:multiLevelType w:val="multilevel"/>
    <w:tmpl w:val="B5ECC566"/>
    <w:lvl w:ilvl="0">
      <w:start w:val="6"/>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66D3804"/>
    <w:multiLevelType w:val="hybridMultilevel"/>
    <w:tmpl w:val="6944ADD8"/>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620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8773AE"/>
    <w:multiLevelType w:val="multilevel"/>
    <w:tmpl w:val="B5ECC566"/>
    <w:lvl w:ilvl="0">
      <w:start w:val="6"/>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7C11C2"/>
    <w:multiLevelType w:val="hybridMultilevel"/>
    <w:tmpl w:val="F1F28AA2"/>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5460B7"/>
    <w:multiLevelType w:val="hybridMultilevel"/>
    <w:tmpl w:val="1E02869C"/>
    <w:lvl w:ilvl="0" w:tplc="FFFFFFFF">
      <w:start w:val="2"/>
      <w:numFmt w:val="bullet"/>
      <w:lvlText w:val="-"/>
      <w:lvlJc w:val="left"/>
      <w:pPr>
        <w:tabs>
          <w:tab w:val="num" w:pos="630"/>
        </w:tabs>
        <w:ind w:left="630" w:hanging="570"/>
      </w:pPr>
      <w:rPr>
        <w:rFonts w:hint="default"/>
        <w:b w:val="0"/>
        <w:i w:val="0"/>
      </w:rPr>
    </w:lvl>
    <w:lvl w:ilvl="1" w:tplc="BA7E160A">
      <w:numFmt w:val="bullet"/>
      <w:lvlText w:val=""/>
      <w:lvlJc w:val="left"/>
      <w:pPr>
        <w:tabs>
          <w:tab w:val="num" w:pos="1695"/>
        </w:tabs>
        <w:ind w:left="1695" w:hanging="561"/>
      </w:pPr>
      <w:rPr>
        <w:rFonts w:ascii="Symbol" w:hAnsi="Symbol" w:hint="default"/>
        <w:b w:val="0"/>
        <w:i w:val="0"/>
      </w:rPr>
    </w:lvl>
    <w:lvl w:ilvl="2" w:tplc="FFFFFFFF" w:tentative="1">
      <w:start w:val="1"/>
      <w:numFmt w:val="bullet"/>
      <w:lvlText w:val=""/>
      <w:lvlJc w:val="left"/>
      <w:pPr>
        <w:tabs>
          <w:tab w:val="num" w:pos="2214"/>
        </w:tabs>
        <w:ind w:left="2214" w:hanging="360"/>
      </w:pPr>
      <w:rPr>
        <w:rFonts w:ascii="Wingdings" w:hAnsi="Wingdings" w:hint="default"/>
      </w:rPr>
    </w:lvl>
    <w:lvl w:ilvl="3" w:tplc="FFFFFFFF" w:tentative="1">
      <w:start w:val="1"/>
      <w:numFmt w:val="bullet"/>
      <w:lvlText w:val=""/>
      <w:lvlJc w:val="left"/>
      <w:pPr>
        <w:tabs>
          <w:tab w:val="num" w:pos="2934"/>
        </w:tabs>
        <w:ind w:left="2934" w:hanging="360"/>
      </w:pPr>
      <w:rPr>
        <w:rFonts w:ascii="Symbol" w:hAnsi="Symbol" w:hint="default"/>
      </w:rPr>
    </w:lvl>
    <w:lvl w:ilvl="4" w:tplc="FFFFFFFF" w:tentative="1">
      <w:start w:val="1"/>
      <w:numFmt w:val="bullet"/>
      <w:lvlText w:val="o"/>
      <w:lvlJc w:val="left"/>
      <w:pPr>
        <w:tabs>
          <w:tab w:val="num" w:pos="3654"/>
        </w:tabs>
        <w:ind w:left="3654" w:hanging="360"/>
      </w:pPr>
      <w:rPr>
        <w:rFonts w:ascii="Courier New" w:hAnsi="Courier New" w:cs="Courier New" w:hint="default"/>
      </w:rPr>
    </w:lvl>
    <w:lvl w:ilvl="5" w:tplc="FFFFFFFF" w:tentative="1">
      <w:start w:val="1"/>
      <w:numFmt w:val="bullet"/>
      <w:lvlText w:val=""/>
      <w:lvlJc w:val="left"/>
      <w:pPr>
        <w:tabs>
          <w:tab w:val="num" w:pos="4374"/>
        </w:tabs>
        <w:ind w:left="4374" w:hanging="360"/>
      </w:pPr>
      <w:rPr>
        <w:rFonts w:ascii="Wingdings" w:hAnsi="Wingdings" w:hint="default"/>
      </w:rPr>
    </w:lvl>
    <w:lvl w:ilvl="6" w:tplc="FFFFFFFF" w:tentative="1">
      <w:start w:val="1"/>
      <w:numFmt w:val="bullet"/>
      <w:lvlText w:val=""/>
      <w:lvlJc w:val="left"/>
      <w:pPr>
        <w:tabs>
          <w:tab w:val="num" w:pos="5094"/>
        </w:tabs>
        <w:ind w:left="5094" w:hanging="360"/>
      </w:pPr>
      <w:rPr>
        <w:rFonts w:ascii="Symbol" w:hAnsi="Symbol" w:hint="default"/>
      </w:rPr>
    </w:lvl>
    <w:lvl w:ilvl="7" w:tplc="FFFFFFFF" w:tentative="1">
      <w:start w:val="1"/>
      <w:numFmt w:val="bullet"/>
      <w:lvlText w:val="o"/>
      <w:lvlJc w:val="left"/>
      <w:pPr>
        <w:tabs>
          <w:tab w:val="num" w:pos="5814"/>
        </w:tabs>
        <w:ind w:left="5814" w:hanging="360"/>
      </w:pPr>
      <w:rPr>
        <w:rFonts w:ascii="Courier New" w:hAnsi="Courier New" w:cs="Courier New" w:hint="default"/>
      </w:rPr>
    </w:lvl>
    <w:lvl w:ilvl="8" w:tplc="FFFFFFFF" w:tentative="1">
      <w:start w:val="1"/>
      <w:numFmt w:val="bullet"/>
      <w:lvlText w:val=""/>
      <w:lvlJc w:val="left"/>
      <w:pPr>
        <w:tabs>
          <w:tab w:val="num" w:pos="6534"/>
        </w:tabs>
        <w:ind w:left="6534" w:hanging="360"/>
      </w:pPr>
      <w:rPr>
        <w:rFonts w:ascii="Wingdings" w:hAnsi="Wingdings" w:hint="default"/>
      </w:rPr>
    </w:lvl>
  </w:abstractNum>
  <w:abstractNum w:abstractNumId="10" w15:restartNumberingAfterBreak="0">
    <w:nsid w:val="1E950170"/>
    <w:multiLevelType w:val="multilevel"/>
    <w:tmpl w:val="B5ECC566"/>
    <w:lvl w:ilvl="0">
      <w:start w:val="6"/>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EBB1452"/>
    <w:multiLevelType w:val="hybridMultilevel"/>
    <w:tmpl w:val="BEA07B2A"/>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3" w15:restartNumberingAfterBreak="0">
    <w:nsid w:val="20494F99"/>
    <w:multiLevelType w:val="hybridMultilevel"/>
    <w:tmpl w:val="B8B6AD44"/>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04392B"/>
    <w:multiLevelType w:val="hybridMultilevel"/>
    <w:tmpl w:val="9DD0B6C4"/>
    <w:lvl w:ilvl="0" w:tplc="D588565C">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F44FA9"/>
    <w:multiLevelType w:val="hybridMultilevel"/>
    <w:tmpl w:val="B6648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281DC1"/>
    <w:multiLevelType w:val="hybridMultilevel"/>
    <w:tmpl w:val="391EACC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3B48F7"/>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CE22515"/>
    <w:multiLevelType w:val="hybridMultilevel"/>
    <w:tmpl w:val="3C9A3C7C"/>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CB2E7E"/>
    <w:multiLevelType w:val="hybridMultilevel"/>
    <w:tmpl w:val="95B273AC"/>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F7629B"/>
    <w:multiLevelType w:val="hybridMultilevel"/>
    <w:tmpl w:val="4D8ED8CE"/>
    <w:lvl w:ilvl="0" w:tplc="CA18A188">
      <w:start w:val="1"/>
      <w:numFmt w:val="bullet"/>
      <w:lvlText w:val=""/>
      <w:lvlJc w:val="left"/>
      <w:pPr>
        <w:tabs>
          <w:tab w:val="num" w:pos="720"/>
        </w:tabs>
        <w:ind w:left="720" w:hanging="360"/>
      </w:pPr>
      <w:rPr>
        <w:rFonts w:ascii="Symbol" w:hAnsi="Symbol" w:hint="default"/>
        <w:color w:val="auto"/>
      </w:rPr>
    </w:lvl>
    <w:lvl w:ilvl="1" w:tplc="45B2160C" w:tentative="1">
      <w:start w:val="1"/>
      <w:numFmt w:val="bullet"/>
      <w:lvlText w:val="o"/>
      <w:lvlJc w:val="left"/>
      <w:pPr>
        <w:tabs>
          <w:tab w:val="num" w:pos="1440"/>
        </w:tabs>
        <w:ind w:left="1440" w:hanging="360"/>
      </w:pPr>
      <w:rPr>
        <w:rFonts w:ascii="Courier New" w:hAnsi="Courier New" w:cs="Courier New" w:hint="default"/>
      </w:rPr>
    </w:lvl>
    <w:lvl w:ilvl="2" w:tplc="4B44E9E4" w:tentative="1">
      <w:start w:val="1"/>
      <w:numFmt w:val="bullet"/>
      <w:lvlText w:val=""/>
      <w:lvlJc w:val="left"/>
      <w:pPr>
        <w:tabs>
          <w:tab w:val="num" w:pos="2160"/>
        </w:tabs>
        <w:ind w:left="2160" w:hanging="360"/>
      </w:pPr>
      <w:rPr>
        <w:rFonts w:ascii="Wingdings" w:hAnsi="Wingdings" w:hint="default"/>
      </w:rPr>
    </w:lvl>
    <w:lvl w:ilvl="3" w:tplc="7354B842" w:tentative="1">
      <w:start w:val="1"/>
      <w:numFmt w:val="bullet"/>
      <w:lvlText w:val=""/>
      <w:lvlJc w:val="left"/>
      <w:pPr>
        <w:tabs>
          <w:tab w:val="num" w:pos="2880"/>
        </w:tabs>
        <w:ind w:left="2880" w:hanging="360"/>
      </w:pPr>
      <w:rPr>
        <w:rFonts w:ascii="Symbol" w:hAnsi="Symbol" w:hint="default"/>
      </w:rPr>
    </w:lvl>
    <w:lvl w:ilvl="4" w:tplc="4C549B98" w:tentative="1">
      <w:start w:val="1"/>
      <w:numFmt w:val="bullet"/>
      <w:lvlText w:val="o"/>
      <w:lvlJc w:val="left"/>
      <w:pPr>
        <w:tabs>
          <w:tab w:val="num" w:pos="3600"/>
        </w:tabs>
        <w:ind w:left="3600" w:hanging="360"/>
      </w:pPr>
      <w:rPr>
        <w:rFonts w:ascii="Courier New" w:hAnsi="Courier New" w:cs="Courier New" w:hint="default"/>
      </w:rPr>
    </w:lvl>
    <w:lvl w:ilvl="5" w:tplc="B7326FA4" w:tentative="1">
      <w:start w:val="1"/>
      <w:numFmt w:val="bullet"/>
      <w:lvlText w:val=""/>
      <w:lvlJc w:val="left"/>
      <w:pPr>
        <w:tabs>
          <w:tab w:val="num" w:pos="4320"/>
        </w:tabs>
        <w:ind w:left="4320" w:hanging="360"/>
      </w:pPr>
      <w:rPr>
        <w:rFonts w:ascii="Wingdings" w:hAnsi="Wingdings" w:hint="default"/>
      </w:rPr>
    </w:lvl>
    <w:lvl w:ilvl="6" w:tplc="638A404C" w:tentative="1">
      <w:start w:val="1"/>
      <w:numFmt w:val="bullet"/>
      <w:lvlText w:val=""/>
      <w:lvlJc w:val="left"/>
      <w:pPr>
        <w:tabs>
          <w:tab w:val="num" w:pos="5040"/>
        </w:tabs>
        <w:ind w:left="5040" w:hanging="360"/>
      </w:pPr>
      <w:rPr>
        <w:rFonts w:ascii="Symbol" w:hAnsi="Symbol" w:hint="default"/>
      </w:rPr>
    </w:lvl>
    <w:lvl w:ilvl="7" w:tplc="0E68F160" w:tentative="1">
      <w:start w:val="1"/>
      <w:numFmt w:val="bullet"/>
      <w:lvlText w:val="o"/>
      <w:lvlJc w:val="left"/>
      <w:pPr>
        <w:tabs>
          <w:tab w:val="num" w:pos="5760"/>
        </w:tabs>
        <w:ind w:left="5760" w:hanging="360"/>
      </w:pPr>
      <w:rPr>
        <w:rFonts w:ascii="Courier New" w:hAnsi="Courier New" w:cs="Courier New" w:hint="default"/>
      </w:rPr>
    </w:lvl>
    <w:lvl w:ilvl="8" w:tplc="89C6DE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CF2E0A"/>
    <w:multiLevelType w:val="hybridMultilevel"/>
    <w:tmpl w:val="F1D2C01C"/>
    <w:lvl w:ilvl="0" w:tplc="7DB296E0">
      <w:start w:val="1"/>
      <w:numFmt w:val="bullet"/>
      <w:lvlText w:val=""/>
      <w:lvlJc w:val="left"/>
      <w:pPr>
        <w:tabs>
          <w:tab w:val="num" w:pos="720"/>
        </w:tabs>
        <w:ind w:left="720" w:hanging="360"/>
      </w:pPr>
      <w:rPr>
        <w:rFonts w:ascii="Symbol" w:hAnsi="Symbol" w:hint="default"/>
        <w:color w:val="auto"/>
      </w:rPr>
    </w:lvl>
    <w:lvl w:ilvl="1" w:tplc="A510FF7C" w:tentative="1">
      <w:start w:val="1"/>
      <w:numFmt w:val="bullet"/>
      <w:lvlText w:val="o"/>
      <w:lvlJc w:val="left"/>
      <w:pPr>
        <w:tabs>
          <w:tab w:val="num" w:pos="1440"/>
        </w:tabs>
        <w:ind w:left="1440" w:hanging="360"/>
      </w:pPr>
      <w:rPr>
        <w:rFonts w:ascii="Courier New" w:hAnsi="Courier New" w:cs="Courier New" w:hint="default"/>
      </w:rPr>
    </w:lvl>
    <w:lvl w:ilvl="2" w:tplc="FCAA96CE" w:tentative="1">
      <w:start w:val="1"/>
      <w:numFmt w:val="bullet"/>
      <w:lvlText w:val=""/>
      <w:lvlJc w:val="left"/>
      <w:pPr>
        <w:tabs>
          <w:tab w:val="num" w:pos="2160"/>
        </w:tabs>
        <w:ind w:left="2160" w:hanging="360"/>
      </w:pPr>
      <w:rPr>
        <w:rFonts w:ascii="Wingdings" w:hAnsi="Wingdings" w:hint="default"/>
      </w:rPr>
    </w:lvl>
    <w:lvl w:ilvl="3" w:tplc="E63E7C24" w:tentative="1">
      <w:start w:val="1"/>
      <w:numFmt w:val="bullet"/>
      <w:lvlText w:val=""/>
      <w:lvlJc w:val="left"/>
      <w:pPr>
        <w:tabs>
          <w:tab w:val="num" w:pos="2880"/>
        </w:tabs>
        <w:ind w:left="2880" w:hanging="360"/>
      </w:pPr>
      <w:rPr>
        <w:rFonts w:ascii="Symbol" w:hAnsi="Symbol" w:hint="default"/>
      </w:rPr>
    </w:lvl>
    <w:lvl w:ilvl="4" w:tplc="0F9ADABC" w:tentative="1">
      <w:start w:val="1"/>
      <w:numFmt w:val="bullet"/>
      <w:lvlText w:val="o"/>
      <w:lvlJc w:val="left"/>
      <w:pPr>
        <w:tabs>
          <w:tab w:val="num" w:pos="3600"/>
        </w:tabs>
        <w:ind w:left="3600" w:hanging="360"/>
      </w:pPr>
      <w:rPr>
        <w:rFonts w:ascii="Courier New" w:hAnsi="Courier New" w:cs="Courier New" w:hint="default"/>
      </w:rPr>
    </w:lvl>
    <w:lvl w:ilvl="5" w:tplc="F77A9788" w:tentative="1">
      <w:start w:val="1"/>
      <w:numFmt w:val="bullet"/>
      <w:lvlText w:val=""/>
      <w:lvlJc w:val="left"/>
      <w:pPr>
        <w:tabs>
          <w:tab w:val="num" w:pos="4320"/>
        </w:tabs>
        <w:ind w:left="4320" w:hanging="360"/>
      </w:pPr>
      <w:rPr>
        <w:rFonts w:ascii="Wingdings" w:hAnsi="Wingdings" w:hint="default"/>
      </w:rPr>
    </w:lvl>
    <w:lvl w:ilvl="6" w:tplc="CC86D9BE" w:tentative="1">
      <w:start w:val="1"/>
      <w:numFmt w:val="bullet"/>
      <w:lvlText w:val=""/>
      <w:lvlJc w:val="left"/>
      <w:pPr>
        <w:tabs>
          <w:tab w:val="num" w:pos="5040"/>
        </w:tabs>
        <w:ind w:left="5040" w:hanging="360"/>
      </w:pPr>
      <w:rPr>
        <w:rFonts w:ascii="Symbol" w:hAnsi="Symbol" w:hint="default"/>
      </w:rPr>
    </w:lvl>
    <w:lvl w:ilvl="7" w:tplc="C5FE494C" w:tentative="1">
      <w:start w:val="1"/>
      <w:numFmt w:val="bullet"/>
      <w:lvlText w:val="o"/>
      <w:lvlJc w:val="left"/>
      <w:pPr>
        <w:tabs>
          <w:tab w:val="num" w:pos="5760"/>
        </w:tabs>
        <w:ind w:left="5760" w:hanging="360"/>
      </w:pPr>
      <w:rPr>
        <w:rFonts w:ascii="Courier New" w:hAnsi="Courier New" w:cs="Courier New" w:hint="default"/>
      </w:rPr>
    </w:lvl>
    <w:lvl w:ilvl="8" w:tplc="532C3F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435A7A"/>
    <w:multiLevelType w:val="hybridMultilevel"/>
    <w:tmpl w:val="6A6884C4"/>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155716"/>
    <w:multiLevelType w:val="hybridMultilevel"/>
    <w:tmpl w:val="831C50E4"/>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340E5A"/>
    <w:multiLevelType w:val="hybridMultilevel"/>
    <w:tmpl w:val="A4DE4990"/>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624056"/>
    <w:multiLevelType w:val="hybridMultilevel"/>
    <w:tmpl w:val="CF3CB08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8F7782"/>
    <w:multiLevelType w:val="hybridMultilevel"/>
    <w:tmpl w:val="F8DC91B0"/>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E41A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3822E3"/>
    <w:multiLevelType w:val="hybridMultilevel"/>
    <w:tmpl w:val="2DBA8366"/>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222AB2"/>
    <w:multiLevelType w:val="hybridMultilevel"/>
    <w:tmpl w:val="833E8706"/>
    <w:lvl w:ilvl="0" w:tplc="B0DEB694">
      <w:start w:val="4"/>
      <w:numFmt w:val="bullet"/>
      <w:lvlText w:val=""/>
      <w:lvlJc w:val="left"/>
      <w:pPr>
        <w:tabs>
          <w:tab w:val="num" w:pos="720"/>
        </w:tabs>
        <w:ind w:left="720" w:hanging="360"/>
      </w:pPr>
      <w:rPr>
        <w:rFonts w:ascii="Symbol" w:eastAsia="Times New Roman" w:hAnsi="Symbol" w:cs="Times New Roman" w:hint="default"/>
      </w:rPr>
    </w:lvl>
    <w:lvl w:ilvl="1" w:tplc="CC1E2216" w:tentative="1">
      <w:start w:val="1"/>
      <w:numFmt w:val="bullet"/>
      <w:lvlText w:val="o"/>
      <w:lvlJc w:val="left"/>
      <w:pPr>
        <w:tabs>
          <w:tab w:val="num" w:pos="1440"/>
        </w:tabs>
        <w:ind w:left="1440" w:hanging="360"/>
      </w:pPr>
      <w:rPr>
        <w:rFonts w:ascii="Courier New" w:hAnsi="Courier New" w:hint="default"/>
      </w:rPr>
    </w:lvl>
    <w:lvl w:ilvl="2" w:tplc="1034077A" w:tentative="1">
      <w:start w:val="1"/>
      <w:numFmt w:val="bullet"/>
      <w:lvlText w:val=""/>
      <w:lvlJc w:val="left"/>
      <w:pPr>
        <w:tabs>
          <w:tab w:val="num" w:pos="2160"/>
        </w:tabs>
        <w:ind w:left="2160" w:hanging="360"/>
      </w:pPr>
      <w:rPr>
        <w:rFonts w:ascii="Wingdings" w:hAnsi="Wingdings" w:hint="default"/>
      </w:rPr>
    </w:lvl>
    <w:lvl w:ilvl="3" w:tplc="2FA8B274" w:tentative="1">
      <w:start w:val="1"/>
      <w:numFmt w:val="bullet"/>
      <w:lvlText w:val=""/>
      <w:lvlJc w:val="left"/>
      <w:pPr>
        <w:tabs>
          <w:tab w:val="num" w:pos="2880"/>
        </w:tabs>
        <w:ind w:left="2880" w:hanging="360"/>
      </w:pPr>
      <w:rPr>
        <w:rFonts w:ascii="Symbol" w:hAnsi="Symbol" w:hint="default"/>
      </w:rPr>
    </w:lvl>
    <w:lvl w:ilvl="4" w:tplc="B4247376" w:tentative="1">
      <w:start w:val="1"/>
      <w:numFmt w:val="bullet"/>
      <w:lvlText w:val="o"/>
      <w:lvlJc w:val="left"/>
      <w:pPr>
        <w:tabs>
          <w:tab w:val="num" w:pos="3600"/>
        </w:tabs>
        <w:ind w:left="3600" w:hanging="360"/>
      </w:pPr>
      <w:rPr>
        <w:rFonts w:ascii="Courier New" w:hAnsi="Courier New" w:hint="default"/>
      </w:rPr>
    </w:lvl>
    <w:lvl w:ilvl="5" w:tplc="E28814F0" w:tentative="1">
      <w:start w:val="1"/>
      <w:numFmt w:val="bullet"/>
      <w:lvlText w:val=""/>
      <w:lvlJc w:val="left"/>
      <w:pPr>
        <w:tabs>
          <w:tab w:val="num" w:pos="4320"/>
        </w:tabs>
        <w:ind w:left="4320" w:hanging="360"/>
      </w:pPr>
      <w:rPr>
        <w:rFonts w:ascii="Wingdings" w:hAnsi="Wingdings" w:hint="default"/>
      </w:rPr>
    </w:lvl>
    <w:lvl w:ilvl="6" w:tplc="ACBAD75A" w:tentative="1">
      <w:start w:val="1"/>
      <w:numFmt w:val="bullet"/>
      <w:lvlText w:val=""/>
      <w:lvlJc w:val="left"/>
      <w:pPr>
        <w:tabs>
          <w:tab w:val="num" w:pos="5040"/>
        </w:tabs>
        <w:ind w:left="5040" w:hanging="360"/>
      </w:pPr>
      <w:rPr>
        <w:rFonts w:ascii="Symbol" w:hAnsi="Symbol" w:hint="default"/>
      </w:rPr>
    </w:lvl>
    <w:lvl w:ilvl="7" w:tplc="27C884D2" w:tentative="1">
      <w:start w:val="1"/>
      <w:numFmt w:val="bullet"/>
      <w:lvlText w:val="o"/>
      <w:lvlJc w:val="left"/>
      <w:pPr>
        <w:tabs>
          <w:tab w:val="num" w:pos="5760"/>
        </w:tabs>
        <w:ind w:left="5760" w:hanging="360"/>
      </w:pPr>
      <w:rPr>
        <w:rFonts w:ascii="Courier New" w:hAnsi="Courier New" w:hint="default"/>
      </w:rPr>
    </w:lvl>
    <w:lvl w:ilvl="8" w:tplc="E5EC1DA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0660C2"/>
    <w:multiLevelType w:val="hybridMultilevel"/>
    <w:tmpl w:val="9E12BC26"/>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6A2871"/>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B6D3864"/>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7697F4F"/>
    <w:multiLevelType w:val="hybridMultilevel"/>
    <w:tmpl w:val="404CFA02"/>
    <w:lvl w:ilvl="0" w:tplc="E3E8F7FA">
      <w:start w:val="1"/>
      <w:numFmt w:val="bullet"/>
      <w:pStyle w:val="TOC1"/>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3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6" w15:restartNumberingAfterBreak="0">
    <w:nsid w:val="775B2F80"/>
    <w:multiLevelType w:val="hybridMultilevel"/>
    <w:tmpl w:val="BB486EB8"/>
    <w:lvl w:ilvl="0" w:tplc="FFFFFFFF">
      <w:start w:val="1"/>
      <w:numFmt w:val="bullet"/>
      <w:lvlText w:val="-"/>
      <w:lvlJc w:val="left"/>
      <w:pPr>
        <w:tabs>
          <w:tab w:val="num" w:pos="720"/>
        </w:tabs>
        <w:ind w:left="720" w:hanging="360"/>
      </w:pPr>
      <w:rPr>
        <w:rFonts w:hint="default"/>
      </w:rPr>
    </w:lvl>
    <w:lvl w:ilvl="1" w:tplc="FFFFFFFF">
      <w:start w:val="21"/>
      <w:numFmt w:val="bullet"/>
      <w:lvlText w:val="-"/>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131DD9"/>
    <w:multiLevelType w:val="hybridMultilevel"/>
    <w:tmpl w:val="515A469E"/>
    <w:lvl w:ilvl="0" w:tplc="BA7E160A">
      <w:numFmt w:val="bullet"/>
      <w:lvlText w:val=""/>
      <w:lvlJc w:val="left"/>
      <w:pPr>
        <w:tabs>
          <w:tab w:val="num" w:pos="1128"/>
        </w:tabs>
        <w:ind w:left="1128" w:hanging="5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2"/>
  </w:num>
  <w:num w:numId="4">
    <w:abstractNumId w:val="36"/>
  </w:num>
  <w:num w:numId="5">
    <w:abstractNumId w:val="20"/>
  </w:num>
  <w:num w:numId="6">
    <w:abstractNumId w:val="21"/>
  </w:num>
  <w:num w:numId="7">
    <w:abstractNumId w:val="29"/>
  </w:num>
  <w:num w:numId="8">
    <w:abstractNumId w:val="27"/>
  </w:num>
  <w:num w:numId="9">
    <w:abstractNumId w:val="9"/>
  </w:num>
  <w:num w:numId="10">
    <w:abstractNumId w:val="14"/>
  </w:num>
  <w:num w:numId="11">
    <w:abstractNumId w:val="5"/>
  </w:num>
  <w:num w:numId="12">
    <w:abstractNumId w:val="1"/>
  </w:num>
  <w:num w:numId="13">
    <w:abstractNumId w:val="6"/>
  </w:num>
  <w:num w:numId="14">
    <w:abstractNumId w:val="31"/>
  </w:num>
  <w:num w:numId="15">
    <w:abstractNumId w:val="10"/>
  </w:num>
  <w:num w:numId="16">
    <w:abstractNumId w:val="17"/>
  </w:num>
  <w:num w:numId="17">
    <w:abstractNumId w:val="2"/>
  </w:num>
  <w:num w:numId="18">
    <w:abstractNumId w:val="32"/>
  </w:num>
  <w:num w:numId="19">
    <w:abstractNumId w:val="16"/>
  </w:num>
  <w:num w:numId="20">
    <w:abstractNumId w:val="18"/>
  </w:num>
  <w:num w:numId="21">
    <w:abstractNumId w:val="11"/>
  </w:num>
  <w:num w:numId="22">
    <w:abstractNumId w:val="22"/>
  </w:num>
  <w:num w:numId="23">
    <w:abstractNumId w:val="28"/>
  </w:num>
  <w:num w:numId="24">
    <w:abstractNumId w:val="23"/>
  </w:num>
  <w:num w:numId="25">
    <w:abstractNumId w:val="30"/>
  </w:num>
  <w:num w:numId="26">
    <w:abstractNumId w:val="24"/>
  </w:num>
  <w:num w:numId="27">
    <w:abstractNumId w:val="19"/>
  </w:num>
  <w:num w:numId="28">
    <w:abstractNumId w:val="3"/>
  </w:num>
  <w:num w:numId="29">
    <w:abstractNumId w:val="25"/>
  </w:num>
  <w:num w:numId="30">
    <w:abstractNumId w:val="8"/>
  </w:num>
  <w:num w:numId="31">
    <w:abstractNumId w:val="15"/>
  </w:num>
  <w:num w:numId="32">
    <w:abstractNumId w:val="13"/>
  </w:num>
  <w:num w:numId="33">
    <w:abstractNumId w:val="37"/>
  </w:num>
  <w:num w:numId="34">
    <w:abstractNumId w:val="26"/>
  </w:num>
  <w:num w:numId="35">
    <w:abstractNumId w:val="33"/>
  </w:num>
  <w:num w:numId="36">
    <w:abstractNumId w:val="36"/>
  </w:num>
  <w:num w:numId="37">
    <w:abstractNumId w:val="35"/>
  </w:num>
  <w:num w:numId="38">
    <w:abstractNumId w:val="34"/>
  </w:num>
  <w:num w:numId="39">
    <w:abstractNumId w:val="4"/>
  </w:num>
  <w:num w:numId="4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activeWritingStyle w:appName="MSWord" w:lang="pt-BR" w:vendorID="64" w:dllVersion="6" w:nlCheck="1" w:checkStyle="0"/>
  <w:activeWritingStyle w:appName="MSWord" w:lang="de-CH" w:vendorID="64" w:dllVersion="6" w:nlCheck="1" w:checkStyle="0"/>
  <w:activeWritingStyle w:appName="MSWord" w:lang="da-DK" w:vendorID="64" w:dllVersion="6" w:nlCheck="1" w:checkStyle="0"/>
  <w:activeWritingStyle w:appName="MSWord" w:lang="fr-FR" w:vendorID="64" w:dllVersion="6" w:nlCheck="1" w:checkStyle="0"/>
  <w:activeWritingStyle w:appName="MSWord" w:lang="it-IT" w:vendorID="64" w:dllVersion="6" w:nlCheck="1" w:checkStyle="0"/>
  <w:activeWritingStyle w:appName="MSWord" w:lang="es-ES" w:vendorID="64" w:dllVersion="6" w:nlCheck="1" w:checkStyle="0"/>
  <w:activeWritingStyle w:appName="MSWord" w:lang="fr-CH"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bg-BG" w:vendorID="1" w:dllVersion="512" w:checkStyle="1"/>
  <w:activeWritingStyle w:appName="MSWord" w:lang="ru-RU" w:vendorID="1" w:dllVersion="512" w:checkStyle="1"/>
  <w:activeWritingStyle w:appName="MSWord" w:lang="pt-BR" w:vendorID="1" w:dllVersion="513"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0E3D49"/>
    <w:rsid w:val="00000A85"/>
    <w:rsid w:val="00001349"/>
    <w:rsid w:val="000021D9"/>
    <w:rsid w:val="00002B95"/>
    <w:rsid w:val="00002CD1"/>
    <w:rsid w:val="00002D34"/>
    <w:rsid w:val="000035AA"/>
    <w:rsid w:val="00003BB4"/>
    <w:rsid w:val="000054A9"/>
    <w:rsid w:val="00005820"/>
    <w:rsid w:val="000058A7"/>
    <w:rsid w:val="000063F7"/>
    <w:rsid w:val="00006841"/>
    <w:rsid w:val="00006B92"/>
    <w:rsid w:val="000076AF"/>
    <w:rsid w:val="00007BDC"/>
    <w:rsid w:val="00010C3E"/>
    <w:rsid w:val="00011330"/>
    <w:rsid w:val="00011F9E"/>
    <w:rsid w:val="00012C9F"/>
    <w:rsid w:val="00012D23"/>
    <w:rsid w:val="000132E3"/>
    <w:rsid w:val="000133D1"/>
    <w:rsid w:val="00013C85"/>
    <w:rsid w:val="00013DF1"/>
    <w:rsid w:val="00013E43"/>
    <w:rsid w:val="00014DF5"/>
    <w:rsid w:val="00015CE1"/>
    <w:rsid w:val="00015D8A"/>
    <w:rsid w:val="00016045"/>
    <w:rsid w:val="000160C2"/>
    <w:rsid w:val="000164B3"/>
    <w:rsid w:val="0001667E"/>
    <w:rsid w:val="00016A5D"/>
    <w:rsid w:val="00016EB6"/>
    <w:rsid w:val="0001737C"/>
    <w:rsid w:val="00017F6E"/>
    <w:rsid w:val="00021B32"/>
    <w:rsid w:val="0002217E"/>
    <w:rsid w:val="000221F6"/>
    <w:rsid w:val="00022D3F"/>
    <w:rsid w:val="0002365E"/>
    <w:rsid w:val="00026816"/>
    <w:rsid w:val="00026EE7"/>
    <w:rsid w:val="00027B62"/>
    <w:rsid w:val="000307AC"/>
    <w:rsid w:val="000308B7"/>
    <w:rsid w:val="00030E39"/>
    <w:rsid w:val="00030E58"/>
    <w:rsid w:val="00031882"/>
    <w:rsid w:val="00031A21"/>
    <w:rsid w:val="00032884"/>
    <w:rsid w:val="00032E7E"/>
    <w:rsid w:val="00032FC2"/>
    <w:rsid w:val="00033A9A"/>
    <w:rsid w:val="0003452A"/>
    <w:rsid w:val="00034731"/>
    <w:rsid w:val="00034AFF"/>
    <w:rsid w:val="00034B3E"/>
    <w:rsid w:val="00034B8D"/>
    <w:rsid w:val="00034BE7"/>
    <w:rsid w:val="000357FE"/>
    <w:rsid w:val="000361A1"/>
    <w:rsid w:val="00041118"/>
    <w:rsid w:val="00041540"/>
    <w:rsid w:val="00041754"/>
    <w:rsid w:val="000417A1"/>
    <w:rsid w:val="00041BB8"/>
    <w:rsid w:val="00042781"/>
    <w:rsid w:val="000434D8"/>
    <w:rsid w:val="00044301"/>
    <w:rsid w:val="00044A17"/>
    <w:rsid w:val="00045925"/>
    <w:rsid w:val="000464D0"/>
    <w:rsid w:val="0004665E"/>
    <w:rsid w:val="000472D4"/>
    <w:rsid w:val="000476C5"/>
    <w:rsid w:val="00047E13"/>
    <w:rsid w:val="000504A6"/>
    <w:rsid w:val="000516E5"/>
    <w:rsid w:val="00051827"/>
    <w:rsid w:val="00051F69"/>
    <w:rsid w:val="0005219A"/>
    <w:rsid w:val="00052362"/>
    <w:rsid w:val="00052D7F"/>
    <w:rsid w:val="00053C3E"/>
    <w:rsid w:val="00053C59"/>
    <w:rsid w:val="00053EB3"/>
    <w:rsid w:val="00054062"/>
    <w:rsid w:val="00054A56"/>
    <w:rsid w:val="00055748"/>
    <w:rsid w:val="0005627E"/>
    <w:rsid w:val="00056A99"/>
    <w:rsid w:val="00061D0F"/>
    <w:rsid w:val="000622F4"/>
    <w:rsid w:val="00062F68"/>
    <w:rsid w:val="000633C4"/>
    <w:rsid w:val="0006346A"/>
    <w:rsid w:val="00063D6E"/>
    <w:rsid w:val="00064238"/>
    <w:rsid w:val="00064327"/>
    <w:rsid w:val="00065F26"/>
    <w:rsid w:val="00066354"/>
    <w:rsid w:val="00066CA3"/>
    <w:rsid w:val="00067449"/>
    <w:rsid w:val="00067C01"/>
    <w:rsid w:val="00070147"/>
    <w:rsid w:val="00070D8A"/>
    <w:rsid w:val="00070EE9"/>
    <w:rsid w:val="00071825"/>
    <w:rsid w:val="00071EFC"/>
    <w:rsid w:val="0007544C"/>
    <w:rsid w:val="00076733"/>
    <w:rsid w:val="00077188"/>
    <w:rsid w:val="000777B4"/>
    <w:rsid w:val="000778ED"/>
    <w:rsid w:val="00077FD6"/>
    <w:rsid w:val="000807B3"/>
    <w:rsid w:val="00080A6C"/>
    <w:rsid w:val="0008127C"/>
    <w:rsid w:val="000816BD"/>
    <w:rsid w:val="00082E96"/>
    <w:rsid w:val="00084731"/>
    <w:rsid w:val="00084BC6"/>
    <w:rsid w:val="00086044"/>
    <w:rsid w:val="0008663F"/>
    <w:rsid w:val="000868B9"/>
    <w:rsid w:val="00087170"/>
    <w:rsid w:val="000871EC"/>
    <w:rsid w:val="00090065"/>
    <w:rsid w:val="00091DBF"/>
    <w:rsid w:val="00092222"/>
    <w:rsid w:val="000922CD"/>
    <w:rsid w:val="000925A7"/>
    <w:rsid w:val="000925F0"/>
    <w:rsid w:val="00092637"/>
    <w:rsid w:val="000932AD"/>
    <w:rsid w:val="000941F6"/>
    <w:rsid w:val="00094323"/>
    <w:rsid w:val="00094454"/>
    <w:rsid w:val="00094991"/>
    <w:rsid w:val="00095A63"/>
    <w:rsid w:val="00095CC9"/>
    <w:rsid w:val="000965F4"/>
    <w:rsid w:val="000977FE"/>
    <w:rsid w:val="000978CE"/>
    <w:rsid w:val="00097E14"/>
    <w:rsid w:val="000A0721"/>
    <w:rsid w:val="000A0896"/>
    <w:rsid w:val="000A3188"/>
    <w:rsid w:val="000A341E"/>
    <w:rsid w:val="000A4792"/>
    <w:rsid w:val="000A53EA"/>
    <w:rsid w:val="000A5A1D"/>
    <w:rsid w:val="000A65F0"/>
    <w:rsid w:val="000A6AAD"/>
    <w:rsid w:val="000A703A"/>
    <w:rsid w:val="000B02D9"/>
    <w:rsid w:val="000B0A65"/>
    <w:rsid w:val="000B0D28"/>
    <w:rsid w:val="000B10A3"/>
    <w:rsid w:val="000B1B86"/>
    <w:rsid w:val="000B2206"/>
    <w:rsid w:val="000B31C7"/>
    <w:rsid w:val="000B357D"/>
    <w:rsid w:val="000B3815"/>
    <w:rsid w:val="000B4139"/>
    <w:rsid w:val="000B4146"/>
    <w:rsid w:val="000B4817"/>
    <w:rsid w:val="000B495A"/>
    <w:rsid w:val="000B4B7B"/>
    <w:rsid w:val="000B4C76"/>
    <w:rsid w:val="000B627E"/>
    <w:rsid w:val="000B70B9"/>
    <w:rsid w:val="000C0803"/>
    <w:rsid w:val="000C273B"/>
    <w:rsid w:val="000C2D1B"/>
    <w:rsid w:val="000C4070"/>
    <w:rsid w:val="000C5A4F"/>
    <w:rsid w:val="000C609E"/>
    <w:rsid w:val="000C63B2"/>
    <w:rsid w:val="000C66B5"/>
    <w:rsid w:val="000C70F9"/>
    <w:rsid w:val="000C7F57"/>
    <w:rsid w:val="000D0247"/>
    <w:rsid w:val="000D02F1"/>
    <w:rsid w:val="000D1842"/>
    <w:rsid w:val="000D1B64"/>
    <w:rsid w:val="000D1E4E"/>
    <w:rsid w:val="000D2687"/>
    <w:rsid w:val="000D28C0"/>
    <w:rsid w:val="000D2B78"/>
    <w:rsid w:val="000D2C76"/>
    <w:rsid w:val="000D32FA"/>
    <w:rsid w:val="000D4A6E"/>
    <w:rsid w:val="000D56FE"/>
    <w:rsid w:val="000D5B76"/>
    <w:rsid w:val="000D619F"/>
    <w:rsid w:val="000D76B9"/>
    <w:rsid w:val="000D7AA8"/>
    <w:rsid w:val="000E0B27"/>
    <w:rsid w:val="000E0BF0"/>
    <w:rsid w:val="000E0C28"/>
    <w:rsid w:val="000E0C49"/>
    <w:rsid w:val="000E16D3"/>
    <w:rsid w:val="000E293D"/>
    <w:rsid w:val="000E2F85"/>
    <w:rsid w:val="000E3290"/>
    <w:rsid w:val="000E3663"/>
    <w:rsid w:val="000E370B"/>
    <w:rsid w:val="000E3D49"/>
    <w:rsid w:val="000E410E"/>
    <w:rsid w:val="000E4B66"/>
    <w:rsid w:val="000E4C3C"/>
    <w:rsid w:val="000E4DBA"/>
    <w:rsid w:val="000E5058"/>
    <w:rsid w:val="000E5CCA"/>
    <w:rsid w:val="000E5F22"/>
    <w:rsid w:val="000E7020"/>
    <w:rsid w:val="000F01BF"/>
    <w:rsid w:val="000F072D"/>
    <w:rsid w:val="000F0743"/>
    <w:rsid w:val="000F079B"/>
    <w:rsid w:val="000F07F8"/>
    <w:rsid w:val="000F0C4A"/>
    <w:rsid w:val="000F0CDA"/>
    <w:rsid w:val="000F1002"/>
    <w:rsid w:val="000F2186"/>
    <w:rsid w:val="000F35BC"/>
    <w:rsid w:val="000F38C0"/>
    <w:rsid w:val="000F39E3"/>
    <w:rsid w:val="000F3FD7"/>
    <w:rsid w:val="000F4F0E"/>
    <w:rsid w:val="000F52E8"/>
    <w:rsid w:val="000F570C"/>
    <w:rsid w:val="000F5B4D"/>
    <w:rsid w:val="000F5DAE"/>
    <w:rsid w:val="000F62EB"/>
    <w:rsid w:val="00100B05"/>
    <w:rsid w:val="00101306"/>
    <w:rsid w:val="00102DF7"/>
    <w:rsid w:val="00103375"/>
    <w:rsid w:val="001037C8"/>
    <w:rsid w:val="00103939"/>
    <w:rsid w:val="00104988"/>
    <w:rsid w:val="00104CF7"/>
    <w:rsid w:val="0010559D"/>
    <w:rsid w:val="00105798"/>
    <w:rsid w:val="001068A1"/>
    <w:rsid w:val="00106E6D"/>
    <w:rsid w:val="00107624"/>
    <w:rsid w:val="00107629"/>
    <w:rsid w:val="00107D0B"/>
    <w:rsid w:val="00110452"/>
    <w:rsid w:val="001110C0"/>
    <w:rsid w:val="001112FC"/>
    <w:rsid w:val="00111873"/>
    <w:rsid w:val="00112EA3"/>
    <w:rsid w:val="0011354F"/>
    <w:rsid w:val="00114BB4"/>
    <w:rsid w:val="0011577B"/>
    <w:rsid w:val="00115784"/>
    <w:rsid w:val="00115BD0"/>
    <w:rsid w:val="00116EA9"/>
    <w:rsid w:val="00120048"/>
    <w:rsid w:val="00120475"/>
    <w:rsid w:val="00120730"/>
    <w:rsid w:val="00121061"/>
    <w:rsid w:val="00122D28"/>
    <w:rsid w:val="0012314E"/>
    <w:rsid w:val="001234BB"/>
    <w:rsid w:val="0012354C"/>
    <w:rsid w:val="00123E6A"/>
    <w:rsid w:val="00124157"/>
    <w:rsid w:val="0012426F"/>
    <w:rsid w:val="001250C5"/>
    <w:rsid w:val="00125C3E"/>
    <w:rsid w:val="00126725"/>
    <w:rsid w:val="00127057"/>
    <w:rsid w:val="00130098"/>
    <w:rsid w:val="001302BD"/>
    <w:rsid w:val="00130C57"/>
    <w:rsid w:val="001313ED"/>
    <w:rsid w:val="001322BD"/>
    <w:rsid w:val="00132308"/>
    <w:rsid w:val="0013245F"/>
    <w:rsid w:val="00133A03"/>
    <w:rsid w:val="001342AA"/>
    <w:rsid w:val="001347C7"/>
    <w:rsid w:val="001348DB"/>
    <w:rsid w:val="0013521E"/>
    <w:rsid w:val="00135447"/>
    <w:rsid w:val="0013603B"/>
    <w:rsid w:val="00136BA2"/>
    <w:rsid w:val="001374F8"/>
    <w:rsid w:val="00140045"/>
    <w:rsid w:val="00141637"/>
    <w:rsid w:val="00141ED7"/>
    <w:rsid w:val="00142357"/>
    <w:rsid w:val="0014256B"/>
    <w:rsid w:val="001427CD"/>
    <w:rsid w:val="001428F6"/>
    <w:rsid w:val="00143E16"/>
    <w:rsid w:val="0014439C"/>
    <w:rsid w:val="00145A0D"/>
    <w:rsid w:val="00145ED2"/>
    <w:rsid w:val="00146D64"/>
    <w:rsid w:val="001475EA"/>
    <w:rsid w:val="001514B7"/>
    <w:rsid w:val="00151689"/>
    <w:rsid w:val="00152A67"/>
    <w:rsid w:val="00153137"/>
    <w:rsid w:val="001536EB"/>
    <w:rsid w:val="00153DEA"/>
    <w:rsid w:val="001545F2"/>
    <w:rsid w:val="00154E6E"/>
    <w:rsid w:val="0015665D"/>
    <w:rsid w:val="00157887"/>
    <w:rsid w:val="00157AB9"/>
    <w:rsid w:val="001600E0"/>
    <w:rsid w:val="001601A9"/>
    <w:rsid w:val="00160413"/>
    <w:rsid w:val="001608A5"/>
    <w:rsid w:val="00161116"/>
    <w:rsid w:val="00161158"/>
    <w:rsid w:val="00161D50"/>
    <w:rsid w:val="001623F8"/>
    <w:rsid w:val="00162ED5"/>
    <w:rsid w:val="0016342F"/>
    <w:rsid w:val="001636FA"/>
    <w:rsid w:val="001637A8"/>
    <w:rsid w:val="00164918"/>
    <w:rsid w:val="001649F3"/>
    <w:rsid w:val="0016515D"/>
    <w:rsid w:val="00165176"/>
    <w:rsid w:val="00165540"/>
    <w:rsid w:val="00167EC2"/>
    <w:rsid w:val="00170712"/>
    <w:rsid w:val="001718E4"/>
    <w:rsid w:val="00171921"/>
    <w:rsid w:val="001728F1"/>
    <w:rsid w:val="00172E3A"/>
    <w:rsid w:val="00174466"/>
    <w:rsid w:val="00175812"/>
    <w:rsid w:val="0017593C"/>
    <w:rsid w:val="001764EC"/>
    <w:rsid w:val="0017760C"/>
    <w:rsid w:val="00180611"/>
    <w:rsid w:val="00181B6A"/>
    <w:rsid w:val="00182A9E"/>
    <w:rsid w:val="00183874"/>
    <w:rsid w:val="0018408A"/>
    <w:rsid w:val="00185853"/>
    <w:rsid w:val="00185DB6"/>
    <w:rsid w:val="00186174"/>
    <w:rsid w:val="0018620A"/>
    <w:rsid w:val="00187DFC"/>
    <w:rsid w:val="001901F8"/>
    <w:rsid w:val="00190465"/>
    <w:rsid w:val="00190852"/>
    <w:rsid w:val="00190C56"/>
    <w:rsid w:val="00191187"/>
    <w:rsid w:val="00192ADE"/>
    <w:rsid w:val="00194B82"/>
    <w:rsid w:val="001959BA"/>
    <w:rsid w:val="00196BDE"/>
    <w:rsid w:val="001972FF"/>
    <w:rsid w:val="00197A32"/>
    <w:rsid w:val="001A04FD"/>
    <w:rsid w:val="001A0922"/>
    <w:rsid w:val="001A0F50"/>
    <w:rsid w:val="001A10DC"/>
    <w:rsid w:val="001A1117"/>
    <w:rsid w:val="001A11A7"/>
    <w:rsid w:val="001A131C"/>
    <w:rsid w:val="001A2993"/>
    <w:rsid w:val="001A38C4"/>
    <w:rsid w:val="001A3B84"/>
    <w:rsid w:val="001A4CB2"/>
    <w:rsid w:val="001A4CE9"/>
    <w:rsid w:val="001A4EC0"/>
    <w:rsid w:val="001A55D5"/>
    <w:rsid w:val="001A60DC"/>
    <w:rsid w:val="001A6CBA"/>
    <w:rsid w:val="001A6EC9"/>
    <w:rsid w:val="001A7662"/>
    <w:rsid w:val="001A7753"/>
    <w:rsid w:val="001A79DA"/>
    <w:rsid w:val="001A7A03"/>
    <w:rsid w:val="001B0F27"/>
    <w:rsid w:val="001B1BC5"/>
    <w:rsid w:val="001B1D50"/>
    <w:rsid w:val="001B323A"/>
    <w:rsid w:val="001B436F"/>
    <w:rsid w:val="001B4DEE"/>
    <w:rsid w:val="001B58D5"/>
    <w:rsid w:val="001B5AF3"/>
    <w:rsid w:val="001B5B13"/>
    <w:rsid w:val="001B628D"/>
    <w:rsid w:val="001B704F"/>
    <w:rsid w:val="001B729C"/>
    <w:rsid w:val="001B7AB0"/>
    <w:rsid w:val="001B7BD0"/>
    <w:rsid w:val="001B7C1B"/>
    <w:rsid w:val="001C0149"/>
    <w:rsid w:val="001C1751"/>
    <w:rsid w:val="001C192F"/>
    <w:rsid w:val="001C2024"/>
    <w:rsid w:val="001C27EC"/>
    <w:rsid w:val="001C3080"/>
    <w:rsid w:val="001C4CF6"/>
    <w:rsid w:val="001C51C1"/>
    <w:rsid w:val="001C5862"/>
    <w:rsid w:val="001C5EA5"/>
    <w:rsid w:val="001C6D76"/>
    <w:rsid w:val="001C714B"/>
    <w:rsid w:val="001D0026"/>
    <w:rsid w:val="001D0D16"/>
    <w:rsid w:val="001D248C"/>
    <w:rsid w:val="001D2904"/>
    <w:rsid w:val="001D29DA"/>
    <w:rsid w:val="001D2A10"/>
    <w:rsid w:val="001D2E07"/>
    <w:rsid w:val="001D4955"/>
    <w:rsid w:val="001D5414"/>
    <w:rsid w:val="001D54D9"/>
    <w:rsid w:val="001D591A"/>
    <w:rsid w:val="001D66B5"/>
    <w:rsid w:val="001D67F1"/>
    <w:rsid w:val="001E1756"/>
    <w:rsid w:val="001E3383"/>
    <w:rsid w:val="001E4E8F"/>
    <w:rsid w:val="001E4EB6"/>
    <w:rsid w:val="001E5048"/>
    <w:rsid w:val="001E5BE2"/>
    <w:rsid w:val="001E654D"/>
    <w:rsid w:val="001E76DD"/>
    <w:rsid w:val="001E7C0D"/>
    <w:rsid w:val="001F0814"/>
    <w:rsid w:val="001F133B"/>
    <w:rsid w:val="001F1427"/>
    <w:rsid w:val="001F18D0"/>
    <w:rsid w:val="001F1E1E"/>
    <w:rsid w:val="001F3FC0"/>
    <w:rsid w:val="001F5587"/>
    <w:rsid w:val="001F5AA9"/>
    <w:rsid w:val="001F5FA0"/>
    <w:rsid w:val="001F63BC"/>
    <w:rsid w:val="001F6712"/>
    <w:rsid w:val="001F679F"/>
    <w:rsid w:val="001F7EA6"/>
    <w:rsid w:val="0020031B"/>
    <w:rsid w:val="002005DF"/>
    <w:rsid w:val="00200762"/>
    <w:rsid w:val="00201CB2"/>
    <w:rsid w:val="002025D3"/>
    <w:rsid w:val="00203A3A"/>
    <w:rsid w:val="00203AE3"/>
    <w:rsid w:val="002054D4"/>
    <w:rsid w:val="00205D3A"/>
    <w:rsid w:val="00206A07"/>
    <w:rsid w:val="00206E7F"/>
    <w:rsid w:val="002070EF"/>
    <w:rsid w:val="0020798E"/>
    <w:rsid w:val="00211696"/>
    <w:rsid w:val="00211ADC"/>
    <w:rsid w:val="002131D3"/>
    <w:rsid w:val="002143F6"/>
    <w:rsid w:val="00215EA2"/>
    <w:rsid w:val="00216168"/>
    <w:rsid w:val="002162BC"/>
    <w:rsid w:val="00216862"/>
    <w:rsid w:val="002169B2"/>
    <w:rsid w:val="00216C98"/>
    <w:rsid w:val="00217B8A"/>
    <w:rsid w:val="0022062D"/>
    <w:rsid w:val="0022140C"/>
    <w:rsid w:val="00221689"/>
    <w:rsid w:val="00221B9B"/>
    <w:rsid w:val="002225C8"/>
    <w:rsid w:val="002236E1"/>
    <w:rsid w:val="0022501E"/>
    <w:rsid w:val="00227FBE"/>
    <w:rsid w:val="0023003C"/>
    <w:rsid w:val="00230427"/>
    <w:rsid w:val="0023154E"/>
    <w:rsid w:val="0023290A"/>
    <w:rsid w:val="002339DE"/>
    <w:rsid w:val="00233DA8"/>
    <w:rsid w:val="00236573"/>
    <w:rsid w:val="00236AC6"/>
    <w:rsid w:val="002374BB"/>
    <w:rsid w:val="00237957"/>
    <w:rsid w:val="00237D48"/>
    <w:rsid w:val="002401B7"/>
    <w:rsid w:val="00240C1E"/>
    <w:rsid w:val="00240E36"/>
    <w:rsid w:val="00241344"/>
    <w:rsid w:val="002423D8"/>
    <w:rsid w:val="00242417"/>
    <w:rsid w:val="00242A14"/>
    <w:rsid w:val="00242EDC"/>
    <w:rsid w:val="00243EC6"/>
    <w:rsid w:val="00243FF9"/>
    <w:rsid w:val="00244868"/>
    <w:rsid w:val="00244C90"/>
    <w:rsid w:val="00245289"/>
    <w:rsid w:val="00246649"/>
    <w:rsid w:val="00246672"/>
    <w:rsid w:val="002472C4"/>
    <w:rsid w:val="00247515"/>
    <w:rsid w:val="002502DA"/>
    <w:rsid w:val="00250CC2"/>
    <w:rsid w:val="00250FBE"/>
    <w:rsid w:val="00251424"/>
    <w:rsid w:val="002515DA"/>
    <w:rsid w:val="00252A5F"/>
    <w:rsid w:val="00252A86"/>
    <w:rsid w:val="00252BFF"/>
    <w:rsid w:val="002536A3"/>
    <w:rsid w:val="00253F1F"/>
    <w:rsid w:val="002569C8"/>
    <w:rsid w:val="00256F1C"/>
    <w:rsid w:val="00257213"/>
    <w:rsid w:val="00257477"/>
    <w:rsid w:val="00257594"/>
    <w:rsid w:val="00257A7E"/>
    <w:rsid w:val="00257BA0"/>
    <w:rsid w:val="0026076B"/>
    <w:rsid w:val="00261C6C"/>
    <w:rsid w:val="00262258"/>
    <w:rsid w:val="0026277D"/>
    <w:rsid w:val="00263C98"/>
    <w:rsid w:val="002648A6"/>
    <w:rsid w:val="00264BB7"/>
    <w:rsid w:val="0026549C"/>
    <w:rsid w:val="0026600F"/>
    <w:rsid w:val="0026637B"/>
    <w:rsid w:val="0026727F"/>
    <w:rsid w:val="00267EB3"/>
    <w:rsid w:val="002700F3"/>
    <w:rsid w:val="00271395"/>
    <w:rsid w:val="0027140C"/>
    <w:rsid w:val="00272A90"/>
    <w:rsid w:val="00272D64"/>
    <w:rsid w:val="002739CC"/>
    <w:rsid w:val="00273FB1"/>
    <w:rsid w:val="0027468F"/>
    <w:rsid w:val="002749E8"/>
    <w:rsid w:val="002754A3"/>
    <w:rsid w:val="0027613C"/>
    <w:rsid w:val="002763EB"/>
    <w:rsid w:val="00276588"/>
    <w:rsid w:val="002768FB"/>
    <w:rsid w:val="0027755F"/>
    <w:rsid w:val="00277948"/>
    <w:rsid w:val="00280487"/>
    <w:rsid w:val="0028104E"/>
    <w:rsid w:val="002813F9"/>
    <w:rsid w:val="00281713"/>
    <w:rsid w:val="00281875"/>
    <w:rsid w:val="00281BDA"/>
    <w:rsid w:val="0028326A"/>
    <w:rsid w:val="0028343C"/>
    <w:rsid w:val="00283B74"/>
    <w:rsid w:val="002840B9"/>
    <w:rsid w:val="00284290"/>
    <w:rsid w:val="00284434"/>
    <w:rsid w:val="002849BB"/>
    <w:rsid w:val="002863EB"/>
    <w:rsid w:val="002901C6"/>
    <w:rsid w:val="00290AEA"/>
    <w:rsid w:val="00290DF5"/>
    <w:rsid w:val="0029124C"/>
    <w:rsid w:val="002915C9"/>
    <w:rsid w:val="00291B03"/>
    <w:rsid w:val="00291FFF"/>
    <w:rsid w:val="0029268B"/>
    <w:rsid w:val="0029356A"/>
    <w:rsid w:val="002939CA"/>
    <w:rsid w:val="00294332"/>
    <w:rsid w:val="00295A2A"/>
    <w:rsid w:val="00297624"/>
    <w:rsid w:val="00297ED9"/>
    <w:rsid w:val="002A0B14"/>
    <w:rsid w:val="002A12D8"/>
    <w:rsid w:val="002A1A6A"/>
    <w:rsid w:val="002A1BC9"/>
    <w:rsid w:val="002A1D44"/>
    <w:rsid w:val="002A29F2"/>
    <w:rsid w:val="002A47BF"/>
    <w:rsid w:val="002A628C"/>
    <w:rsid w:val="002A632C"/>
    <w:rsid w:val="002A69DF"/>
    <w:rsid w:val="002B01E5"/>
    <w:rsid w:val="002B0316"/>
    <w:rsid w:val="002B15DD"/>
    <w:rsid w:val="002B3938"/>
    <w:rsid w:val="002B43BE"/>
    <w:rsid w:val="002C1C0B"/>
    <w:rsid w:val="002C2528"/>
    <w:rsid w:val="002C34B4"/>
    <w:rsid w:val="002C55D6"/>
    <w:rsid w:val="002C575F"/>
    <w:rsid w:val="002C6BE0"/>
    <w:rsid w:val="002C79B9"/>
    <w:rsid w:val="002D26E0"/>
    <w:rsid w:val="002D31F6"/>
    <w:rsid w:val="002D34FD"/>
    <w:rsid w:val="002D41F0"/>
    <w:rsid w:val="002D5070"/>
    <w:rsid w:val="002D5368"/>
    <w:rsid w:val="002D5559"/>
    <w:rsid w:val="002D65E0"/>
    <w:rsid w:val="002D7813"/>
    <w:rsid w:val="002D7AC9"/>
    <w:rsid w:val="002E057C"/>
    <w:rsid w:val="002E1353"/>
    <w:rsid w:val="002E1CB4"/>
    <w:rsid w:val="002E1E7A"/>
    <w:rsid w:val="002E28DF"/>
    <w:rsid w:val="002E3948"/>
    <w:rsid w:val="002E425B"/>
    <w:rsid w:val="002E65FE"/>
    <w:rsid w:val="002E776D"/>
    <w:rsid w:val="002F0F55"/>
    <w:rsid w:val="002F1435"/>
    <w:rsid w:val="002F2510"/>
    <w:rsid w:val="002F32A7"/>
    <w:rsid w:val="002F3AC3"/>
    <w:rsid w:val="002F4D11"/>
    <w:rsid w:val="002F602C"/>
    <w:rsid w:val="002F78D2"/>
    <w:rsid w:val="002F7E41"/>
    <w:rsid w:val="0030094A"/>
    <w:rsid w:val="00301BB4"/>
    <w:rsid w:val="00301D63"/>
    <w:rsid w:val="0030295E"/>
    <w:rsid w:val="0030318F"/>
    <w:rsid w:val="00303A29"/>
    <w:rsid w:val="00305331"/>
    <w:rsid w:val="00305544"/>
    <w:rsid w:val="003070F3"/>
    <w:rsid w:val="00307736"/>
    <w:rsid w:val="00307FCB"/>
    <w:rsid w:val="00310516"/>
    <w:rsid w:val="00310F47"/>
    <w:rsid w:val="00311110"/>
    <w:rsid w:val="00311F0C"/>
    <w:rsid w:val="00311FA3"/>
    <w:rsid w:val="00312B71"/>
    <w:rsid w:val="00312C2A"/>
    <w:rsid w:val="00314224"/>
    <w:rsid w:val="00314B71"/>
    <w:rsid w:val="0031538A"/>
    <w:rsid w:val="00315E2A"/>
    <w:rsid w:val="00315EE5"/>
    <w:rsid w:val="0031699B"/>
    <w:rsid w:val="003169A3"/>
    <w:rsid w:val="00317CF8"/>
    <w:rsid w:val="003208B8"/>
    <w:rsid w:val="00321557"/>
    <w:rsid w:val="00321900"/>
    <w:rsid w:val="00321A3C"/>
    <w:rsid w:val="00323D6E"/>
    <w:rsid w:val="0032693F"/>
    <w:rsid w:val="00326CC8"/>
    <w:rsid w:val="00327872"/>
    <w:rsid w:val="00327EC0"/>
    <w:rsid w:val="0033079C"/>
    <w:rsid w:val="00330984"/>
    <w:rsid w:val="00330F15"/>
    <w:rsid w:val="00331987"/>
    <w:rsid w:val="00332673"/>
    <w:rsid w:val="003327AA"/>
    <w:rsid w:val="00333484"/>
    <w:rsid w:val="00333D47"/>
    <w:rsid w:val="00333D9F"/>
    <w:rsid w:val="003347DC"/>
    <w:rsid w:val="00334B81"/>
    <w:rsid w:val="00337226"/>
    <w:rsid w:val="003372E6"/>
    <w:rsid w:val="00340196"/>
    <w:rsid w:val="00340CDD"/>
    <w:rsid w:val="0034257B"/>
    <w:rsid w:val="0034287C"/>
    <w:rsid w:val="00343133"/>
    <w:rsid w:val="00343366"/>
    <w:rsid w:val="003433A1"/>
    <w:rsid w:val="00343865"/>
    <w:rsid w:val="003459F4"/>
    <w:rsid w:val="0034642C"/>
    <w:rsid w:val="00346A41"/>
    <w:rsid w:val="003471C9"/>
    <w:rsid w:val="00347DF6"/>
    <w:rsid w:val="00350D94"/>
    <w:rsid w:val="003518E9"/>
    <w:rsid w:val="003525D5"/>
    <w:rsid w:val="003528AA"/>
    <w:rsid w:val="00353008"/>
    <w:rsid w:val="00353FA8"/>
    <w:rsid w:val="00354113"/>
    <w:rsid w:val="00354469"/>
    <w:rsid w:val="00355BA4"/>
    <w:rsid w:val="003612E1"/>
    <w:rsid w:val="003614E5"/>
    <w:rsid w:val="003615BF"/>
    <w:rsid w:val="00361951"/>
    <w:rsid w:val="0036206C"/>
    <w:rsid w:val="00362A1E"/>
    <w:rsid w:val="00362E45"/>
    <w:rsid w:val="00365B51"/>
    <w:rsid w:val="00365D9A"/>
    <w:rsid w:val="00366955"/>
    <w:rsid w:val="00366D4E"/>
    <w:rsid w:val="00367D68"/>
    <w:rsid w:val="00370E14"/>
    <w:rsid w:val="00372A01"/>
    <w:rsid w:val="00372A6B"/>
    <w:rsid w:val="00372F21"/>
    <w:rsid w:val="003736F9"/>
    <w:rsid w:val="003742FE"/>
    <w:rsid w:val="00374EEC"/>
    <w:rsid w:val="00376513"/>
    <w:rsid w:val="0037712A"/>
    <w:rsid w:val="00377A61"/>
    <w:rsid w:val="00381500"/>
    <w:rsid w:val="00381E8C"/>
    <w:rsid w:val="00381FE2"/>
    <w:rsid w:val="00382239"/>
    <w:rsid w:val="00382790"/>
    <w:rsid w:val="00383416"/>
    <w:rsid w:val="00384A55"/>
    <w:rsid w:val="00384DB7"/>
    <w:rsid w:val="00385D7D"/>
    <w:rsid w:val="00386125"/>
    <w:rsid w:val="00386C47"/>
    <w:rsid w:val="00387CD2"/>
    <w:rsid w:val="00390007"/>
    <w:rsid w:val="00391C81"/>
    <w:rsid w:val="00391C8F"/>
    <w:rsid w:val="00392589"/>
    <w:rsid w:val="0039267B"/>
    <w:rsid w:val="0039333E"/>
    <w:rsid w:val="0039577D"/>
    <w:rsid w:val="0039675A"/>
    <w:rsid w:val="00396B2D"/>
    <w:rsid w:val="00396F92"/>
    <w:rsid w:val="00397ADA"/>
    <w:rsid w:val="003A0149"/>
    <w:rsid w:val="003A0BF0"/>
    <w:rsid w:val="003A1708"/>
    <w:rsid w:val="003A22DD"/>
    <w:rsid w:val="003A27B4"/>
    <w:rsid w:val="003A3126"/>
    <w:rsid w:val="003A467E"/>
    <w:rsid w:val="003A46CC"/>
    <w:rsid w:val="003A4E98"/>
    <w:rsid w:val="003B14BC"/>
    <w:rsid w:val="003B1741"/>
    <w:rsid w:val="003B2B39"/>
    <w:rsid w:val="003B3124"/>
    <w:rsid w:val="003B350B"/>
    <w:rsid w:val="003B3CB1"/>
    <w:rsid w:val="003B45BD"/>
    <w:rsid w:val="003B4CC7"/>
    <w:rsid w:val="003B5CAC"/>
    <w:rsid w:val="003B5D0C"/>
    <w:rsid w:val="003B62E7"/>
    <w:rsid w:val="003B7235"/>
    <w:rsid w:val="003B74E4"/>
    <w:rsid w:val="003B7562"/>
    <w:rsid w:val="003B7653"/>
    <w:rsid w:val="003B7FE4"/>
    <w:rsid w:val="003C134E"/>
    <w:rsid w:val="003C333E"/>
    <w:rsid w:val="003C3383"/>
    <w:rsid w:val="003C3C15"/>
    <w:rsid w:val="003C5059"/>
    <w:rsid w:val="003C771A"/>
    <w:rsid w:val="003C7A9F"/>
    <w:rsid w:val="003D0761"/>
    <w:rsid w:val="003D1144"/>
    <w:rsid w:val="003D2302"/>
    <w:rsid w:val="003D2E50"/>
    <w:rsid w:val="003D31C1"/>
    <w:rsid w:val="003D39B2"/>
    <w:rsid w:val="003D39F7"/>
    <w:rsid w:val="003D4F54"/>
    <w:rsid w:val="003D506E"/>
    <w:rsid w:val="003D5697"/>
    <w:rsid w:val="003D5CA8"/>
    <w:rsid w:val="003D755E"/>
    <w:rsid w:val="003E1C64"/>
    <w:rsid w:val="003E1EF4"/>
    <w:rsid w:val="003E37A5"/>
    <w:rsid w:val="003E3A37"/>
    <w:rsid w:val="003E6FDF"/>
    <w:rsid w:val="003E7585"/>
    <w:rsid w:val="003E7B0A"/>
    <w:rsid w:val="003E7F15"/>
    <w:rsid w:val="003F02FC"/>
    <w:rsid w:val="003F06AA"/>
    <w:rsid w:val="003F0C14"/>
    <w:rsid w:val="003F1858"/>
    <w:rsid w:val="003F1EC9"/>
    <w:rsid w:val="003F2A0B"/>
    <w:rsid w:val="003F32B6"/>
    <w:rsid w:val="003F3A73"/>
    <w:rsid w:val="003F3F7E"/>
    <w:rsid w:val="003F4254"/>
    <w:rsid w:val="003F5107"/>
    <w:rsid w:val="003F565C"/>
    <w:rsid w:val="003F5D69"/>
    <w:rsid w:val="003F6D4E"/>
    <w:rsid w:val="003F742A"/>
    <w:rsid w:val="00400E5A"/>
    <w:rsid w:val="004015AA"/>
    <w:rsid w:val="004027A7"/>
    <w:rsid w:val="004038D9"/>
    <w:rsid w:val="00405AEE"/>
    <w:rsid w:val="00406064"/>
    <w:rsid w:val="00406587"/>
    <w:rsid w:val="0040763D"/>
    <w:rsid w:val="00407D7D"/>
    <w:rsid w:val="00410F71"/>
    <w:rsid w:val="00410FB2"/>
    <w:rsid w:val="00411ADD"/>
    <w:rsid w:val="0041228E"/>
    <w:rsid w:val="00412E77"/>
    <w:rsid w:val="004136C6"/>
    <w:rsid w:val="004139AA"/>
    <w:rsid w:val="00413AD7"/>
    <w:rsid w:val="00414433"/>
    <w:rsid w:val="004157C9"/>
    <w:rsid w:val="00415B31"/>
    <w:rsid w:val="00415CFD"/>
    <w:rsid w:val="004162C8"/>
    <w:rsid w:val="00420B83"/>
    <w:rsid w:val="00420CD0"/>
    <w:rsid w:val="0042111A"/>
    <w:rsid w:val="00421D00"/>
    <w:rsid w:val="004234C0"/>
    <w:rsid w:val="00424200"/>
    <w:rsid w:val="0042525B"/>
    <w:rsid w:val="004267CC"/>
    <w:rsid w:val="00426F49"/>
    <w:rsid w:val="00427928"/>
    <w:rsid w:val="00430130"/>
    <w:rsid w:val="00430600"/>
    <w:rsid w:val="00431277"/>
    <w:rsid w:val="004312EA"/>
    <w:rsid w:val="00431FB2"/>
    <w:rsid w:val="004328C0"/>
    <w:rsid w:val="00435221"/>
    <w:rsid w:val="00436561"/>
    <w:rsid w:val="0043771A"/>
    <w:rsid w:val="004379CD"/>
    <w:rsid w:val="004400B4"/>
    <w:rsid w:val="00440384"/>
    <w:rsid w:val="0044102F"/>
    <w:rsid w:val="004418FC"/>
    <w:rsid w:val="004423D6"/>
    <w:rsid w:val="00443F2F"/>
    <w:rsid w:val="00444574"/>
    <w:rsid w:val="00444852"/>
    <w:rsid w:val="00444B84"/>
    <w:rsid w:val="0044514D"/>
    <w:rsid w:val="004452DB"/>
    <w:rsid w:val="00445860"/>
    <w:rsid w:val="00445E98"/>
    <w:rsid w:val="00446090"/>
    <w:rsid w:val="004463C6"/>
    <w:rsid w:val="00446B58"/>
    <w:rsid w:val="00450FA2"/>
    <w:rsid w:val="004515DB"/>
    <w:rsid w:val="004519A5"/>
    <w:rsid w:val="00451EDF"/>
    <w:rsid w:val="0045285F"/>
    <w:rsid w:val="00453164"/>
    <w:rsid w:val="004544A2"/>
    <w:rsid w:val="00454ABD"/>
    <w:rsid w:val="00454D6A"/>
    <w:rsid w:val="0045544A"/>
    <w:rsid w:val="004560E9"/>
    <w:rsid w:val="00460D69"/>
    <w:rsid w:val="0046190C"/>
    <w:rsid w:val="00461972"/>
    <w:rsid w:val="00461FF0"/>
    <w:rsid w:val="004629B1"/>
    <w:rsid w:val="00464473"/>
    <w:rsid w:val="00464D8C"/>
    <w:rsid w:val="004659A8"/>
    <w:rsid w:val="004663A8"/>
    <w:rsid w:val="00466FBF"/>
    <w:rsid w:val="004670DB"/>
    <w:rsid w:val="00470935"/>
    <w:rsid w:val="00470A17"/>
    <w:rsid w:val="00470D9D"/>
    <w:rsid w:val="0047117F"/>
    <w:rsid w:val="00473007"/>
    <w:rsid w:val="004739A7"/>
    <w:rsid w:val="00473B28"/>
    <w:rsid w:val="00473ED7"/>
    <w:rsid w:val="00474CCD"/>
    <w:rsid w:val="004765FF"/>
    <w:rsid w:val="004776B9"/>
    <w:rsid w:val="00477F81"/>
    <w:rsid w:val="004801AE"/>
    <w:rsid w:val="00481497"/>
    <w:rsid w:val="004816DD"/>
    <w:rsid w:val="00481BB0"/>
    <w:rsid w:val="00481D63"/>
    <w:rsid w:val="004825E0"/>
    <w:rsid w:val="00483676"/>
    <w:rsid w:val="00483BF8"/>
    <w:rsid w:val="00483E48"/>
    <w:rsid w:val="004841CC"/>
    <w:rsid w:val="0048497A"/>
    <w:rsid w:val="00485142"/>
    <w:rsid w:val="004857C7"/>
    <w:rsid w:val="00486B8F"/>
    <w:rsid w:val="00487619"/>
    <w:rsid w:val="004903D7"/>
    <w:rsid w:val="00490D50"/>
    <w:rsid w:val="004918D2"/>
    <w:rsid w:val="00491C5C"/>
    <w:rsid w:val="00491CB0"/>
    <w:rsid w:val="0049236C"/>
    <w:rsid w:val="0049434D"/>
    <w:rsid w:val="0049496C"/>
    <w:rsid w:val="004A0443"/>
    <w:rsid w:val="004A04E2"/>
    <w:rsid w:val="004A07B5"/>
    <w:rsid w:val="004A1CF5"/>
    <w:rsid w:val="004A2E52"/>
    <w:rsid w:val="004A2F4C"/>
    <w:rsid w:val="004A5047"/>
    <w:rsid w:val="004A564D"/>
    <w:rsid w:val="004A5768"/>
    <w:rsid w:val="004A6F80"/>
    <w:rsid w:val="004A7508"/>
    <w:rsid w:val="004B0192"/>
    <w:rsid w:val="004B02E8"/>
    <w:rsid w:val="004B03FE"/>
    <w:rsid w:val="004B1371"/>
    <w:rsid w:val="004B2BC0"/>
    <w:rsid w:val="004B3387"/>
    <w:rsid w:val="004B3D2D"/>
    <w:rsid w:val="004B7381"/>
    <w:rsid w:val="004B7C28"/>
    <w:rsid w:val="004C0FDD"/>
    <w:rsid w:val="004C132B"/>
    <w:rsid w:val="004C15EE"/>
    <w:rsid w:val="004C3090"/>
    <w:rsid w:val="004C4894"/>
    <w:rsid w:val="004C4B80"/>
    <w:rsid w:val="004C4DE9"/>
    <w:rsid w:val="004C6439"/>
    <w:rsid w:val="004C6988"/>
    <w:rsid w:val="004C7973"/>
    <w:rsid w:val="004D054F"/>
    <w:rsid w:val="004D153B"/>
    <w:rsid w:val="004D2A60"/>
    <w:rsid w:val="004D3296"/>
    <w:rsid w:val="004D415E"/>
    <w:rsid w:val="004D6016"/>
    <w:rsid w:val="004D6E47"/>
    <w:rsid w:val="004E019E"/>
    <w:rsid w:val="004E031F"/>
    <w:rsid w:val="004E0B61"/>
    <w:rsid w:val="004E1127"/>
    <w:rsid w:val="004E225D"/>
    <w:rsid w:val="004E33A8"/>
    <w:rsid w:val="004E4BBB"/>
    <w:rsid w:val="004E54CD"/>
    <w:rsid w:val="004E5875"/>
    <w:rsid w:val="004E6032"/>
    <w:rsid w:val="004E6191"/>
    <w:rsid w:val="004E64E1"/>
    <w:rsid w:val="004E7467"/>
    <w:rsid w:val="004F04CE"/>
    <w:rsid w:val="004F0667"/>
    <w:rsid w:val="004F2626"/>
    <w:rsid w:val="004F49D8"/>
    <w:rsid w:val="004F59E3"/>
    <w:rsid w:val="004F6573"/>
    <w:rsid w:val="004F748E"/>
    <w:rsid w:val="00501972"/>
    <w:rsid w:val="0050241B"/>
    <w:rsid w:val="00503259"/>
    <w:rsid w:val="005032FB"/>
    <w:rsid w:val="00504120"/>
    <w:rsid w:val="00505510"/>
    <w:rsid w:val="00505FEF"/>
    <w:rsid w:val="00507D79"/>
    <w:rsid w:val="00507F67"/>
    <w:rsid w:val="00512CD0"/>
    <w:rsid w:val="00512D26"/>
    <w:rsid w:val="00513F1B"/>
    <w:rsid w:val="00515389"/>
    <w:rsid w:val="00515BEB"/>
    <w:rsid w:val="00515CB9"/>
    <w:rsid w:val="00516077"/>
    <w:rsid w:val="00516A9A"/>
    <w:rsid w:val="0051706F"/>
    <w:rsid w:val="00517633"/>
    <w:rsid w:val="00520888"/>
    <w:rsid w:val="00520BB6"/>
    <w:rsid w:val="00520E15"/>
    <w:rsid w:val="00522E6F"/>
    <w:rsid w:val="00524E38"/>
    <w:rsid w:val="00524E41"/>
    <w:rsid w:val="005254AC"/>
    <w:rsid w:val="00525D5A"/>
    <w:rsid w:val="00527AB8"/>
    <w:rsid w:val="0053034B"/>
    <w:rsid w:val="005307FD"/>
    <w:rsid w:val="0053086B"/>
    <w:rsid w:val="00530E19"/>
    <w:rsid w:val="00531FA5"/>
    <w:rsid w:val="0053205D"/>
    <w:rsid w:val="005329BE"/>
    <w:rsid w:val="00533513"/>
    <w:rsid w:val="00533AFA"/>
    <w:rsid w:val="00533BF1"/>
    <w:rsid w:val="00534DAC"/>
    <w:rsid w:val="005369E5"/>
    <w:rsid w:val="00536DB5"/>
    <w:rsid w:val="005370AC"/>
    <w:rsid w:val="00540D8E"/>
    <w:rsid w:val="00541928"/>
    <w:rsid w:val="00543B4B"/>
    <w:rsid w:val="0054491B"/>
    <w:rsid w:val="00545721"/>
    <w:rsid w:val="0054657C"/>
    <w:rsid w:val="0054721A"/>
    <w:rsid w:val="005475E7"/>
    <w:rsid w:val="00550E1F"/>
    <w:rsid w:val="00550EA0"/>
    <w:rsid w:val="00551C94"/>
    <w:rsid w:val="00551CCA"/>
    <w:rsid w:val="00552473"/>
    <w:rsid w:val="0055257C"/>
    <w:rsid w:val="00552B39"/>
    <w:rsid w:val="005532BD"/>
    <w:rsid w:val="005540A0"/>
    <w:rsid w:val="00554932"/>
    <w:rsid w:val="005552D8"/>
    <w:rsid w:val="00555FD9"/>
    <w:rsid w:val="00556D1E"/>
    <w:rsid w:val="00556D5F"/>
    <w:rsid w:val="00557148"/>
    <w:rsid w:val="00557852"/>
    <w:rsid w:val="00557D48"/>
    <w:rsid w:val="0056064B"/>
    <w:rsid w:val="00560B0E"/>
    <w:rsid w:val="00561E24"/>
    <w:rsid w:val="005627DB"/>
    <w:rsid w:val="005645B0"/>
    <w:rsid w:val="00567A5D"/>
    <w:rsid w:val="00567A8B"/>
    <w:rsid w:val="00567B58"/>
    <w:rsid w:val="00571029"/>
    <w:rsid w:val="005713F8"/>
    <w:rsid w:val="00572229"/>
    <w:rsid w:val="00572703"/>
    <w:rsid w:val="00572CEB"/>
    <w:rsid w:val="00572F70"/>
    <w:rsid w:val="00573AAE"/>
    <w:rsid w:val="00573BF4"/>
    <w:rsid w:val="00574587"/>
    <w:rsid w:val="0057471C"/>
    <w:rsid w:val="00574C44"/>
    <w:rsid w:val="00574D79"/>
    <w:rsid w:val="00575AEE"/>
    <w:rsid w:val="00576ABA"/>
    <w:rsid w:val="00576B50"/>
    <w:rsid w:val="00576C86"/>
    <w:rsid w:val="00576D34"/>
    <w:rsid w:val="00576D59"/>
    <w:rsid w:val="005802D8"/>
    <w:rsid w:val="005804AB"/>
    <w:rsid w:val="00581651"/>
    <w:rsid w:val="00582511"/>
    <w:rsid w:val="0058505F"/>
    <w:rsid w:val="00585233"/>
    <w:rsid w:val="00587302"/>
    <w:rsid w:val="0059025F"/>
    <w:rsid w:val="00590290"/>
    <w:rsid w:val="005928BA"/>
    <w:rsid w:val="005929A3"/>
    <w:rsid w:val="0059392E"/>
    <w:rsid w:val="00593B22"/>
    <w:rsid w:val="005942E7"/>
    <w:rsid w:val="005946EA"/>
    <w:rsid w:val="00594B3A"/>
    <w:rsid w:val="00595B56"/>
    <w:rsid w:val="00595E86"/>
    <w:rsid w:val="00596192"/>
    <w:rsid w:val="005961BA"/>
    <w:rsid w:val="00596D01"/>
    <w:rsid w:val="005A293D"/>
    <w:rsid w:val="005A301F"/>
    <w:rsid w:val="005A31AC"/>
    <w:rsid w:val="005A38D9"/>
    <w:rsid w:val="005A3AC5"/>
    <w:rsid w:val="005A3FE8"/>
    <w:rsid w:val="005A5212"/>
    <w:rsid w:val="005A5510"/>
    <w:rsid w:val="005A570C"/>
    <w:rsid w:val="005A5CEA"/>
    <w:rsid w:val="005A5D74"/>
    <w:rsid w:val="005A63B1"/>
    <w:rsid w:val="005A74EC"/>
    <w:rsid w:val="005A780E"/>
    <w:rsid w:val="005A7A47"/>
    <w:rsid w:val="005A7ABC"/>
    <w:rsid w:val="005B031F"/>
    <w:rsid w:val="005B07B6"/>
    <w:rsid w:val="005B17A3"/>
    <w:rsid w:val="005B1BAA"/>
    <w:rsid w:val="005B2A39"/>
    <w:rsid w:val="005B33E0"/>
    <w:rsid w:val="005B38AD"/>
    <w:rsid w:val="005B390E"/>
    <w:rsid w:val="005B3AD7"/>
    <w:rsid w:val="005B3F2D"/>
    <w:rsid w:val="005B3FFA"/>
    <w:rsid w:val="005B50E0"/>
    <w:rsid w:val="005B560F"/>
    <w:rsid w:val="005B5712"/>
    <w:rsid w:val="005B5D71"/>
    <w:rsid w:val="005B65FE"/>
    <w:rsid w:val="005B7D7C"/>
    <w:rsid w:val="005B7F91"/>
    <w:rsid w:val="005C0095"/>
    <w:rsid w:val="005C014B"/>
    <w:rsid w:val="005C0A1D"/>
    <w:rsid w:val="005C2C40"/>
    <w:rsid w:val="005C3F3E"/>
    <w:rsid w:val="005C440B"/>
    <w:rsid w:val="005C4AAB"/>
    <w:rsid w:val="005C52B7"/>
    <w:rsid w:val="005C5469"/>
    <w:rsid w:val="005C602F"/>
    <w:rsid w:val="005C63D9"/>
    <w:rsid w:val="005C70FB"/>
    <w:rsid w:val="005C73D5"/>
    <w:rsid w:val="005D0E6C"/>
    <w:rsid w:val="005D1166"/>
    <w:rsid w:val="005D1836"/>
    <w:rsid w:val="005D18F4"/>
    <w:rsid w:val="005D2F03"/>
    <w:rsid w:val="005D4145"/>
    <w:rsid w:val="005D5429"/>
    <w:rsid w:val="005D63B0"/>
    <w:rsid w:val="005D7499"/>
    <w:rsid w:val="005D78A8"/>
    <w:rsid w:val="005D7A98"/>
    <w:rsid w:val="005D7FC8"/>
    <w:rsid w:val="005E032E"/>
    <w:rsid w:val="005E0E98"/>
    <w:rsid w:val="005E1395"/>
    <w:rsid w:val="005E15E3"/>
    <w:rsid w:val="005E1A36"/>
    <w:rsid w:val="005E1CCC"/>
    <w:rsid w:val="005E1E5B"/>
    <w:rsid w:val="005E278D"/>
    <w:rsid w:val="005E2828"/>
    <w:rsid w:val="005E2F0A"/>
    <w:rsid w:val="005E3800"/>
    <w:rsid w:val="005E3846"/>
    <w:rsid w:val="005E39D5"/>
    <w:rsid w:val="005E4A2A"/>
    <w:rsid w:val="005E5190"/>
    <w:rsid w:val="005E5594"/>
    <w:rsid w:val="005E6CD9"/>
    <w:rsid w:val="005E6E4D"/>
    <w:rsid w:val="005E79A6"/>
    <w:rsid w:val="005E7A98"/>
    <w:rsid w:val="005E7BFA"/>
    <w:rsid w:val="005F005E"/>
    <w:rsid w:val="005F0508"/>
    <w:rsid w:val="005F19DB"/>
    <w:rsid w:val="005F1AFD"/>
    <w:rsid w:val="005F1CD7"/>
    <w:rsid w:val="005F2095"/>
    <w:rsid w:val="005F31E7"/>
    <w:rsid w:val="005F3889"/>
    <w:rsid w:val="005F645D"/>
    <w:rsid w:val="005F670B"/>
    <w:rsid w:val="005F6CD4"/>
    <w:rsid w:val="005F6F19"/>
    <w:rsid w:val="005F7B39"/>
    <w:rsid w:val="00600B48"/>
    <w:rsid w:val="00601166"/>
    <w:rsid w:val="006022FC"/>
    <w:rsid w:val="0060255D"/>
    <w:rsid w:val="00602B47"/>
    <w:rsid w:val="006032B9"/>
    <w:rsid w:val="006033B4"/>
    <w:rsid w:val="00603951"/>
    <w:rsid w:val="006039C4"/>
    <w:rsid w:val="00604892"/>
    <w:rsid w:val="00607A86"/>
    <w:rsid w:val="00607DAB"/>
    <w:rsid w:val="00610162"/>
    <w:rsid w:val="006104BC"/>
    <w:rsid w:val="006109DD"/>
    <w:rsid w:val="00610DAF"/>
    <w:rsid w:val="00611264"/>
    <w:rsid w:val="00611BE4"/>
    <w:rsid w:val="00613193"/>
    <w:rsid w:val="00613CB1"/>
    <w:rsid w:val="006151D5"/>
    <w:rsid w:val="006155D9"/>
    <w:rsid w:val="006160A9"/>
    <w:rsid w:val="00616320"/>
    <w:rsid w:val="00617232"/>
    <w:rsid w:val="006206E3"/>
    <w:rsid w:val="0062082F"/>
    <w:rsid w:val="006208C2"/>
    <w:rsid w:val="00620F01"/>
    <w:rsid w:val="0062150D"/>
    <w:rsid w:val="00621BB8"/>
    <w:rsid w:val="0062296E"/>
    <w:rsid w:val="006242E6"/>
    <w:rsid w:val="00624F69"/>
    <w:rsid w:val="00625A29"/>
    <w:rsid w:val="00626423"/>
    <w:rsid w:val="00626993"/>
    <w:rsid w:val="00626D56"/>
    <w:rsid w:val="006273AA"/>
    <w:rsid w:val="00630E3E"/>
    <w:rsid w:val="00630F98"/>
    <w:rsid w:val="00631064"/>
    <w:rsid w:val="006310E8"/>
    <w:rsid w:val="00632523"/>
    <w:rsid w:val="006332A4"/>
    <w:rsid w:val="0063372F"/>
    <w:rsid w:val="00633829"/>
    <w:rsid w:val="00634AE3"/>
    <w:rsid w:val="0063575E"/>
    <w:rsid w:val="006372B9"/>
    <w:rsid w:val="00637938"/>
    <w:rsid w:val="006409A5"/>
    <w:rsid w:val="0064265F"/>
    <w:rsid w:val="0064284B"/>
    <w:rsid w:val="0064432D"/>
    <w:rsid w:val="00644B78"/>
    <w:rsid w:val="0064515F"/>
    <w:rsid w:val="00645D0E"/>
    <w:rsid w:val="00645F1C"/>
    <w:rsid w:val="0064698B"/>
    <w:rsid w:val="00647D1D"/>
    <w:rsid w:val="00651521"/>
    <w:rsid w:val="0065154F"/>
    <w:rsid w:val="00652248"/>
    <w:rsid w:val="006526B5"/>
    <w:rsid w:val="00652708"/>
    <w:rsid w:val="00652926"/>
    <w:rsid w:val="00653195"/>
    <w:rsid w:val="006539A2"/>
    <w:rsid w:val="00654C40"/>
    <w:rsid w:val="00655762"/>
    <w:rsid w:val="00655E08"/>
    <w:rsid w:val="0065620F"/>
    <w:rsid w:val="00656846"/>
    <w:rsid w:val="0065747D"/>
    <w:rsid w:val="00657E57"/>
    <w:rsid w:val="006603F8"/>
    <w:rsid w:val="00661667"/>
    <w:rsid w:val="00662472"/>
    <w:rsid w:val="00664E6F"/>
    <w:rsid w:val="00665A89"/>
    <w:rsid w:val="00665B09"/>
    <w:rsid w:val="0066636F"/>
    <w:rsid w:val="00666D39"/>
    <w:rsid w:val="00667602"/>
    <w:rsid w:val="006679EB"/>
    <w:rsid w:val="00667A4B"/>
    <w:rsid w:val="00667E50"/>
    <w:rsid w:val="00670531"/>
    <w:rsid w:val="00670D46"/>
    <w:rsid w:val="00671333"/>
    <w:rsid w:val="00671414"/>
    <w:rsid w:val="00672AC2"/>
    <w:rsid w:val="00673237"/>
    <w:rsid w:val="00673472"/>
    <w:rsid w:val="00673A9F"/>
    <w:rsid w:val="00674401"/>
    <w:rsid w:val="0067468F"/>
    <w:rsid w:val="0067477F"/>
    <w:rsid w:val="00675284"/>
    <w:rsid w:val="0067641B"/>
    <w:rsid w:val="0067744D"/>
    <w:rsid w:val="00677D70"/>
    <w:rsid w:val="00680EC5"/>
    <w:rsid w:val="006810A1"/>
    <w:rsid w:val="006812FA"/>
    <w:rsid w:val="00681461"/>
    <w:rsid w:val="00681A57"/>
    <w:rsid w:val="00683C99"/>
    <w:rsid w:val="00684469"/>
    <w:rsid w:val="00684969"/>
    <w:rsid w:val="00684C5A"/>
    <w:rsid w:val="006862ED"/>
    <w:rsid w:val="006863A5"/>
    <w:rsid w:val="00686A0A"/>
    <w:rsid w:val="00686ACE"/>
    <w:rsid w:val="00687C62"/>
    <w:rsid w:val="00687ED8"/>
    <w:rsid w:val="006908CE"/>
    <w:rsid w:val="00690E0A"/>
    <w:rsid w:val="00691110"/>
    <w:rsid w:val="006917E5"/>
    <w:rsid w:val="00691AEC"/>
    <w:rsid w:val="00691D27"/>
    <w:rsid w:val="00692299"/>
    <w:rsid w:val="00692A2D"/>
    <w:rsid w:val="00692ADE"/>
    <w:rsid w:val="00692BD6"/>
    <w:rsid w:val="006936F7"/>
    <w:rsid w:val="0069482B"/>
    <w:rsid w:val="006958BF"/>
    <w:rsid w:val="00697403"/>
    <w:rsid w:val="00697CEB"/>
    <w:rsid w:val="006A0ED3"/>
    <w:rsid w:val="006A126C"/>
    <w:rsid w:val="006A15B5"/>
    <w:rsid w:val="006A1B16"/>
    <w:rsid w:val="006A1B1C"/>
    <w:rsid w:val="006A1B37"/>
    <w:rsid w:val="006A1CD4"/>
    <w:rsid w:val="006A28DB"/>
    <w:rsid w:val="006A2EDD"/>
    <w:rsid w:val="006A41B4"/>
    <w:rsid w:val="006A44E8"/>
    <w:rsid w:val="006A4EBE"/>
    <w:rsid w:val="006A515E"/>
    <w:rsid w:val="006A53F1"/>
    <w:rsid w:val="006A5423"/>
    <w:rsid w:val="006A7022"/>
    <w:rsid w:val="006A70B2"/>
    <w:rsid w:val="006A74C3"/>
    <w:rsid w:val="006A7827"/>
    <w:rsid w:val="006A7C30"/>
    <w:rsid w:val="006B0CCF"/>
    <w:rsid w:val="006B1D8F"/>
    <w:rsid w:val="006B280C"/>
    <w:rsid w:val="006B2981"/>
    <w:rsid w:val="006B29F6"/>
    <w:rsid w:val="006B2BFE"/>
    <w:rsid w:val="006B32CC"/>
    <w:rsid w:val="006B3DF5"/>
    <w:rsid w:val="006B47C7"/>
    <w:rsid w:val="006B5421"/>
    <w:rsid w:val="006B637A"/>
    <w:rsid w:val="006B64E5"/>
    <w:rsid w:val="006B790F"/>
    <w:rsid w:val="006B7E7C"/>
    <w:rsid w:val="006C0A4C"/>
    <w:rsid w:val="006C0B08"/>
    <w:rsid w:val="006C11EE"/>
    <w:rsid w:val="006C1E67"/>
    <w:rsid w:val="006C22AC"/>
    <w:rsid w:val="006C22CA"/>
    <w:rsid w:val="006C3BFB"/>
    <w:rsid w:val="006C5E21"/>
    <w:rsid w:val="006C69C6"/>
    <w:rsid w:val="006C7458"/>
    <w:rsid w:val="006D001D"/>
    <w:rsid w:val="006D01DC"/>
    <w:rsid w:val="006D04B5"/>
    <w:rsid w:val="006D08CC"/>
    <w:rsid w:val="006D2A86"/>
    <w:rsid w:val="006D3CA8"/>
    <w:rsid w:val="006D4BCE"/>
    <w:rsid w:val="006D5353"/>
    <w:rsid w:val="006D5A6D"/>
    <w:rsid w:val="006D5D7A"/>
    <w:rsid w:val="006D693E"/>
    <w:rsid w:val="006E0AB7"/>
    <w:rsid w:val="006E2578"/>
    <w:rsid w:val="006E3A59"/>
    <w:rsid w:val="006E4221"/>
    <w:rsid w:val="006E4579"/>
    <w:rsid w:val="006E6802"/>
    <w:rsid w:val="006E6BD6"/>
    <w:rsid w:val="006E7ED9"/>
    <w:rsid w:val="006F05CA"/>
    <w:rsid w:val="006F1350"/>
    <w:rsid w:val="006F1575"/>
    <w:rsid w:val="006F15B8"/>
    <w:rsid w:val="006F2524"/>
    <w:rsid w:val="006F2B04"/>
    <w:rsid w:val="006F3C74"/>
    <w:rsid w:val="006F3E1A"/>
    <w:rsid w:val="006F6949"/>
    <w:rsid w:val="006F6AAE"/>
    <w:rsid w:val="006F7784"/>
    <w:rsid w:val="006F7A10"/>
    <w:rsid w:val="00700758"/>
    <w:rsid w:val="0070096E"/>
    <w:rsid w:val="00701C86"/>
    <w:rsid w:val="00701F41"/>
    <w:rsid w:val="00702179"/>
    <w:rsid w:val="00703067"/>
    <w:rsid w:val="007035DD"/>
    <w:rsid w:val="0070394A"/>
    <w:rsid w:val="0070450B"/>
    <w:rsid w:val="00704BBC"/>
    <w:rsid w:val="00705318"/>
    <w:rsid w:val="007058D4"/>
    <w:rsid w:val="00705F22"/>
    <w:rsid w:val="0070617A"/>
    <w:rsid w:val="007100B3"/>
    <w:rsid w:val="00710D8F"/>
    <w:rsid w:val="007119FD"/>
    <w:rsid w:val="00711B6A"/>
    <w:rsid w:val="007127E9"/>
    <w:rsid w:val="007132E0"/>
    <w:rsid w:val="0071435C"/>
    <w:rsid w:val="00716872"/>
    <w:rsid w:val="00716D42"/>
    <w:rsid w:val="0071712F"/>
    <w:rsid w:val="007178F6"/>
    <w:rsid w:val="00720C1D"/>
    <w:rsid w:val="00721303"/>
    <w:rsid w:val="0072216A"/>
    <w:rsid w:val="0072359E"/>
    <w:rsid w:val="0072369F"/>
    <w:rsid w:val="00724310"/>
    <w:rsid w:val="0072686E"/>
    <w:rsid w:val="00727F8F"/>
    <w:rsid w:val="007304AB"/>
    <w:rsid w:val="00730A43"/>
    <w:rsid w:val="007310BB"/>
    <w:rsid w:val="007328E7"/>
    <w:rsid w:val="00732E13"/>
    <w:rsid w:val="0073361B"/>
    <w:rsid w:val="00733BD7"/>
    <w:rsid w:val="007344DC"/>
    <w:rsid w:val="00734C5D"/>
    <w:rsid w:val="00734C93"/>
    <w:rsid w:val="0073519C"/>
    <w:rsid w:val="007354E9"/>
    <w:rsid w:val="00736200"/>
    <w:rsid w:val="007365C6"/>
    <w:rsid w:val="00736DA3"/>
    <w:rsid w:val="00737846"/>
    <w:rsid w:val="007405E2"/>
    <w:rsid w:val="0074086D"/>
    <w:rsid w:val="007410FD"/>
    <w:rsid w:val="007422CC"/>
    <w:rsid w:val="00742576"/>
    <w:rsid w:val="00742751"/>
    <w:rsid w:val="00742D7E"/>
    <w:rsid w:val="00742FDA"/>
    <w:rsid w:val="007442C9"/>
    <w:rsid w:val="00745523"/>
    <w:rsid w:val="00746304"/>
    <w:rsid w:val="00747AA4"/>
    <w:rsid w:val="00750084"/>
    <w:rsid w:val="00750CD6"/>
    <w:rsid w:val="0075142D"/>
    <w:rsid w:val="00751555"/>
    <w:rsid w:val="0075186A"/>
    <w:rsid w:val="0075206C"/>
    <w:rsid w:val="00752455"/>
    <w:rsid w:val="00754152"/>
    <w:rsid w:val="007553FA"/>
    <w:rsid w:val="00755697"/>
    <w:rsid w:val="00755D9B"/>
    <w:rsid w:val="00756405"/>
    <w:rsid w:val="0075745C"/>
    <w:rsid w:val="0075776C"/>
    <w:rsid w:val="00757CC0"/>
    <w:rsid w:val="007606ED"/>
    <w:rsid w:val="00760E5F"/>
    <w:rsid w:val="00761B04"/>
    <w:rsid w:val="00763DB9"/>
    <w:rsid w:val="00763F88"/>
    <w:rsid w:val="0076492F"/>
    <w:rsid w:val="007655D1"/>
    <w:rsid w:val="00765CDD"/>
    <w:rsid w:val="007700B5"/>
    <w:rsid w:val="00770AC7"/>
    <w:rsid w:val="00775276"/>
    <w:rsid w:val="007752B7"/>
    <w:rsid w:val="007754EA"/>
    <w:rsid w:val="00775580"/>
    <w:rsid w:val="00780DAF"/>
    <w:rsid w:val="0078171E"/>
    <w:rsid w:val="00781866"/>
    <w:rsid w:val="007818C7"/>
    <w:rsid w:val="00781D13"/>
    <w:rsid w:val="0078208F"/>
    <w:rsid w:val="0078285C"/>
    <w:rsid w:val="007829EB"/>
    <w:rsid w:val="007831DC"/>
    <w:rsid w:val="00784128"/>
    <w:rsid w:val="00785719"/>
    <w:rsid w:val="00785AF7"/>
    <w:rsid w:val="00785B3A"/>
    <w:rsid w:val="00786C99"/>
    <w:rsid w:val="00786F7E"/>
    <w:rsid w:val="007872B7"/>
    <w:rsid w:val="0079082A"/>
    <w:rsid w:val="00790C35"/>
    <w:rsid w:val="00790E33"/>
    <w:rsid w:val="0079161C"/>
    <w:rsid w:val="00791A2D"/>
    <w:rsid w:val="0079318F"/>
    <w:rsid w:val="007935FD"/>
    <w:rsid w:val="00794530"/>
    <w:rsid w:val="00794827"/>
    <w:rsid w:val="007962CD"/>
    <w:rsid w:val="007966C8"/>
    <w:rsid w:val="00796D23"/>
    <w:rsid w:val="00797278"/>
    <w:rsid w:val="0079732F"/>
    <w:rsid w:val="00797724"/>
    <w:rsid w:val="007977B5"/>
    <w:rsid w:val="00797A3C"/>
    <w:rsid w:val="00797E5A"/>
    <w:rsid w:val="00797EBD"/>
    <w:rsid w:val="007A1134"/>
    <w:rsid w:val="007A194F"/>
    <w:rsid w:val="007A2112"/>
    <w:rsid w:val="007A339D"/>
    <w:rsid w:val="007A356D"/>
    <w:rsid w:val="007A3BE3"/>
    <w:rsid w:val="007A49FC"/>
    <w:rsid w:val="007A563B"/>
    <w:rsid w:val="007A56EA"/>
    <w:rsid w:val="007A5AB6"/>
    <w:rsid w:val="007A7299"/>
    <w:rsid w:val="007A7BC3"/>
    <w:rsid w:val="007B039F"/>
    <w:rsid w:val="007B1B4E"/>
    <w:rsid w:val="007B2B2F"/>
    <w:rsid w:val="007B2EB1"/>
    <w:rsid w:val="007B2F06"/>
    <w:rsid w:val="007B32F8"/>
    <w:rsid w:val="007B3BEB"/>
    <w:rsid w:val="007B416D"/>
    <w:rsid w:val="007B4666"/>
    <w:rsid w:val="007B4C24"/>
    <w:rsid w:val="007B523B"/>
    <w:rsid w:val="007B5926"/>
    <w:rsid w:val="007B609D"/>
    <w:rsid w:val="007B6240"/>
    <w:rsid w:val="007B6C82"/>
    <w:rsid w:val="007B7237"/>
    <w:rsid w:val="007C09DE"/>
    <w:rsid w:val="007C1832"/>
    <w:rsid w:val="007C1EFB"/>
    <w:rsid w:val="007C2008"/>
    <w:rsid w:val="007C252C"/>
    <w:rsid w:val="007C3AF5"/>
    <w:rsid w:val="007C40E2"/>
    <w:rsid w:val="007C43CA"/>
    <w:rsid w:val="007C46DB"/>
    <w:rsid w:val="007C493D"/>
    <w:rsid w:val="007C54FA"/>
    <w:rsid w:val="007C577E"/>
    <w:rsid w:val="007C6F9C"/>
    <w:rsid w:val="007D053C"/>
    <w:rsid w:val="007D072F"/>
    <w:rsid w:val="007D128F"/>
    <w:rsid w:val="007D1B6B"/>
    <w:rsid w:val="007D1CEE"/>
    <w:rsid w:val="007D1E4B"/>
    <w:rsid w:val="007D2FF9"/>
    <w:rsid w:val="007D53D4"/>
    <w:rsid w:val="007D6997"/>
    <w:rsid w:val="007D6BEB"/>
    <w:rsid w:val="007D71CD"/>
    <w:rsid w:val="007D7427"/>
    <w:rsid w:val="007E0588"/>
    <w:rsid w:val="007E0C3F"/>
    <w:rsid w:val="007E17B5"/>
    <w:rsid w:val="007E206E"/>
    <w:rsid w:val="007E3978"/>
    <w:rsid w:val="007E3C4E"/>
    <w:rsid w:val="007E4AF3"/>
    <w:rsid w:val="007E5DEA"/>
    <w:rsid w:val="007E5F14"/>
    <w:rsid w:val="007E7755"/>
    <w:rsid w:val="007E7D7A"/>
    <w:rsid w:val="007F040C"/>
    <w:rsid w:val="007F363C"/>
    <w:rsid w:val="007F5AF2"/>
    <w:rsid w:val="007F70E6"/>
    <w:rsid w:val="007F7ABD"/>
    <w:rsid w:val="008016B6"/>
    <w:rsid w:val="00802105"/>
    <w:rsid w:val="00804261"/>
    <w:rsid w:val="00804921"/>
    <w:rsid w:val="00806CA0"/>
    <w:rsid w:val="00806CF6"/>
    <w:rsid w:val="00807979"/>
    <w:rsid w:val="008105D5"/>
    <w:rsid w:val="00811221"/>
    <w:rsid w:val="00812113"/>
    <w:rsid w:val="0081219D"/>
    <w:rsid w:val="00812731"/>
    <w:rsid w:val="00813225"/>
    <w:rsid w:val="00813708"/>
    <w:rsid w:val="00813C6D"/>
    <w:rsid w:val="00814087"/>
    <w:rsid w:val="008143B1"/>
    <w:rsid w:val="00814C59"/>
    <w:rsid w:val="00815987"/>
    <w:rsid w:val="0081713F"/>
    <w:rsid w:val="008172A7"/>
    <w:rsid w:val="00817DEA"/>
    <w:rsid w:val="008201C2"/>
    <w:rsid w:val="00821C1B"/>
    <w:rsid w:val="00821C52"/>
    <w:rsid w:val="0082294D"/>
    <w:rsid w:val="00823833"/>
    <w:rsid w:val="00824811"/>
    <w:rsid w:val="00824A89"/>
    <w:rsid w:val="00824B7B"/>
    <w:rsid w:val="00824C91"/>
    <w:rsid w:val="0082591A"/>
    <w:rsid w:val="008259DF"/>
    <w:rsid w:val="00826084"/>
    <w:rsid w:val="00830215"/>
    <w:rsid w:val="00831347"/>
    <w:rsid w:val="00831818"/>
    <w:rsid w:val="00831CBB"/>
    <w:rsid w:val="008325C6"/>
    <w:rsid w:val="0083271F"/>
    <w:rsid w:val="00833113"/>
    <w:rsid w:val="00833175"/>
    <w:rsid w:val="00833C67"/>
    <w:rsid w:val="00835ABC"/>
    <w:rsid w:val="00837ED0"/>
    <w:rsid w:val="008402BC"/>
    <w:rsid w:val="00841B7F"/>
    <w:rsid w:val="00842D07"/>
    <w:rsid w:val="00844351"/>
    <w:rsid w:val="008450A5"/>
    <w:rsid w:val="0084777B"/>
    <w:rsid w:val="00847AAD"/>
    <w:rsid w:val="00847AD6"/>
    <w:rsid w:val="0085027A"/>
    <w:rsid w:val="00850ED7"/>
    <w:rsid w:val="00852080"/>
    <w:rsid w:val="0085216B"/>
    <w:rsid w:val="0085294A"/>
    <w:rsid w:val="00852E72"/>
    <w:rsid w:val="00852FE3"/>
    <w:rsid w:val="00853233"/>
    <w:rsid w:val="00855272"/>
    <w:rsid w:val="00855300"/>
    <w:rsid w:val="00855867"/>
    <w:rsid w:val="0085636F"/>
    <w:rsid w:val="00856E20"/>
    <w:rsid w:val="00857E30"/>
    <w:rsid w:val="00860183"/>
    <w:rsid w:val="0086068C"/>
    <w:rsid w:val="00860A3F"/>
    <w:rsid w:val="0086108F"/>
    <w:rsid w:val="00861CF3"/>
    <w:rsid w:val="008635A3"/>
    <w:rsid w:val="00865BE0"/>
    <w:rsid w:val="00867004"/>
    <w:rsid w:val="0086760E"/>
    <w:rsid w:val="008707E6"/>
    <w:rsid w:val="00871C98"/>
    <w:rsid w:val="00872AAC"/>
    <w:rsid w:val="00872C5A"/>
    <w:rsid w:val="00872FFF"/>
    <w:rsid w:val="00873533"/>
    <w:rsid w:val="00873831"/>
    <w:rsid w:val="00873F62"/>
    <w:rsid w:val="00877DB0"/>
    <w:rsid w:val="00880E18"/>
    <w:rsid w:val="0088105B"/>
    <w:rsid w:val="00882B38"/>
    <w:rsid w:val="00882FED"/>
    <w:rsid w:val="00883758"/>
    <w:rsid w:val="00883A78"/>
    <w:rsid w:val="00883B20"/>
    <w:rsid w:val="00886783"/>
    <w:rsid w:val="00887494"/>
    <w:rsid w:val="00891157"/>
    <w:rsid w:val="00891426"/>
    <w:rsid w:val="00891A57"/>
    <w:rsid w:val="00891BA1"/>
    <w:rsid w:val="00893C2D"/>
    <w:rsid w:val="00893FAC"/>
    <w:rsid w:val="00894932"/>
    <w:rsid w:val="00895EC5"/>
    <w:rsid w:val="00896685"/>
    <w:rsid w:val="008966FD"/>
    <w:rsid w:val="008979AD"/>
    <w:rsid w:val="008A0DE9"/>
    <w:rsid w:val="008A10D1"/>
    <w:rsid w:val="008A10E5"/>
    <w:rsid w:val="008A181A"/>
    <w:rsid w:val="008A199F"/>
    <w:rsid w:val="008A2D13"/>
    <w:rsid w:val="008A2D2D"/>
    <w:rsid w:val="008A3746"/>
    <w:rsid w:val="008A3880"/>
    <w:rsid w:val="008A3B36"/>
    <w:rsid w:val="008A400E"/>
    <w:rsid w:val="008A4143"/>
    <w:rsid w:val="008A577A"/>
    <w:rsid w:val="008A6016"/>
    <w:rsid w:val="008A70F9"/>
    <w:rsid w:val="008A7917"/>
    <w:rsid w:val="008B0E50"/>
    <w:rsid w:val="008B1711"/>
    <w:rsid w:val="008B1B69"/>
    <w:rsid w:val="008B2E5F"/>
    <w:rsid w:val="008B3B75"/>
    <w:rsid w:val="008B3CD5"/>
    <w:rsid w:val="008B42C7"/>
    <w:rsid w:val="008B5266"/>
    <w:rsid w:val="008B5D34"/>
    <w:rsid w:val="008B6215"/>
    <w:rsid w:val="008B7DA6"/>
    <w:rsid w:val="008C0C8F"/>
    <w:rsid w:val="008C1A35"/>
    <w:rsid w:val="008C1B4C"/>
    <w:rsid w:val="008C20BD"/>
    <w:rsid w:val="008C2CA8"/>
    <w:rsid w:val="008C3A78"/>
    <w:rsid w:val="008C5B9A"/>
    <w:rsid w:val="008C5DF1"/>
    <w:rsid w:val="008C64DA"/>
    <w:rsid w:val="008D09BF"/>
    <w:rsid w:val="008D0EF3"/>
    <w:rsid w:val="008D168E"/>
    <w:rsid w:val="008D1DD6"/>
    <w:rsid w:val="008D2870"/>
    <w:rsid w:val="008D3C75"/>
    <w:rsid w:val="008D43AB"/>
    <w:rsid w:val="008D48DA"/>
    <w:rsid w:val="008D4E24"/>
    <w:rsid w:val="008D69A7"/>
    <w:rsid w:val="008D707A"/>
    <w:rsid w:val="008D73B6"/>
    <w:rsid w:val="008D760F"/>
    <w:rsid w:val="008D7624"/>
    <w:rsid w:val="008D7A35"/>
    <w:rsid w:val="008E09B1"/>
    <w:rsid w:val="008E0A65"/>
    <w:rsid w:val="008E1EF1"/>
    <w:rsid w:val="008E65E6"/>
    <w:rsid w:val="008E68E2"/>
    <w:rsid w:val="008E78A0"/>
    <w:rsid w:val="008E7A12"/>
    <w:rsid w:val="008F0DF2"/>
    <w:rsid w:val="008F2006"/>
    <w:rsid w:val="008F2C84"/>
    <w:rsid w:val="008F39AF"/>
    <w:rsid w:val="008F3A17"/>
    <w:rsid w:val="008F4324"/>
    <w:rsid w:val="008F43C1"/>
    <w:rsid w:val="008F45E0"/>
    <w:rsid w:val="008F5500"/>
    <w:rsid w:val="008F5719"/>
    <w:rsid w:val="008F59FD"/>
    <w:rsid w:val="008F64D8"/>
    <w:rsid w:val="008F653A"/>
    <w:rsid w:val="008F6595"/>
    <w:rsid w:val="008F6C05"/>
    <w:rsid w:val="008F7652"/>
    <w:rsid w:val="008F7D4B"/>
    <w:rsid w:val="008F7FE2"/>
    <w:rsid w:val="00900A9C"/>
    <w:rsid w:val="009010CF"/>
    <w:rsid w:val="00901A78"/>
    <w:rsid w:val="00902160"/>
    <w:rsid w:val="0090278E"/>
    <w:rsid w:val="00902D10"/>
    <w:rsid w:val="009033CF"/>
    <w:rsid w:val="0090381A"/>
    <w:rsid w:val="00904B24"/>
    <w:rsid w:val="0090547C"/>
    <w:rsid w:val="009055FE"/>
    <w:rsid w:val="00905966"/>
    <w:rsid w:val="00906DEC"/>
    <w:rsid w:val="0090716E"/>
    <w:rsid w:val="0090734B"/>
    <w:rsid w:val="00907622"/>
    <w:rsid w:val="00907E42"/>
    <w:rsid w:val="00910471"/>
    <w:rsid w:val="009104AB"/>
    <w:rsid w:val="009107FE"/>
    <w:rsid w:val="00910997"/>
    <w:rsid w:val="00910A66"/>
    <w:rsid w:val="00911005"/>
    <w:rsid w:val="009125F7"/>
    <w:rsid w:val="009144A0"/>
    <w:rsid w:val="009144B7"/>
    <w:rsid w:val="00914FC3"/>
    <w:rsid w:val="009152BF"/>
    <w:rsid w:val="009169F2"/>
    <w:rsid w:val="00916CD7"/>
    <w:rsid w:val="00916E88"/>
    <w:rsid w:val="00917070"/>
    <w:rsid w:val="00917231"/>
    <w:rsid w:val="009176BF"/>
    <w:rsid w:val="00920D7B"/>
    <w:rsid w:val="00921F40"/>
    <w:rsid w:val="00921F5B"/>
    <w:rsid w:val="00925064"/>
    <w:rsid w:val="00925A74"/>
    <w:rsid w:val="00925F73"/>
    <w:rsid w:val="009261E2"/>
    <w:rsid w:val="00926913"/>
    <w:rsid w:val="00926C03"/>
    <w:rsid w:val="00926FA1"/>
    <w:rsid w:val="0092756B"/>
    <w:rsid w:val="009313F8"/>
    <w:rsid w:val="00931ABB"/>
    <w:rsid w:val="00932E62"/>
    <w:rsid w:val="00933998"/>
    <w:rsid w:val="00933F2C"/>
    <w:rsid w:val="00933FF1"/>
    <w:rsid w:val="00934014"/>
    <w:rsid w:val="009341E1"/>
    <w:rsid w:val="0093430C"/>
    <w:rsid w:val="0093534C"/>
    <w:rsid w:val="009358E9"/>
    <w:rsid w:val="00936159"/>
    <w:rsid w:val="00936341"/>
    <w:rsid w:val="009364C8"/>
    <w:rsid w:val="00936CB4"/>
    <w:rsid w:val="009406E2"/>
    <w:rsid w:val="00941184"/>
    <w:rsid w:val="0094197D"/>
    <w:rsid w:val="00941AC5"/>
    <w:rsid w:val="00941F7F"/>
    <w:rsid w:val="0094204D"/>
    <w:rsid w:val="0094323B"/>
    <w:rsid w:val="00943FE2"/>
    <w:rsid w:val="00944A4F"/>
    <w:rsid w:val="00945266"/>
    <w:rsid w:val="00945C5D"/>
    <w:rsid w:val="00945D51"/>
    <w:rsid w:val="00946F9D"/>
    <w:rsid w:val="0094754E"/>
    <w:rsid w:val="00947593"/>
    <w:rsid w:val="00950355"/>
    <w:rsid w:val="0095043C"/>
    <w:rsid w:val="0095079C"/>
    <w:rsid w:val="00950CC2"/>
    <w:rsid w:val="009518F1"/>
    <w:rsid w:val="0095539C"/>
    <w:rsid w:val="00955587"/>
    <w:rsid w:val="0095596D"/>
    <w:rsid w:val="0095648A"/>
    <w:rsid w:val="009565ED"/>
    <w:rsid w:val="00956830"/>
    <w:rsid w:val="00956C5D"/>
    <w:rsid w:val="00956D2E"/>
    <w:rsid w:val="00957AA6"/>
    <w:rsid w:val="00957E0E"/>
    <w:rsid w:val="0096085B"/>
    <w:rsid w:val="00960CA2"/>
    <w:rsid w:val="0096113D"/>
    <w:rsid w:val="009613B1"/>
    <w:rsid w:val="00961696"/>
    <w:rsid w:val="00963640"/>
    <w:rsid w:val="0096457B"/>
    <w:rsid w:val="009648D9"/>
    <w:rsid w:val="009654A1"/>
    <w:rsid w:val="009671B4"/>
    <w:rsid w:val="009703B4"/>
    <w:rsid w:val="00970550"/>
    <w:rsid w:val="00972033"/>
    <w:rsid w:val="009723E5"/>
    <w:rsid w:val="00972D8C"/>
    <w:rsid w:val="00972E8B"/>
    <w:rsid w:val="00973F9E"/>
    <w:rsid w:val="0097448A"/>
    <w:rsid w:val="00975696"/>
    <w:rsid w:val="009758DE"/>
    <w:rsid w:val="009767FE"/>
    <w:rsid w:val="00976DF8"/>
    <w:rsid w:val="00976F46"/>
    <w:rsid w:val="0097719D"/>
    <w:rsid w:val="0098146F"/>
    <w:rsid w:val="00982224"/>
    <w:rsid w:val="009823E4"/>
    <w:rsid w:val="009849E8"/>
    <w:rsid w:val="00985273"/>
    <w:rsid w:val="00985554"/>
    <w:rsid w:val="00986029"/>
    <w:rsid w:val="009863C3"/>
    <w:rsid w:val="00991659"/>
    <w:rsid w:val="0099165B"/>
    <w:rsid w:val="00991A55"/>
    <w:rsid w:val="009922F2"/>
    <w:rsid w:val="00992E71"/>
    <w:rsid w:val="009937CF"/>
    <w:rsid w:val="00993948"/>
    <w:rsid w:val="00995191"/>
    <w:rsid w:val="00995450"/>
    <w:rsid w:val="00995488"/>
    <w:rsid w:val="009975E9"/>
    <w:rsid w:val="009A0A88"/>
    <w:rsid w:val="009A198C"/>
    <w:rsid w:val="009A1D7E"/>
    <w:rsid w:val="009A23ED"/>
    <w:rsid w:val="009A30AE"/>
    <w:rsid w:val="009A369B"/>
    <w:rsid w:val="009A3B9A"/>
    <w:rsid w:val="009A3ED5"/>
    <w:rsid w:val="009A527B"/>
    <w:rsid w:val="009A552B"/>
    <w:rsid w:val="009A577B"/>
    <w:rsid w:val="009A59CD"/>
    <w:rsid w:val="009A653A"/>
    <w:rsid w:val="009A6905"/>
    <w:rsid w:val="009A69E5"/>
    <w:rsid w:val="009A6A81"/>
    <w:rsid w:val="009A7591"/>
    <w:rsid w:val="009A7EFF"/>
    <w:rsid w:val="009B02B7"/>
    <w:rsid w:val="009B1293"/>
    <w:rsid w:val="009B15F0"/>
    <w:rsid w:val="009B169B"/>
    <w:rsid w:val="009B2751"/>
    <w:rsid w:val="009B2B99"/>
    <w:rsid w:val="009B2DCF"/>
    <w:rsid w:val="009B3A2B"/>
    <w:rsid w:val="009B41EE"/>
    <w:rsid w:val="009B4447"/>
    <w:rsid w:val="009B4700"/>
    <w:rsid w:val="009B4B3F"/>
    <w:rsid w:val="009B52FB"/>
    <w:rsid w:val="009B533B"/>
    <w:rsid w:val="009B70C8"/>
    <w:rsid w:val="009B7CB4"/>
    <w:rsid w:val="009C0375"/>
    <w:rsid w:val="009C0915"/>
    <w:rsid w:val="009C10A3"/>
    <w:rsid w:val="009C1E4C"/>
    <w:rsid w:val="009C39F3"/>
    <w:rsid w:val="009C685F"/>
    <w:rsid w:val="009C6DA5"/>
    <w:rsid w:val="009C7DF1"/>
    <w:rsid w:val="009D210F"/>
    <w:rsid w:val="009D29DD"/>
    <w:rsid w:val="009D2E76"/>
    <w:rsid w:val="009D3202"/>
    <w:rsid w:val="009D349C"/>
    <w:rsid w:val="009D3944"/>
    <w:rsid w:val="009D3B01"/>
    <w:rsid w:val="009D4668"/>
    <w:rsid w:val="009D4845"/>
    <w:rsid w:val="009D4D9D"/>
    <w:rsid w:val="009D515A"/>
    <w:rsid w:val="009D5A5A"/>
    <w:rsid w:val="009D65E4"/>
    <w:rsid w:val="009D6E27"/>
    <w:rsid w:val="009D734C"/>
    <w:rsid w:val="009D73C2"/>
    <w:rsid w:val="009D7CB7"/>
    <w:rsid w:val="009E0320"/>
    <w:rsid w:val="009E0398"/>
    <w:rsid w:val="009E1B2D"/>
    <w:rsid w:val="009E2540"/>
    <w:rsid w:val="009E27D0"/>
    <w:rsid w:val="009E444C"/>
    <w:rsid w:val="009E4E3F"/>
    <w:rsid w:val="009E5A86"/>
    <w:rsid w:val="009E684C"/>
    <w:rsid w:val="009E68A9"/>
    <w:rsid w:val="009F0D5E"/>
    <w:rsid w:val="009F213E"/>
    <w:rsid w:val="009F2395"/>
    <w:rsid w:val="009F29EE"/>
    <w:rsid w:val="009F3040"/>
    <w:rsid w:val="009F308D"/>
    <w:rsid w:val="009F3BDD"/>
    <w:rsid w:val="009F4B42"/>
    <w:rsid w:val="009F4F9E"/>
    <w:rsid w:val="009F5149"/>
    <w:rsid w:val="009F583A"/>
    <w:rsid w:val="009F5866"/>
    <w:rsid w:val="009F5D14"/>
    <w:rsid w:val="009F5D4B"/>
    <w:rsid w:val="009F6396"/>
    <w:rsid w:val="009F69F8"/>
    <w:rsid w:val="009F6E3E"/>
    <w:rsid w:val="009F72D8"/>
    <w:rsid w:val="009F73FF"/>
    <w:rsid w:val="009F7780"/>
    <w:rsid w:val="00A0172D"/>
    <w:rsid w:val="00A0244B"/>
    <w:rsid w:val="00A03A0F"/>
    <w:rsid w:val="00A05B54"/>
    <w:rsid w:val="00A05C0E"/>
    <w:rsid w:val="00A0727A"/>
    <w:rsid w:val="00A07DF3"/>
    <w:rsid w:val="00A10A27"/>
    <w:rsid w:val="00A10FF9"/>
    <w:rsid w:val="00A11457"/>
    <w:rsid w:val="00A11471"/>
    <w:rsid w:val="00A12193"/>
    <w:rsid w:val="00A1222C"/>
    <w:rsid w:val="00A12C6C"/>
    <w:rsid w:val="00A13862"/>
    <w:rsid w:val="00A13F87"/>
    <w:rsid w:val="00A13FE8"/>
    <w:rsid w:val="00A146B2"/>
    <w:rsid w:val="00A1478B"/>
    <w:rsid w:val="00A14F53"/>
    <w:rsid w:val="00A154A2"/>
    <w:rsid w:val="00A15DB8"/>
    <w:rsid w:val="00A163E1"/>
    <w:rsid w:val="00A17282"/>
    <w:rsid w:val="00A22F39"/>
    <w:rsid w:val="00A235A6"/>
    <w:rsid w:val="00A23FD1"/>
    <w:rsid w:val="00A2460B"/>
    <w:rsid w:val="00A26963"/>
    <w:rsid w:val="00A26D6E"/>
    <w:rsid w:val="00A27119"/>
    <w:rsid w:val="00A2764B"/>
    <w:rsid w:val="00A30A71"/>
    <w:rsid w:val="00A30CB4"/>
    <w:rsid w:val="00A31EB5"/>
    <w:rsid w:val="00A32032"/>
    <w:rsid w:val="00A32FA4"/>
    <w:rsid w:val="00A3322D"/>
    <w:rsid w:val="00A349E8"/>
    <w:rsid w:val="00A42092"/>
    <w:rsid w:val="00A435B3"/>
    <w:rsid w:val="00A43876"/>
    <w:rsid w:val="00A43B8B"/>
    <w:rsid w:val="00A43F3F"/>
    <w:rsid w:val="00A44656"/>
    <w:rsid w:val="00A453DB"/>
    <w:rsid w:val="00A455D7"/>
    <w:rsid w:val="00A46216"/>
    <w:rsid w:val="00A46237"/>
    <w:rsid w:val="00A46538"/>
    <w:rsid w:val="00A47F34"/>
    <w:rsid w:val="00A502CA"/>
    <w:rsid w:val="00A50B00"/>
    <w:rsid w:val="00A51440"/>
    <w:rsid w:val="00A52769"/>
    <w:rsid w:val="00A53452"/>
    <w:rsid w:val="00A53B45"/>
    <w:rsid w:val="00A55900"/>
    <w:rsid w:val="00A560FB"/>
    <w:rsid w:val="00A56421"/>
    <w:rsid w:val="00A56D40"/>
    <w:rsid w:val="00A56F07"/>
    <w:rsid w:val="00A57E17"/>
    <w:rsid w:val="00A600B0"/>
    <w:rsid w:val="00A60FAC"/>
    <w:rsid w:val="00A61716"/>
    <w:rsid w:val="00A6354D"/>
    <w:rsid w:val="00A6404C"/>
    <w:rsid w:val="00A64116"/>
    <w:rsid w:val="00A64A54"/>
    <w:rsid w:val="00A64DDB"/>
    <w:rsid w:val="00A65D75"/>
    <w:rsid w:val="00A65F6E"/>
    <w:rsid w:val="00A66040"/>
    <w:rsid w:val="00A67289"/>
    <w:rsid w:val="00A6777B"/>
    <w:rsid w:val="00A6780E"/>
    <w:rsid w:val="00A70B9F"/>
    <w:rsid w:val="00A70E55"/>
    <w:rsid w:val="00A715FF"/>
    <w:rsid w:val="00A71974"/>
    <w:rsid w:val="00A71B6E"/>
    <w:rsid w:val="00A721A1"/>
    <w:rsid w:val="00A723F4"/>
    <w:rsid w:val="00A72A77"/>
    <w:rsid w:val="00A741BB"/>
    <w:rsid w:val="00A74AE3"/>
    <w:rsid w:val="00A74DB3"/>
    <w:rsid w:val="00A750C9"/>
    <w:rsid w:val="00A75572"/>
    <w:rsid w:val="00A75BB0"/>
    <w:rsid w:val="00A77429"/>
    <w:rsid w:val="00A775CD"/>
    <w:rsid w:val="00A7761D"/>
    <w:rsid w:val="00A77651"/>
    <w:rsid w:val="00A77C20"/>
    <w:rsid w:val="00A80084"/>
    <w:rsid w:val="00A80592"/>
    <w:rsid w:val="00A80B71"/>
    <w:rsid w:val="00A80BB2"/>
    <w:rsid w:val="00A80E8C"/>
    <w:rsid w:val="00A81D01"/>
    <w:rsid w:val="00A81F73"/>
    <w:rsid w:val="00A83B63"/>
    <w:rsid w:val="00A859F8"/>
    <w:rsid w:val="00A85AC6"/>
    <w:rsid w:val="00A8621A"/>
    <w:rsid w:val="00A86FCD"/>
    <w:rsid w:val="00A873F9"/>
    <w:rsid w:val="00A87A58"/>
    <w:rsid w:val="00A90280"/>
    <w:rsid w:val="00A9129D"/>
    <w:rsid w:val="00A91E17"/>
    <w:rsid w:val="00A9200A"/>
    <w:rsid w:val="00A9309B"/>
    <w:rsid w:val="00A932FA"/>
    <w:rsid w:val="00A93866"/>
    <w:rsid w:val="00A9408F"/>
    <w:rsid w:val="00A94369"/>
    <w:rsid w:val="00A9446A"/>
    <w:rsid w:val="00A947D5"/>
    <w:rsid w:val="00A949A0"/>
    <w:rsid w:val="00A959BC"/>
    <w:rsid w:val="00A965BB"/>
    <w:rsid w:val="00A97510"/>
    <w:rsid w:val="00AA09CA"/>
    <w:rsid w:val="00AA0BFB"/>
    <w:rsid w:val="00AA0F8B"/>
    <w:rsid w:val="00AA1801"/>
    <w:rsid w:val="00AA2754"/>
    <w:rsid w:val="00AA2BEC"/>
    <w:rsid w:val="00AA4842"/>
    <w:rsid w:val="00AA49CD"/>
    <w:rsid w:val="00AA4B3B"/>
    <w:rsid w:val="00AA5648"/>
    <w:rsid w:val="00AA67B4"/>
    <w:rsid w:val="00AA6D98"/>
    <w:rsid w:val="00AA7985"/>
    <w:rsid w:val="00AB0003"/>
    <w:rsid w:val="00AB0317"/>
    <w:rsid w:val="00AB1389"/>
    <w:rsid w:val="00AB1A71"/>
    <w:rsid w:val="00AB1C53"/>
    <w:rsid w:val="00AB1E9C"/>
    <w:rsid w:val="00AB349E"/>
    <w:rsid w:val="00AB3BEB"/>
    <w:rsid w:val="00AB5269"/>
    <w:rsid w:val="00AB56B9"/>
    <w:rsid w:val="00AB6730"/>
    <w:rsid w:val="00AB7D04"/>
    <w:rsid w:val="00AC0892"/>
    <w:rsid w:val="00AC10A6"/>
    <w:rsid w:val="00AC1336"/>
    <w:rsid w:val="00AC3718"/>
    <w:rsid w:val="00AC48CF"/>
    <w:rsid w:val="00AC5E7D"/>
    <w:rsid w:val="00AC5EDB"/>
    <w:rsid w:val="00AC5F2B"/>
    <w:rsid w:val="00AC6ACF"/>
    <w:rsid w:val="00AD06E3"/>
    <w:rsid w:val="00AD2BFC"/>
    <w:rsid w:val="00AD35C3"/>
    <w:rsid w:val="00AD41E7"/>
    <w:rsid w:val="00AD4FC7"/>
    <w:rsid w:val="00AD544F"/>
    <w:rsid w:val="00AD5F7E"/>
    <w:rsid w:val="00AD7BD9"/>
    <w:rsid w:val="00AE2501"/>
    <w:rsid w:val="00AE2ED7"/>
    <w:rsid w:val="00AE4318"/>
    <w:rsid w:val="00AE4844"/>
    <w:rsid w:val="00AE68CB"/>
    <w:rsid w:val="00AE6CCB"/>
    <w:rsid w:val="00AE7D26"/>
    <w:rsid w:val="00AF0AF0"/>
    <w:rsid w:val="00AF4551"/>
    <w:rsid w:val="00AF5882"/>
    <w:rsid w:val="00AF6EA0"/>
    <w:rsid w:val="00AF7563"/>
    <w:rsid w:val="00AF79B9"/>
    <w:rsid w:val="00B0018D"/>
    <w:rsid w:val="00B0034C"/>
    <w:rsid w:val="00B00C00"/>
    <w:rsid w:val="00B012BF"/>
    <w:rsid w:val="00B0154C"/>
    <w:rsid w:val="00B01D02"/>
    <w:rsid w:val="00B022EF"/>
    <w:rsid w:val="00B0245E"/>
    <w:rsid w:val="00B02EAB"/>
    <w:rsid w:val="00B04F4F"/>
    <w:rsid w:val="00B05350"/>
    <w:rsid w:val="00B0551D"/>
    <w:rsid w:val="00B07651"/>
    <w:rsid w:val="00B07B23"/>
    <w:rsid w:val="00B07EE7"/>
    <w:rsid w:val="00B07FAD"/>
    <w:rsid w:val="00B1091C"/>
    <w:rsid w:val="00B10EBB"/>
    <w:rsid w:val="00B10F2E"/>
    <w:rsid w:val="00B14319"/>
    <w:rsid w:val="00B150BC"/>
    <w:rsid w:val="00B1589E"/>
    <w:rsid w:val="00B1611C"/>
    <w:rsid w:val="00B16757"/>
    <w:rsid w:val="00B16951"/>
    <w:rsid w:val="00B16ACD"/>
    <w:rsid w:val="00B17512"/>
    <w:rsid w:val="00B1780C"/>
    <w:rsid w:val="00B17B3D"/>
    <w:rsid w:val="00B17EA0"/>
    <w:rsid w:val="00B17FC1"/>
    <w:rsid w:val="00B209CA"/>
    <w:rsid w:val="00B212BB"/>
    <w:rsid w:val="00B227D6"/>
    <w:rsid w:val="00B22D7A"/>
    <w:rsid w:val="00B23A35"/>
    <w:rsid w:val="00B23A90"/>
    <w:rsid w:val="00B24C31"/>
    <w:rsid w:val="00B25291"/>
    <w:rsid w:val="00B252B6"/>
    <w:rsid w:val="00B254A6"/>
    <w:rsid w:val="00B3051E"/>
    <w:rsid w:val="00B3104E"/>
    <w:rsid w:val="00B31496"/>
    <w:rsid w:val="00B319D7"/>
    <w:rsid w:val="00B33277"/>
    <w:rsid w:val="00B3333D"/>
    <w:rsid w:val="00B343DF"/>
    <w:rsid w:val="00B3517D"/>
    <w:rsid w:val="00B368BC"/>
    <w:rsid w:val="00B36B44"/>
    <w:rsid w:val="00B36FCB"/>
    <w:rsid w:val="00B427F0"/>
    <w:rsid w:val="00B42B96"/>
    <w:rsid w:val="00B42CB3"/>
    <w:rsid w:val="00B436FF"/>
    <w:rsid w:val="00B43958"/>
    <w:rsid w:val="00B43A86"/>
    <w:rsid w:val="00B449FF"/>
    <w:rsid w:val="00B4501D"/>
    <w:rsid w:val="00B45258"/>
    <w:rsid w:val="00B45816"/>
    <w:rsid w:val="00B45898"/>
    <w:rsid w:val="00B46D1E"/>
    <w:rsid w:val="00B47A22"/>
    <w:rsid w:val="00B47CA2"/>
    <w:rsid w:val="00B50A2E"/>
    <w:rsid w:val="00B51409"/>
    <w:rsid w:val="00B51FEB"/>
    <w:rsid w:val="00B521D3"/>
    <w:rsid w:val="00B5235D"/>
    <w:rsid w:val="00B52851"/>
    <w:rsid w:val="00B532E4"/>
    <w:rsid w:val="00B53410"/>
    <w:rsid w:val="00B543A5"/>
    <w:rsid w:val="00B56788"/>
    <w:rsid w:val="00B57373"/>
    <w:rsid w:val="00B60199"/>
    <w:rsid w:val="00B605DC"/>
    <w:rsid w:val="00B610EF"/>
    <w:rsid w:val="00B61CE4"/>
    <w:rsid w:val="00B6365E"/>
    <w:rsid w:val="00B63A9A"/>
    <w:rsid w:val="00B63CDC"/>
    <w:rsid w:val="00B65125"/>
    <w:rsid w:val="00B6539A"/>
    <w:rsid w:val="00B6607E"/>
    <w:rsid w:val="00B660C6"/>
    <w:rsid w:val="00B66362"/>
    <w:rsid w:val="00B66AA7"/>
    <w:rsid w:val="00B66D21"/>
    <w:rsid w:val="00B6702E"/>
    <w:rsid w:val="00B71F06"/>
    <w:rsid w:val="00B723D2"/>
    <w:rsid w:val="00B72530"/>
    <w:rsid w:val="00B73024"/>
    <w:rsid w:val="00B732A3"/>
    <w:rsid w:val="00B734C6"/>
    <w:rsid w:val="00B75BEA"/>
    <w:rsid w:val="00B762D6"/>
    <w:rsid w:val="00B7770B"/>
    <w:rsid w:val="00B8008B"/>
    <w:rsid w:val="00B807C2"/>
    <w:rsid w:val="00B827B5"/>
    <w:rsid w:val="00B82E5B"/>
    <w:rsid w:val="00B83A39"/>
    <w:rsid w:val="00B848C7"/>
    <w:rsid w:val="00B84D0A"/>
    <w:rsid w:val="00B85203"/>
    <w:rsid w:val="00B8578A"/>
    <w:rsid w:val="00B85A36"/>
    <w:rsid w:val="00B85A5F"/>
    <w:rsid w:val="00B86512"/>
    <w:rsid w:val="00B86DE4"/>
    <w:rsid w:val="00B87D0C"/>
    <w:rsid w:val="00B90976"/>
    <w:rsid w:val="00B9119D"/>
    <w:rsid w:val="00B91B79"/>
    <w:rsid w:val="00B929C4"/>
    <w:rsid w:val="00B946BE"/>
    <w:rsid w:val="00B94C13"/>
    <w:rsid w:val="00B94CEF"/>
    <w:rsid w:val="00B95265"/>
    <w:rsid w:val="00B954F2"/>
    <w:rsid w:val="00B959D1"/>
    <w:rsid w:val="00B961F7"/>
    <w:rsid w:val="00B9670A"/>
    <w:rsid w:val="00B96977"/>
    <w:rsid w:val="00B96AD2"/>
    <w:rsid w:val="00B970C9"/>
    <w:rsid w:val="00B979CD"/>
    <w:rsid w:val="00B97C0F"/>
    <w:rsid w:val="00BA0DCD"/>
    <w:rsid w:val="00BA127D"/>
    <w:rsid w:val="00BA32EA"/>
    <w:rsid w:val="00BA5050"/>
    <w:rsid w:val="00BA5784"/>
    <w:rsid w:val="00BA6807"/>
    <w:rsid w:val="00BA6C4E"/>
    <w:rsid w:val="00BA6CF2"/>
    <w:rsid w:val="00BB080F"/>
    <w:rsid w:val="00BB0852"/>
    <w:rsid w:val="00BB0E74"/>
    <w:rsid w:val="00BB18C8"/>
    <w:rsid w:val="00BB1CCE"/>
    <w:rsid w:val="00BB2E18"/>
    <w:rsid w:val="00BB31F8"/>
    <w:rsid w:val="00BB3C77"/>
    <w:rsid w:val="00BB4A8D"/>
    <w:rsid w:val="00BB683B"/>
    <w:rsid w:val="00BB7337"/>
    <w:rsid w:val="00BB73E8"/>
    <w:rsid w:val="00BB7A3A"/>
    <w:rsid w:val="00BC0867"/>
    <w:rsid w:val="00BC1E61"/>
    <w:rsid w:val="00BC1FDA"/>
    <w:rsid w:val="00BC310E"/>
    <w:rsid w:val="00BC34EE"/>
    <w:rsid w:val="00BC376B"/>
    <w:rsid w:val="00BC4459"/>
    <w:rsid w:val="00BC4A06"/>
    <w:rsid w:val="00BC4AED"/>
    <w:rsid w:val="00BC4DE8"/>
    <w:rsid w:val="00BC5083"/>
    <w:rsid w:val="00BC51F4"/>
    <w:rsid w:val="00BC58D2"/>
    <w:rsid w:val="00BC5B45"/>
    <w:rsid w:val="00BC651B"/>
    <w:rsid w:val="00BD0539"/>
    <w:rsid w:val="00BD0DE3"/>
    <w:rsid w:val="00BD0DF6"/>
    <w:rsid w:val="00BD1C39"/>
    <w:rsid w:val="00BD1F5F"/>
    <w:rsid w:val="00BD226B"/>
    <w:rsid w:val="00BD26F6"/>
    <w:rsid w:val="00BD2CA8"/>
    <w:rsid w:val="00BD358B"/>
    <w:rsid w:val="00BD3CEE"/>
    <w:rsid w:val="00BD3E05"/>
    <w:rsid w:val="00BD41A1"/>
    <w:rsid w:val="00BD450D"/>
    <w:rsid w:val="00BD4A1A"/>
    <w:rsid w:val="00BD4A86"/>
    <w:rsid w:val="00BD4DC5"/>
    <w:rsid w:val="00BD52AD"/>
    <w:rsid w:val="00BD6D1D"/>
    <w:rsid w:val="00BD717E"/>
    <w:rsid w:val="00BE04CF"/>
    <w:rsid w:val="00BE05A1"/>
    <w:rsid w:val="00BE0880"/>
    <w:rsid w:val="00BE1AB8"/>
    <w:rsid w:val="00BE1D90"/>
    <w:rsid w:val="00BE1FF6"/>
    <w:rsid w:val="00BE2049"/>
    <w:rsid w:val="00BE2505"/>
    <w:rsid w:val="00BE311F"/>
    <w:rsid w:val="00BE3CE5"/>
    <w:rsid w:val="00BE3F22"/>
    <w:rsid w:val="00BE7A03"/>
    <w:rsid w:val="00BE7F91"/>
    <w:rsid w:val="00BF04C8"/>
    <w:rsid w:val="00BF07D7"/>
    <w:rsid w:val="00BF0F1A"/>
    <w:rsid w:val="00BF1889"/>
    <w:rsid w:val="00BF1B3B"/>
    <w:rsid w:val="00BF265A"/>
    <w:rsid w:val="00BF2850"/>
    <w:rsid w:val="00BF2E11"/>
    <w:rsid w:val="00BF2E37"/>
    <w:rsid w:val="00BF32CF"/>
    <w:rsid w:val="00BF38DF"/>
    <w:rsid w:val="00BF3B8B"/>
    <w:rsid w:val="00BF4262"/>
    <w:rsid w:val="00BF4F82"/>
    <w:rsid w:val="00BF554E"/>
    <w:rsid w:val="00BF5B9D"/>
    <w:rsid w:val="00BF6DFC"/>
    <w:rsid w:val="00BF7B2B"/>
    <w:rsid w:val="00C01FB3"/>
    <w:rsid w:val="00C0203D"/>
    <w:rsid w:val="00C02887"/>
    <w:rsid w:val="00C02EA0"/>
    <w:rsid w:val="00C03725"/>
    <w:rsid w:val="00C03862"/>
    <w:rsid w:val="00C048B5"/>
    <w:rsid w:val="00C04EEF"/>
    <w:rsid w:val="00C06070"/>
    <w:rsid w:val="00C06103"/>
    <w:rsid w:val="00C065B5"/>
    <w:rsid w:val="00C06D0B"/>
    <w:rsid w:val="00C10AB4"/>
    <w:rsid w:val="00C10E9C"/>
    <w:rsid w:val="00C117D7"/>
    <w:rsid w:val="00C119D7"/>
    <w:rsid w:val="00C1234A"/>
    <w:rsid w:val="00C12601"/>
    <w:rsid w:val="00C130A8"/>
    <w:rsid w:val="00C139CF"/>
    <w:rsid w:val="00C13DD3"/>
    <w:rsid w:val="00C15F75"/>
    <w:rsid w:val="00C16CAE"/>
    <w:rsid w:val="00C16F1C"/>
    <w:rsid w:val="00C16FA1"/>
    <w:rsid w:val="00C172A6"/>
    <w:rsid w:val="00C17779"/>
    <w:rsid w:val="00C17E1B"/>
    <w:rsid w:val="00C21830"/>
    <w:rsid w:val="00C222BC"/>
    <w:rsid w:val="00C22765"/>
    <w:rsid w:val="00C23AF8"/>
    <w:rsid w:val="00C25599"/>
    <w:rsid w:val="00C264EA"/>
    <w:rsid w:val="00C32EB9"/>
    <w:rsid w:val="00C32F88"/>
    <w:rsid w:val="00C33D95"/>
    <w:rsid w:val="00C34D31"/>
    <w:rsid w:val="00C361B5"/>
    <w:rsid w:val="00C36E6F"/>
    <w:rsid w:val="00C3737D"/>
    <w:rsid w:val="00C373D7"/>
    <w:rsid w:val="00C3756F"/>
    <w:rsid w:val="00C37666"/>
    <w:rsid w:val="00C37799"/>
    <w:rsid w:val="00C406B2"/>
    <w:rsid w:val="00C412B4"/>
    <w:rsid w:val="00C42B0D"/>
    <w:rsid w:val="00C4380C"/>
    <w:rsid w:val="00C43D12"/>
    <w:rsid w:val="00C4486C"/>
    <w:rsid w:val="00C44C53"/>
    <w:rsid w:val="00C46822"/>
    <w:rsid w:val="00C468DA"/>
    <w:rsid w:val="00C4719B"/>
    <w:rsid w:val="00C474AA"/>
    <w:rsid w:val="00C47747"/>
    <w:rsid w:val="00C5002A"/>
    <w:rsid w:val="00C505A7"/>
    <w:rsid w:val="00C50CF0"/>
    <w:rsid w:val="00C51A0E"/>
    <w:rsid w:val="00C52CA2"/>
    <w:rsid w:val="00C54483"/>
    <w:rsid w:val="00C54554"/>
    <w:rsid w:val="00C54C1F"/>
    <w:rsid w:val="00C55F6C"/>
    <w:rsid w:val="00C601E5"/>
    <w:rsid w:val="00C6141F"/>
    <w:rsid w:val="00C61673"/>
    <w:rsid w:val="00C61C6B"/>
    <w:rsid w:val="00C63835"/>
    <w:rsid w:val="00C63D70"/>
    <w:rsid w:val="00C63DDA"/>
    <w:rsid w:val="00C65C45"/>
    <w:rsid w:val="00C65C6F"/>
    <w:rsid w:val="00C6627B"/>
    <w:rsid w:val="00C67129"/>
    <w:rsid w:val="00C67A3B"/>
    <w:rsid w:val="00C704F0"/>
    <w:rsid w:val="00C70F61"/>
    <w:rsid w:val="00C72495"/>
    <w:rsid w:val="00C7434B"/>
    <w:rsid w:val="00C75A90"/>
    <w:rsid w:val="00C76595"/>
    <w:rsid w:val="00C76ED2"/>
    <w:rsid w:val="00C7779A"/>
    <w:rsid w:val="00C8115C"/>
    <w:rsid w:val="00C81219"/>
    <w:rsid w:val="00C82A97"/>
    <w:rsid w:val="00C837DB"/>
    <w:rsid w:val="00C85549"/>
    <w:rsid w:val="00C86081"/>
    <w:rsid w:val="00C862CC"/>
    <w:rsid w:val="00C8665F"/>
    <w:rsid w:val="00C868E9"/>
    <w:rsid w:val="00C8791C"/>
    <w:rsid w:val="00C87AF0"/>
    <w:rsid w:val="00C90C6D"/>
    <w:rsid w:val="00C90F9F"/>
    <w:rsid w:val="00C91726"/>
    <w:rsid w:val="00C92469"/>
    <w:rsid w:val="00C93A4D"/>
    <w:rsid w:val="00C945B8"/>
    <w:rsid w:val="00C953CC"/>
    <w:rsid w:val="00C95814"/>
    <w:rsid w:val="00C96093"/>
    <w:rsid w:val="00C96A81"/>
    <w:rsid w:val="00C97E7B"/>
    <w:rsid w:val="00CA2BAC"/>
    <w:rsid w:val="00CA4E03"/>
    <w:rsid w:val="00CA55C9"/>
    <w:rsid w:val="00CA6765"/>
    <w:rsid w:val="00CA6D28"/>
    <w:rsid w:val="00CA7630"/>
    <w:rsid w:val="00CA77B8"/>
    <w:rsid w:val="00CB190B"/>
    <w:rsid w:val="00CB19D3"/>
    <w:rsid w:val="00CB2184"/>
    <w:rsid w:val="00CB24E8"/>
    <w:rsid w:val="00CB312D"/>
    <w:rsid w:val="00CB4461"/>
    <w:rsid w:val="00CB4571"/>
    <w:rsid w:val="00CB4601"/>
    <w:rsid w:val="00CB4953"/>
    <w:rsid w:val="00CB4DCA"/>
    <w:rsid w:val="00CB5660"/>
    <w:rsid w:val="00CB59AF"/>
    <w:rsid w:val="00CB5FF5"/>
    <w:rsid w:val="00CB61F3"/>
    <w:rsid w:val="00CB761F"/>
    <w:rsid w:val="00CB7C8D"/>
    <w:rsid w:val="00CC0708"/>
    <w:rsid w:val="00CC142B"/>
    <w:rsid w:val="00CC1C87"/>
    <w:rsid w:val="00CC1EF1"/>
    <w:rsid w:val="00CC25AC"/>
    <w:rsid w:val="00CC2DB8"/>
    <w:rsid w:val="00CC3722"/>
    <w:rsid w:val="00CC41BF"/>
    <w:rsid w:val="00CC4599"/>
    <w:rsid w:val="00CC505B"/>
    <w:rsid w:val="00CC6977"/>
    <w:rsid w:val="00CC6E94"/>
    <w:rsid w:val="00CC6EFA"/>
    <w:rsid w:val="00CC742C"/>
    <w:rsid w:val="00CD1470"/>
    <w:rsid w:val="00CD1978"/>
    <w:rsid w:val="00CD1E77"/>
    <w:rsid w:val="00CD219A"/>
    <w:rsid w:val="00CD2AE3"/>
    <w:rsid w:val="00CD4D6E"/>
    <w:rsid w:val="00CD553D"/>
    <w:rsid w:val="00CD609A"/>
    <w:rsid w:val="00CD6414"/>
    <w:rsid w:val="00CD74FB"/>
    <w:rsid w:val="00CD7E65"/>
    <w:rsid w:val="00CD7FD1"/>
    <w:rsid w:val="00CE08EC"/>
    <w:rsid w:val="00CE13EE"/>
    <w:rsid w:val="00CE1AF1"/>
    <w:rsid w:val="00CE369B"/>
    <w:rsid w:val="00CE4961"/>
    <w:rsid w:val="00CE5120"/>
    <w:rsid w:val="00CE56E0"/>
    <w:rsid w:val="00CF0C41"/>
    <w:rsid w:val="00CF0F48"/>
    <w:rsid w:val="00CF0F93"/>
    <w:rsid w:val="00CF0FE3"/>
    <w:rsid w:val="00CF1155"/>
    <w:rsid w:val="00CF1546"/>
    <w:rsid w:val="00CF1E7A"/>
    <w:rsid w:val="00CF27B9"/>
    <w:rsid w:val="00CF27FE"/>
    <w:rsid w:val="00CF3C30"/>
    <w:rsid w:val="00CF44F4"/>
    <w:rsid w:val="00CF4624"/>
    <w:rsid w:val="00CF5077"/>
    <w:rsid w:val="00CF5141"/>
    <w:rsid w:val="00CF5AC6"/>
    <w:rsid w:val="00CF650A"/>
    <w:rsid w:val="00CF77BC"/>
    <w:rsid w:val="00D01BC7"/>
    <w:rsid w:val="00D0336D"/>
    <w:rsid w:val="00D0341C"/>
    <w:rsid w:val="00D037CE"/>
    <w:rsid w:val="00D03B37"/>
    <w:rsid w:val="00D0449D"/>
    <w:rsid w:val="00D046EC"/>
    <w:rsid w:val="00D04A98"/>
    <w:rsid w:val="00D04C8B"/>
    <w:rsid w:val="00D04D48"/>
    <w:rsid w:val="00D0592A"/>
    <w:rsid w:val="00D05BCB"/>
    <w:rsid w:val="00D06C71"/>
    <w:rsid w:val="00D06D2B"/>
    <w:rsid w:val="00D10F3E"/>
    <w:rsid w:val="00D11CE3"/>
    <w:rsid w:val="00D12B1E"/>
    <w:rsid w:val="00D12B8F"/>
    <w:rsid w:val="00D1362A"/>
    <w:rsid w:val="00D15396"/>
    <w:rsid w:val="00D16A08"/>
    <w:rsid w:val="00D20184"/>
    <w:rsid w:val="00D2107A"/>
    <w:rsid w:val="00D2152C"/>
    <w:rsid w:val="00D21DCB"/>
    <w:rsid w:val="00D22436"/>
    <w:rsid w:val="00D226DB"/>
    <w:rsid w:val="00D23E15"/>
    <w:rsid w:val="00D24405"/>
    <w:rsid w:val="00D2482F"/>
    <w:rsid w:val="00D24F4D"/>
    <w:rsid w:val="00D25EE4"/>
    <w:rsid w:val="00D26B7C"/>
    <w:rsid w:val="00D31AE0"/>
    <w:rsid w:val="00D32B13"/>
    <w:rsid w:val="00D358FA"/>
    <w:rsid w:val="00D36D95"/>
    <w:rsid w:val="00D37839"/>
    <w:rsid w:val="00D37EB0"/>
    <w:rsid w:val="00D43AF9"/>
    <w:rsid w:val="00D43ECC"/>
    <w:rsid w:val="00D45310"/>
    <w:rsid w:val="00D456BC"/>
    <w:rsid w:val="00D464D0"/>
    <w:rsid w:val="00D467D8"/>
    <w:rsid w:val="00D469AF"/>
    <w:rsid w:val="00D47026"/>
    <w:rsid w:val="00D50920"/>
    <w:rsid w:val="00D50EEA"/>
    <w:rsid w:val="00D521B2"/>
    <w:rsid w:val="00D5253F"/>
    <w:rsid w:val="00D52624"/>
    <w:rsid w:val="00D52B7A"/>
    <w:rsid w:val="00D532E8"/>
    <w:rsid w:val="00D540D1"/>
    <w:rsid w:val="00D54EE3"/>
    <w:rsid w:val="00D55A7F"/>
    <w:rsid w:val="00D56203"/>
    <w:rsid w:val="00D56A4A"/>
    <w:rsid w:val="00D62051"/>
    <w:rsid w:val="00D62D4C"/>
    <w:rsid w:val="00D63069"/>
    <w:rsid w:val="00D64791"/>
    <w:rsid w:val="00D6586A"/>
    <w:rsid w:val="00D65D1D"/>
    <w:rsid w:val="00D66284"/>
    <w:rsid w:val="00D70DCC"/>
    <w:rsid w:val="00D70EF3"/>
    <w:rsid w:val="00D715E8"/>
    <w:rsid w:val="00D71A3D"/>
    <w:rsid w:val="00D71D7C"/>
    <w:rsid w:val="00D728B6"/>
    <w:rsid w:val="00D72B51"/>
    <w:rsid w:val="00D73861"/>
    <w:rsid w:val="00D744A4"/>
    <w:rsid w:val="00D7459E"/>
    <w:rsid w:val="00D74CA9"/>
    <w:rsid w:val="00D751A9"/>
    <w:rsid w:val="00D75C11"/>
    <w:rsid w:val="00D76A0A"/>
    <w:rsid w:val="00D76AE4"/>
    <w:rsid w:val="00D76C75"/>
    <w:rsid w:val="00D77A6B"/>
    <w:rsid w:val="00D804C2"/>
    <w:rsid w:val="00D805E1"/>
    <w:rsid w:val="00D81E31"/>
    <w:rsid w:val="00D82075"/>
    <w:rsid w:val="00D8231F"/>
    <w:rsid w:val="00D8325D"/>
    <w:rsid w:val="00D8349B"/>
    <w:rsid w:val="00D83713"/>
    <w:rsid w:val="00D8384E"/>
    <w:rsid w:val="00D84CC3"/>
    <w:rsid w:val="00D84F22"/>
    <w:rsid w:val="00D850BA"/>
    <w:rsid w:val="00D86F43"/>
    <w:rsid w:val="00D87118"/>
    <w:rsid w:val="00D90540"/>
    <w:rsid w:val="00D906CA"/>
    <w:rsid w:val="00D910E4"/>
    <w:rsid w:val="00D91109"/>
    <w:rsid w:val="00D91B03"/>
    <w:rsid w:val="00D9233E"/>
    <w:rsid w:val="00D925FC"/>
    <w:rsid w:val="00D92842"/>
    <w:rsid w:val="00D9289D"/>
    <w:rsid w:val="00D94BC3"/>
    <w:rsid w:val="00D95FFC"/>
    <w:rsid w:val="00D96308"/>
    <w:rsid w:val="00D9782D"/>
    <w:rsid w:val="00DA1414"/>
    <w:rsid w:val="00DA18E4"/>
    <w:rsid w:val="00DA1AD2"/>
    <w:rsid w:val="00DA3770"/>
    <w:rsid w:val="00DA4D66"/>
    <w:rsid w:val="00DA5069"/>
    <w:rsid w:val="00DA6ECA"/>
    <w:rsid w:val="00DA73CE"/>
    <w:rsid w:val="00DA7A2F"/>
    <w:rsid w:val="00DB1695"/>
    <w:rsid w:val="00DB1971"/>
    <w:rsid w:val="00DB2257"/>
    <w:rsid w:val="00DB24FA"/>
    <w:rsid w:val="00DB37C0"/>
    <w:rsid w:val="00DB4035"/>
    <w:rsid w:val="00DB40BF"/>
    <w:rsid w:val="00DB5848"/>
    <w:rsid w:val="00DB5C8E"/>
    <w:rsid w:val="00DB6BA5"/>
    <w:rsid w:val="00DB7235"/>
    <w:rsid w:val="00DB73E5"/>
    <w:rsid w:val="00DC0388"/>
    <w:rsid w:val="00DC0563"/>
    <w:rsid w:val="00DC05EB"/>
    <w:rsid w:val="00DC06E9"/>
    <w:rsid w:val="00DC0E45"/>
    <w:rsid w:val="00DC1645"/>
    <w:rsid w:val="00DC183F"/>
    <w:rsid w:val="00DC2087"/>
    <w:rsid w:val="00DC260C"/>
    <w:rsid w:val="00DC31AD"/>
    <w:rsid w:val="00DC501C"/>
    <w:rsid w:val="00DC50B7"/>
    <w:rsid w:val="00DC569E"/>
    <w:rsid w:val="00DC57A2"/>
    <w:rsid w:val="00DC5D4A"/>
    <w:rsid w:val="00DC75E2"/>
    <w:rsid w:val="00DC7772"/>
    <w:rsid w:val="00DC7D8D"/>
    <w:rsid w:val="00DD0344"/>
    <w:rsid w:val="00DD110F"/>
    <w:rsid w:val="00DD25B3"/>
    <w:rsid w:val="00DD27B8"/>
    <w:rsid w:val="00DD3192"/>
    <w:rsid w:val="00DD33CD"/>
    <w:rsid w:val="00DD4345"/>
    <w:rsid w:val="00DD48F7"/>
    <w:rsid w:val="00DD498F"/>
    <w:rsid w:val="00DD4C4C"/>
    <w:rsid w:val="00DD4F3A"/>
    <w:rsid w:val="00DD5C26"/>
    <w:rsid w:val="00DD5CF5"/>
    <w:rsid w:val="00DD60A5"/>
    <w:rsid w:val="00DD6FC5"/>
    <w:rsid w:val="00DD7142"/>
    <w:rsid w:val="00DD7B6D"/>
    <w:rsid w:val="00DE0B62"/>
    <w:rsid w:val="00DE10C6"/>
    <w:rsid w:val="00DE366E"/>
    <w:rsid w:val="00DE437B"/>
    <w:rsid w:val="00DE4A8A"/>
    <w:rsid w:val="00DE4E5A"/>
    <w:rsid w:val="00DE55DD"/>
    <w:rsid w:val="00DE735C"/>
    <w:rsid w:val="00DE74F9"/>
    <w:rsid w:val="00DE772B"/>
    <w:rsid w:val="00DF0B25"/>
    <w:rsid w:val="00DF0DC4"/>
    <w:rsid w:val="00DF30FD"/>
    <w:rsid w:val="00DF37FD"/>
    <w:rsid w:val="00DF3A52"/>
    <w:rsid w:val="00DF3AC1"/>
    <w:rsid w:val="00DF3B25"/>
    <w:rsid w:val="00DF4A37"/>
    <w:rsid w:val="00DF4DF3"/>
    <w:rsid w:val="00DF711C"/>
    <w:rsid w:val="00DF722B"/>
    <w:rsid w:val="00DF756A"/>
    <w:rsid w:val="00DF7592"/>
    <w:rsid w:val="00E0177F"/>
    <w:rsid w:val="00E019DC"/>
    <w:rsid w:val="00E01AB3"/>
    <w:rsid w:val="00E01ABD"/>
    <w:rsid w:val="00E02E00"/>
    <w:rsid w:val="00E0328B"/>
    <w:rsid w:val="00E03C27"/>
    <w:rsid w:val="00E04BD9"/>
    <w:rsid w:val="00E06DE1"/>
    <w:rsid w:val="00E115C4"/>
    <w:rsid w:val="00E13600"/>
    <w:rsid w:val="00E13D89"/>
    <w:rsid w:val="00E13DF0"/>
    <w:rsid w:val="00E145CF"/>
    <w:rsid w:val="00E14B75"/>
    <w:rsid w:val="00E175AE"/>
    <w:rsid w:val="00E176E6"/>
    <w:rsid w:val="00E178E5"/>
    <w:rsid w:val="00E179AF"/>
    <w:rsid w:val="00E21223"/>
    <w:rsid w:val="00E212A8"/>
    <w:rsid w:val="00E21471"/>
    <w:rsid w:val="00E21724"/>
    <w:rsid w:val="00E21862"/>
    <w:rsid w:val="00E2228B"/>
    <w:rsid w:val="00E23372"/>
    <w:rsid w:val="00E235F3"/>
    <w:rsid w:val="00E23715"/>
    <w:rsid w:val="00E2663B"/>
    <w:rsid w:val="00E26BF3"/>
    <w:rsid w:val="00E27AF3"/>
    <w:rsid w:val="00E27FA2"/>
    <w:rsid w:val="00E301DA"/>
    <w:rsid w:val="00E308AE"/>
    <w:rsid w:val="00E30EE1"/>
    <w:rsid w:val="00E3148F"/>
    <w:rsid w:val="00E31B14"/>
    <w:rsid w:val="00E31E27"/>
    <w:rsid w:val="00E32D68"/>
    <w:rsid w:val="00E336A3"/>
    <w:rsid w:val="00E33858"/>
    <w:rsid w:val="00E33AE8"/>
    <w:rsid w:val="00E347DA"/>
    <w:rsid w:val="00E35121"/>
    <w:rsid w:val="00E375BB"/>
    <w:rsid w:val="00E37904"/>
    <w:rsid w:val="00E37B9D"/>
    <w:rsid w:val="00E4080F"/>
    <w:rsid w:val="00E4132B"/>
    <w:rsid w:val="00E449D2"/>
    <w:rsid w:val="00E4559E"/>
    <w:rsid w:val="00E460A8"/>
    <w:rsid w:val="00E462EE"/>
    <w:rsid w:val="00E473D5"/>
    <w:rsid w:val="00E51D52"/>
    <w:rsid w:val="00E51F3D"/>
    <w:rsid w:val="00E52BE8"/>
    <w:rsid w:val="00E52F2E"/>
    <w:rsid w:val="00E544D5"/>
    <w:rsid w:val="00E54728"/>
    <w:rsid w:val="00E54D69"/>
    <w:rsid w:val="00E55099"/>
    <w:rsid w:val="00E556A8"/>
    <w:rsid w:val="00E56282"/>
    <w:rsid w:val="00E566C6"/>
    <w:rsid w:val="00E56B52"/>
    <w:rsid w:val="00E57301"/>
    <w:rsid w:val="00E6105F"/>
    <w:rsid w:val="00E61259"/>
    <w:rsid w:val="00E613EE"/>
    <w:rsid w:val="00E61423"/>
    <w:rsid w:val="00E615F4"/>
    <w:rsid w:val="00E61CB8"/>
    <w:rsid w:val="00E629F8"/>
    <w:rsid w:val="00E62D2B"/>
    <w:rsid w:val="00E62DEF"/>
    <w:rsid w:val="00E66C8C"/>
    <w:rsid w:val="00E701C8"/>
    <w:rsid w:val="00E70590"/>
    <w:rsid w:val="00E70C75"/>
    <w:rsid w:val="00E720FF"/>
    <w:rsid w:val="00E72C1C"/>
    <w:rsid w:val="00E732F9"/>
    <w:rsid w:val="00E7341B"/>
    <w:rsid w:val="00E73F90"/>
    <w:rsid w:val="00E74313"/>
    <w:rsid w:val="00E74A64"/>
    <w:rsid w:val="00E7562C"/>
    <w:rsid w:val="00E76D05"/>
    <w:rsid w:val="00E76F77"/>
    <w:rsid w:val="00E770D7"/>
    <w:rsid w:val="00E772D9"/>
    <w:rsid w:val="00E77F40"/>
    <w:rsid w:val="00E8158A"/>
    <w:rsid w:val="00E81D77"/>
    <w:rsid w:val="00E821DF"/>
    <w:rsid w:val="00E825CD"/>
    <w:rsid w:val="00E829CF"/>
    <w:rsid w:val="00E831DC"/>
    <w:rsid w:val="00E84A91"/>
    <w:rsid w:val="00E8518F"/>
    <w:rsid w:val="00E85FA4"/>
    <w:rsid w:val="00E870D3"/>
    <w:rsid w:val="00E87489"/>
    <w:rsid w:val="00E87750"/>
    <w:rsid w:val="00E900A3"/>
    <w:rsid w:val="00E900A5"/>
    <w:rsid w:val="00E90613"/>
    <w:rsid w:val="00E92B75"/>
    <w:rsid w:val="00E92F57"/>
    <w:rsid w:val="00E93254"/>
    <w:rsid w:val="00E93999"/>
    <w:rsid w:val="00E939A2"/>
    <w:rsid w:val="00E94751"/>
    <w:rsid w:val="00E94FA9"/>
    <w:rsid w:val="00E958CD"/>
    <w:rsid w:val="00E95CD7"/>
    <w:rsid w:val="00E9609D"/>
    <w:rsid w:val="00E96BE2"/>
    <w:rsid w:val="00EA0342"/>
    <w:rsid w:val="00EA0450"/>
    <w:rsid w:val="00EA0AAB"/>
    <w:rsid w:val="00EA11C1"/>
    <w:rsid w:val="00EA18B7"/>
    <w:rsid w:val="00EA18FB"/>
    <w:rsid w:val="00EA2BD1"/>
    <w:rsid w:val="00EA3314"/>
    <w:rsid w:val="00EA3C07"/>
    <w:rsid w:val="00EA411C"/>
    <w:rsid w:val="00EA4ED0"/>
    <w:rsid w:val="00EA5388"/>
    <w:rsid w:val="00EA786F"/>
    <w:rsid w:val="00EB013D"/>
    <w:rsid w:val="00EB086A"/>
    <w:rsid w:val="00EB0BB4"/>
    <w:rsid w:val="00EB0C2D"/>
    <w:rsid w:val="00EB1684"/>
    <w:rsid w:val="00EB1CEE"/>
    <w:rsid w:val="00EB3124"/>
    <w:rsid w:val="00EB3E8A"/>
    <w:rsid w:val="00EB4F4B"/>
    <w:rsid w:val="00EB55B1"/>
    <w:rsid w:val="00EB6DA2"/>
    <w:rsid w:val="00EC0EB2"/>
    <w:rsid w:val="00EC121B"/>
    <w:rsid w:val="00EC17C7"/>
    <w:rsid w:val="00EC1D7C"/>
    <w:rsid w:val="00EC214D"/>
    <w:rsid w:val="00EC26EA"/>
    <w:rsid w:val="00EC3CB0"/>
    <w:rsid w:val="00EC4C99"/>
    <w:rsid w:val="00EC5230"/>
    <w:rsid w:val="00EC59B2"/>
    <w:rsid w:val="00EC5B7E"/>
    <w:rsid w:val="00EC68AE"/>
    <w:rsid w:val="00EC69CA"/>
    <w:rsid w:val="00EC75FF"/>
    <w:rsid w:val="00ED0139"/>
    <w:rsid w:val="00ED021F"/>
    <w:rsid w:val="00ED02CA"/>
    <w:rsid w:val="00ED05C7"/>
    <w:rsid w:val="00ED064C"/>
    <w:rsid w:val="00ED0DB9"/>
    <w:rsid w:val="00ED18D7"/>
    <w:rsid w:val="00ED2107"/>
    <w:rsid w:val="00ED258F"/>
    <w:rsid w:val="00ED388C"/>
    <w:rsid w:val="00ED510E"/>
    <w:rsid w:val="00ED53B5"/>
    <w:rsid w:val="00ED6B01"/>
    <w:rsid w:val="00ED6B84"/>
    <w:rsid w:val="00ED7495"/>
    <w:rsid w:val="00ED7946"/>
    <w:rsid w:val="00EE0665"/>
    <w:rsid w:val="00EE11CA"/>
    <w:rsid w:val="00EE129E"/>
    <w:rsid w:val="00EE2E45"/>
    <w:rsid w:val="00EE3249"/>
    <w:rsid w:val="00EE3616"/>
    <w:rsid w:val="00EE3701"/>
    <w:rsid w:val="00EE5261"/>
    <w:rsid w:val="00EE583C"/>
    <w:rsid w:val="00EE5A44"/>
    <w:rsid w:val="00EE6BEE"/>
    <w:rsid w:val="00EE7F8E"/>
    <w:rsid w:val="00EF03A4"/>
    <w:rsid w:val="00EF0A05"/>
    <w:rsid w:val="00EF10BC"/>
    <w:rsid w:val="00EF126D"/>
    <w:rsid w:val="00EF140E"/>
    <w:rsid w:val="00EF26B7"/>
    <w:rsid w:val="00EF3B04"/>
    <w:rsid w:val="00EF421C"/>
    <w:rsid w:val="00EF6125"/>
    <w:rsid w:val="00EF65BF"/>
    <w:rsid w:val="00EF6F15"/>
    <w:rsid w:val="00F01B21"/>
    <w:rsid w:val="00F0256D"/>
    <w:rsid w:val="00F03CDF"/>
    <w:rsid w:val="00F03F6A"/>
    <w:rsid w:val="00F046CA"/>
    <w:rsid w:val="00F0528A"/>
    <w:rsid w:val="00F05684"/>
    <w:rsid w:val="00F069DF"/>
    <w:rsid w:val="00F069E4"/>
    <w:rsid w:val="00F07F1F"/>
    <w:rsid w:val="00F1130C"/>
    <w:rsid w:val="00F125B4"/>
    <w:rsid w:val="00F12882"/>
    <w:rsid w:val="00F13F66"/>
    <w:rsid w:val="00F1417E"/>
    <w:rsid w:val="00F1646E"/>
    <w:rsid w:val="00F1657F"/>
    <w:rsid w:val="00F16722"/>
    <w:rsid w:val="00F16E76"/>
    <w:rsid w:val="00F16F10"/>
    <w:rsid w:val="00F20070"/>
    <w:rsid w:val="00F20712"/>
    <w:rsid w:val="00F21BED"/>
    <w:rsid w:val="00F21DDB"/>
    <w:rsid w:val="00F224D3"/>
    <w:rsid w:val="00F2267F"/>
    <w:rsid w:val="00F22DBB"/>
    <w:rsid w:val="00F24109"/>
    <w:rsid w:val="00F25C4D"/>
    <w:rsid w:val="00F25EBB"/>
    <w:rsid w:val="00F260CF"/>
    <w:rsid w:val="00F266C1"/>
    <w:rsid w:val="00F268C5"/>
    <w:rsid w:val="00F26B1D"/>
    <w:rsid w:val="00F30118"/>
    <w:rsid w:val="00F30433"/>
    <w:rsid w:val="00F304A9"/>
    <w:rsid w:val="00F310EE"/>
    <w:rsid w:val="00F32052"/>
    <w:rsid w:val="00F32431"/>
    <w:rsid w:val="00F32FF5"/>
    <w:rsid w:val="00F336FD"/>
    <w:rsid w:val="00F337C5"/>
    <w:rsid w:val="00F33C5F"/>
    <w:rsid w:val="00F34C0D"/>
    <w:rsid w:val="00F34F99"/>
    <w:rsid w:val="00F369DB"/>
    <w:rsid w:val="00F36C9E"/>
    <w:rsid w:val="00F36D3A"/>
    <w:rsid w:val="00F36DDA"/>
    <w:rsid w:val="00F37535"/>
    <w:rsid w:val="00F37C48"/>
    <w:rsid w:val="00F37D14"/>
    <w:rsid w:val="00F37FC9"/>
    <w:rsid w:val="00F40193"/>
    <w:rsid w:val="00F40449"/>
    <w:rsid w:val="00F405B6"/>
    <w:rsid w:val="00F40727"/>
    <w:rsid w:val="00F41DBB"/>
    <w:rsid w:val="00F41EDE"/>
    <w:rsid w:val="00F421E4"/>
    <w:rsid w:val="00F42927"/>
    <w:rsid w:val="00F446E1"/>
    <w:rsid w:val="00F44837"/>
    <w:rsid w:val="00F46634"/>
    <w:rsid w:val="00F46996"/>
    <w:rsid w:val="00F46C8E"/>
    <w:rsid w:val="00F473E1"/>
    <w:rsid w:val="00F47941"/>
    <w:rsid w:val="00F50959"/>
    <w:rsid w:val="00F50D64"/>
    <w:rsid w:val="00F52142"/>
    <w:rsid w:val="00F52698"/>
    <w:rsid w:val="00F5274F"/>
    <w:rsid w:val="00F53D44"/>
    <w:rsid w:val="00F54984"/>
    <w:rsid w:val="00F54F14"/>
    <w:rsid w:val="00F560AB"/>
    <w:rsid w:val="00F56CF6"/>
    <w:rsid w:val="00F60311"/>
    <w:rsid w:val="00F604F3"/>
    <w:rsid w:val="00F607AF"/>
    <w:rsid w:val="00F6132C"/>
    <w:rsid w:val="00F63556"/>
    <w:rsid w:val="00F63750"/>
    <w:rsid w:val="00F65B32"/>
    <w:rsid w:val="00F66587"/>
    <w:rsid w:val="00F67B9A"/>
    <w:rsid w:val="00F70613"/>
    <w:rsid w:val="00F70BF0"/>
    <w:rsid w:val="00F70D21"/>
    <w:rsid w:val="00F712AE"/>
    <w:rsid w:val="00F71AC6"/>
    <w:rsid w:val="00F71F1A"/>
    <w:rsid w:val="00F7237D"/>
    <w:rsid w:val="00F7241C"/>
    <w:rsid w:val="00F7256B"/>
    <w:rsid w:val="00F72F9E"/>
    <w:rsid w:val="00F741DB"/>
    <w:rsid w:val="00F745D1"/>
    <w:rsid w:val="00F74A78"/>
    <w:rsid w:val="00F76299"/>
    <w:rsid w:val="00F7665C"/>
    <w:rsid w:val="00F76A98"/>
    <w:rsid w:val="00F77CF0"/>
    <w:rsid w:val="00F80470"/>
    <w:rsid w:val="00F80ECB"/>
    <w:rsid w:val="00F8105E"/>
    <w:rsid w:val="00F81CF0"/>
    <w:rsid w:val="00F83BF2"/>
    <w:rsid w:val="00F83EA7"/>
    <w:rsid w:val="00F848B0"/>
    <w:rsid w:val="00F84F63"/>
    <w:rsid w:val="00F85F4F"/>
    <w:rsid w:val="00F86921"/>
    <w:rsid w:val="00F86F31"/>
    <w:rsid w:val="00F87D6C"/>
    <w:rsid w:val="00F90071"/>
    <w:rsid w:val="00F90E6A"/>
    <w:rsid w:val="00F91126"/>
    <w:rsid w:val="00F9168A"/>
    <w:rsid w:val="00F916D1"/>
    <w:rsid w:val="00F92B71"/>
    <w:rsid w:val="00F92D40"/>
    <w:rsid w:val="00F92D54"/>
    <w:rsid w:val="00F93359"/>
    <w:rsid w:val="00F96679"/>
    <w:rsid w:val="00F967D5"/>
    <w:rsid w:val="00F96C73"/>
    <w:rsid w:val="00F96E71"/>
    <w:rsid w:val="00F96E73"/>
    <w:rsid w:val="00F9775A"/>
    <w:rsid w:val="00FA33D8"/>
    <w:rsid w:val="00FA3428"/>
    <w:rsid w:val="00FA3F71"/>
    <w:rsid w:val="00FA4FE6"/>
    <w:rsid w:val="00FA60A0"/>
    <w:rsid w:val="00FA60AE"/>
    <w:rsid w:val="00FA61CE"/>
    <w:rsid w:val="00FA635E"/>
    <w:rsid w:val="00FA736A"/>
    <w:rsid w:val="00FA7784"/>
    <w:rsid w:val="00FB01E8"/>
    <w:rsid w:val="00FB1805"/>
    <w:rsid w:val="00FB18C4"/>
    <w:rsid w:val="00FB1BD3"/>
    <w:rsid w:val="00FB1F44"/>
    <w:rsid w:val="00FB27D5"/>
    <w:rsid w:val="00FB33D1"/>
    <w:rsid w:val="00FB4024"/>
    <w:rsid w:val="00FB51C2"/>
    <w:rsid w:val="00FB5C42"/>
    <w:rsid w:val="00FB6250"/>
    <w:rsid w:val="00FB65E9"/>
    <w:rsid w:val="00FB666C"/>
    <w:rsid w:val="00FB68B2"/>
    <w:rsid w:val="00FB6FA0"/>
    <w:rsid w:val="00FB7103"/>
    <w:rsid w:val="00FB77C9"/>
    <w:rsid w:val="00FC0AD3"/>
    <w:rsid w:val="00FC1418"/>
    <w:rsid w:val="00FC1941"/>
    <w:rsid w:val="00FC234B"/>
    <w:rsid w:val="00FC2C58"/>
    <w:rsid w:val="00FC353B"/>
    <w:rsid w:val="00FC4D70"/>
    <w:rsid w:val="00FC56B2"/>
    <w:rsid w:val="00FD0311"/>
    <w:rsid w:val="00FD09F7"/>
    <w:rsid w:val="00FD2048"/>
    <w:rsid w:val="00FD20E8"/>
    <w:rsid w:val="00FD26B3"/>
    <w:rsid w:val="00FD2855"/>
    <w:rsid w:val="00FD35DD"/>
    <w:rsid w:val="00FD4948"/>
    <w:rsid w:val="00FD58B3"/>
    <w:rsid w:val="00FE0966"/>
    <w:rsid w:val="00FE1985"/>
    <w:rsid w:val="00FE5195"/>
    <w:rsid w:val="00FE61FD"/>
    <w:rsid w:val="00FE6AC6"/>
    <w:rsid w:val="00FE6D84"/>
    <w:rsid w:val="00FE7226"/>
    <w:rsid w:val="00FE7350"/>
    <w:rsid w:val="00FF0B64"/>
    <w:rsid w:val="00FF0BF3"/>
    <w:rsid w:val="00FF1040"/>
    <w:rsid w:val="00FF135C"/>
    <w:rsid w:val="00FF1E94"/>
    <w:rsid w:val="00FF2191"/>
    <w:rsid w:val="00FF443B"/>
    <w:rsid w:val="00FF47DD"/>
    <w:rsid w:val="00FF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14:docId w14:val="3E54FAF6"/>
  <w15:chartTrackingRefBased/>
  <w15:docId w15:val="{C1C1F59D-9830-46F9-9A6C-312702D4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656"/>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aliases w:val="Comment Text Char1 Char,Comment Text Char Char Char,Comment Text Char1,Annotationtext"/>
    <w:basedOn w:val="Normal"/>
    <w:link w:val="CommentTextChar"/>
    <w:uiPriority w:val="99"/>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3"/>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PlainText">
    <w:name w:val="Plain Text"/>
    <w:basedOn w:val="Normal"/>
    <w:pPr>
      <w:tabs>
        <w:tab w:val="clear" w:pos="567"/>
      </w:tabs>
      <w:spacing w:line="240" w:lineRule="auto"/>
    </w:pPr>
    <w:rPr>
      <w:rFonts w:ascii="Courier New" w:hAnsi="Courier New"/>
      <w:sz w:val="20"/>
      <w:lang w:val="en-AU"/>
    </w:rPr>
  </w:style>
  <w:style w:type="character" w:customStyle="1" w:styleId="EndnoteTextChar">
    <w:name w:val="Endnote Text Char"/>
    <w:link w:val="EndnoteText"/>
    <w:rsid w:val="00F96C73"/>
    <w:rPr>
      <w:sz w:val="22"/>
      <w:lang w:val="en-GB" w:eastAsia="en-US" w:bidi="ar-SA"/>
    </w:rPr>
  </w:style>
  <w:style w:type="paragraph" w:styleId="EndnoteText">
    <w:name w:val="endnote text"/>
    <w:basedOn w:val="Normal"/>
    <w:link w:val="EndnoteTextChar"/>
    <w:semiHidden/>
    <w:pPr>
      <w:spacing w:line="240" w:lineRule="auto"/>
    </w:pPr>
  </w:style>
  <w:style w:type="paragraph" w:customStyle="1" w:styleId="Text">
    <w:name w:val="Text"/>
    <w:basedOn w:val="Normal"/>
    <w:pPr>
      <w:tabs>
        <w:tab w:val="clear" w:pos="567"/>
      </w:tabs>
      <w:spacing w:before="120" w:line="240" w:lineRule="auto"/>
      <w:jc w:val="both"/>
    </w:pPr>
    <w:rPr>
      <w:sz w:val="24"/>
      <w:lang w:val="en-US"/>
    </w:rPr>
  </w:style>
  <w:style w:type="character" w:customStyle="1" w:styleId="TextChar">
    <w:name w:val="Text Char"/>
    <w:rPr>
      <w:noProof w:val="0"/>
      <w:sz w:val="24"/>
      <w:lang w:val="en-US" w:eastAsia="en-US" w:bidi="ar-SA"/>
    </w:rPr>
  </w:style>
  <w:style w:type="paragraph" w:styleId="CommentSubject">
    <w:name w:val="annotation subject"/>
    <w:basedOn w:val="CommentText"/>
    <w:next w:val="CommentText"/>
    <w:semiHidden/>
    <w:rPr>
      <w:b/>
      <w:bCs/>
    </w:rPr>
  </w:style>
  <w:style w:type="paragraph" w:customStyle="1" w:styleId="Table">
    <w:name w:val="Table"/>
    <w:basedOn w:val="Normal"/>
    <w:pPr>
      <w:keepNext/>
      <w:keepLines/>
      <w:tabs>
        <w:tab w:val="clear" w:pos="567"/>
        <w:tab w:val="left" w:pos="284"/>
      </w:tabs>
      <w:spacing w:before="40" w:after="20" w:line="240" w:lineRule="auto"/>
    </w:pPr>
    <w:rPr>
      <w:rFonts w:ascii="Arial" w:hAnsi="Arial"/>
      <w:sz w:val="20"/>
      <w:lang w:val="en-US"/>
    </w:rPr>
  </w:style>
  <w:style w:type="character" w:customStyle="1" w:styleId="TableChar">
    <w:name w:val="Table Char"/>
    <w:rPr>
      <w:rFonts w:ascii="Arial" w:hAnsi="Arial"/>
      <w:noProof w:val="0"/>
      <w:lang w:val="en-US" w:eastAsia="en-US" w:bidi="ar-SA"/>
    </w:rPr>
  </w:style>
  <w:style w:type="paragraph" w:customStyle="1" w:styleId="Listlevel1">
    <w:name w:val="List level 1"/>
    <w:basedOn w:val="Normal"/>
    <w:pPr>
      <w:tabs>
        <w:tab w:val="clear" w:pos="567"/>
      </w:tabs>
      <w:spacing w:before="40" w:after="20" w:line="240" w:lineRule="auto"/>
      <w:ind w:left="425" w:hanging="425"/>
    </w:pPr>
    <w:rPr>
      <w:sz w:val="24"/>
      <w:lang w:val="en-US"/>
    </w:rPr>
  </w:style>
  <w:style w:type="character" w:customStyle="1" w:styleId="Char">
    <w:name w:val="Char"/>
    <w:rsid w:val="00C065B5"/>
    <w:rPr>
      <w:sz w:val="22"/>
      <w:lang w:val="en-GB" w:eastAsia="en-US" w:bidi="ar-SA"/>
    </w:rPr>
  </w:style>
  <w:style w:type="paragraph" w:customStyle="1" w:styleId="Listlevel2">
    <w:name w:val="List level 2"/>
    <w:basedOn w:val="Normal"/>
    <w:rsid w:val="00AB1A71"/>
    <w:pPr>
      <w:tabs>
        <w:tab w:val="clear" w:pos="567"/>
      </w:tabs>
      <w:spacing w:before="40" w:after="20" w:line="240" w:lineRule="auto"/>
      <w:ind w:left="850" w:hanging="425"/>
    </w:pPr>
    <w:rPr>
      <w:sz w:val="24"/>
      <w:lang w:val="en-US"/>
    </w:rPr>
  </w:style>
  <w:style w:type="table" w:styleId="TableGrid">
    <w:name w:val="Table Grid"/>
    <w:basedOn w:val="TableNormal"/>
    <w:rsid w:val="000B0D28"/>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harCharChar">
    <w:name w:val="Style Char Char Char"/>
    <w:basedOn w:val="Normal"/>
    <w:rsid w:val="003B7562"/>
    <w:pPr>
      <w:tabs>
        <w:tab w:val="clear" w:pos="567"/>
      </w:tabs>
      <w:spacing w:after="160" w:line="240" w:lineRule="exact"/>
    </w:pPr>
    <w:rPr>
      <w:rFonts w:ascii="Verdana" w:hAnsi="Verdana" w:cs="Verdana"/>
      <w:sz w:val="20"/>
    </w:rPr>
  </w:style>
  <w:style w:type="paragraph" w:customStyle="1" w:styleId="Nottoc-headings">
    <w:name w:val="Not toc-headings"/>
    <w:basedOn w:val="Normal"/>
    <w:next w:val="Text"/>
    <w:link w:val="Nottoc-headingsChar"/>
    <w:rsid w:val="00EA411C"/>
    <w:pPr>
      <w:keepNext/>
      <w:keepLines/>
      <w:tabs>
        <w:tab w:val="clear" w:pos="567"/>
      </w:tabs>
      <w:spacing w:before="240" w:after="60" w:line="240" w:lineRule="auto"/>
      <w:ind w:left="1701" w:hanging="1701"/>
    </w:pPr>
    <w:rPr>
      <w:rFonts w:ascii="Arial" w:hAnsi="Arial"/>
      <w:b/>
      <w:sz w:val="24"/>
      <w:lang w:val="en-US"/>
    </w:rPr>
  </w:style>
  <w:style w:type="character" w:customStyle="1" w:styleId="Nottoc-headingsChar">
    <w:name w:val="Not toc-headings Char"/>
    <w:link w:val="Nottoc-headings"/>
    <w:rsid w:val="00EA411C"/>
    <w:rPr>
      <w:rFonts w:ascii="Arial" w:hAnsi="Arial"/>
      <w:b/>
      <w:sz w:val="24"/>
      <w:lang w:val="en-US" w:eastAsia="en-US" w:bidi="ar-SA"/>
    </w:rPr>
  </w:style>
  <w:style w:type="paragraph" w:customStyle="1" w:styleId="CharCharCharCharCharChar">
    <w:name w:val="Char Char Char Char Char Char"/>
    <w:basedOn w:val="Normal"/>
    <w:rsid w:val="009518F1"/>
    <w:pPr>
      <w:tabs>
        <w:tab w:val="clear" w:pos="567"/>
      </w:tabs>
      <w:spacing w:after="160" w:line="240" w:lineRule="exact"/>
    </w:pPr>
    <w:rPr>
      <w:rFonts w:ascii="Tahoma" w:eastAsia="MS Mincho" w:hAnsi="Tahoma"/>
      <w:sz w:val="20"/>
      <w:lang w:val="en-US"/>
    </w:rPr>
  </w:style>
  <w:style w:type="paragraph" w:customStyle="1" w:styleId="CharCharCharCharChar1CharCharCharCharCharCharCharCharChar">
    <w:name w:val="Char Char Char Char Char1 Char Char Char Char Char Char Char Char Char"/>
    <w:basedOn w:val="Normal"/>
    <w:rsid w:val="00C67A3B"/>
    <w:pPr>
      <w:tabs>
        <w:tab w:val="clear" w:pos="567"/>
      </w:tabs>
      <w:spacing w:after="160" w:line="240" w:lineRule="exact"/>
    </w:pPr>
    <w:rPr>
      <w:rFonts w:ascii="Tahoma" w:hAnsi="Tahoma"/>
      <w:sz w:val="20"/>
      <w:lang w:val="en-US"/>
    </w:rPr>
  </w:style>
  <w:style w:type="paragraph" w:customStyle="1" w:styleId="CharChar1">
    <w:name w:val="Char Char1"/>
    <w:basedOn w:val="Normal"/>
    <w:rsid w:val="00933F2C"/>
    <w:pPr>
      <w:tabs>
        <w:tab w:val="clear" w:pos="567"/>
      </w:tabs>
      <w:spacing w:after="160" w:line="240" w:lineRule="exact"/>
    </w:pPr>
    <w:rPr>
      <w:rFonts w:ascii="Tahoma" w:eastAsia="MS Mincho" w:hAnsi="Tahoma"/>
      <w:sz w:val="20"/>
      <w:lang w:val="en-US"/>
    </w:rPr>
  </w:style>
  <w:style w:type="character" w:styleId="Emphasis">
    <w:name w:val="Emphasis"/>
    <w:uiPriority w:val="20"/>
    <w:qFormat/>
    <w:rsid w:val="0085027A"/>
    <w:rPr>
      <w:b/>
      <w:bCs/>
      <w:i w:val="0"/>
      <w:iCs w:val="0"/>
    </w:rPr>
  </w:style>
  <w:style w:type="paragraph" w:customStyle="1" w:styleId="Style">
    <w:name w:val="Style"/>
    <w:basedOn w:val="Normal"/>
    <w:rsid w:val="00956C5D"/>
    <w:pPr>
      <w:tabs>
        <w:tab w:val="clear" w:pos="567"/>
      </w:tabs>
      <w:spacing w:after="160" w:line="240" w:lineRule="exact"/>
    </w:pPr>
    <w:rPr>
      <w:rFonts w:ascii="Verdana" w:hAnsi="Verdana" w:cs="Verdana"/>
      <w:sz w:val="20"/>
    </w:rPr>
  </w:style>
  <w:style w:type="character" w:customStyle="1" w:styleId="CommentTextChar">
    <w:name w:val="Comment Text Char"/>
    <w:aliases w:val="Comment Text Char1 Char Char,Comment Text Char Char Char Char,Comment Text Char1 Char1,Annotationtext Char"/>
    <w:link w:val="CommentText"/>
    <w:uiPriority w:val="99"/>
    <w:rsid w:val="00AA4B3B"/>
    <w:rPr>
      <w:lang w:val="en-GB" w:eastAsia="en-US" w:bidi="ar-SA"/>
    </w:rPr>
  </w:style>
  <w:style w:type="character" w:customStyle="1" w:styleId="CharChar27">
    <w:name w:val="Char Char27"/>
    <w:semiHidden/>
    <w:rsid w:val="00552473"/>
    <w:rPr>
      <w:lang w:val="en-GB" w:eastAsia="en-US" w:bidi="ar-SA"/>
    </w:rPr>
  </w:style>
  <w:style w:type="paragraph" w:styleId="TOC1">
    <w:name w:val="toc 1"/>
    <w:basedOn w:val="Normal"/>
    <w:next w:val="Normal"/>
    <w:autoRedefine/>
    <w:semiHidden/>
    <w:rsid w:val="00426F49"/>
    <w:pPr>
      <w:numPr>
        <w:numId w:val="35"/>
      </w:numPr>
      <w:tabs>
        <w:tab w:val="clear" w:pos="720"/>
        <w:tab w:val="num" w:pos="567"/>
      </w:tabs>
      <w:ind w:left="567" w:hanging="567"/>
    </w:pPr>
    <w:rPr>
      <w:b/>
      <w:noProof/>
      <w:snapToGrid w:val="0"/>
      <w:lang w:val="bg-BG"/>
    </w:rPr>
  </w:style>
  <w:style w:type="paragraph" w:styleId="Revision">
    <w:name w:val="Revision"/>
    <w:hidden/>
    <w:uiPriority w:val="99"/>
    <w:semiHidden/>
    <w:rsid w:val="00426F49"/>
    <w:rPr>
      <w:sz w:val="22"/>
      <w:lang w:eastAsia="en-US"/>
    </w:rPr>
  </w:style>
  <w:style w:type="character" w:customStyle="1" w:styleId="st1">
    <w:name w:val="st1"/>
    <w:rsid w:val="009F5149"/>
  </w:style>
  <w:style w:type="paragraph" w:customStyle="1" w:styleId="BodytextAgency">
    <w:name w:val="Body text (Agency)"/>
    <w:basedOn w:val="Normal"/>
    <w:link w:val="BodytextAgencyChar"/>
    <w:qFormat/>
    <w:rsid w:val="009B3A2B"/>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qFormat/>
    <w:locked/>
    <w:rsid w:val="009B3A2B"/>
    <w:rPr>
      <w:rFonts w:ascii="Verdana" w:eastAsia="Verdana" w:hAnsi="Verdana" w:cs="Verdana"/>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566">
      <w:bodyDiv w:val="1"/>
      <w:marLeft w:val="0"/>
      <w:marRight w:val="0"/>
      <w:marTop w:val="0"/>
      <w:marBottom w:val="0"/>
      <w:divBdr>
        <w:top w:val="none" w:sz="0" w:space="0" w:color="auto"/>
        <w:left w:val="none" w:sz="0" w:space="0" w:color="auto"/>
        <w:bottom w:val="none" w:sz="0" w:space="0" w:color="auto"/>
        <w:right w:val="none" w:sz="0" w:space="0" w:color="auto"/>
      </w:divBdr>
      <w:divsChild>
        <w:div w:id="509294379">
          <w:marLeft w:val="0"/>
          <w:marRight w:val="0"/>
          <w:marTop w:val="0"/>
          <w:marBottom w:val="0"/>
          <w:divBdr>
            <w:top w:val="none" w:sz="0" w:space="0" w:color="auto"/>
            <w:left w:val="none" w:sz="0" w:space="0" w:color="auto"/>
            <w:bottom w:val="none" w:sz="0" w:space="0" w:color="auto"/>
            <w:right w:val="none" w:sz="0" w:space="0" w:color="auto"/>
          </w:divBdr>
          <w:divsChild>
            <w:div w:id="86123063">
              <w:marLeft w:val="0"/>
              <w:marRight w:val="0"/>
              <w:marTop w:val="0"/>
              <w:marBottom w:val="0"/>
              <w:divBdr>
                <w:top w:val="none" w:sz="0" w:space="0" w:color="auto"/>
                <w:left w:val="none" w:sz="0" w:space="0" w:color="auto"/>
                <w:bottom w:val="none" w:sz="0" w:space="0" w:color="auto"/>
                <w:right w:val="none" w:sz="0" w:space="0" w:color="auto"/>
              </w:divBdr>
              <w:divsChild>
                <w:div w:id="1218585069">
                  <w:marLeft w:val="0"/>
                  <w:marRight w:val="0"/>
                  <w:marTop w:val="0"/>
                  <w:marBottom w:val="0"/>
                  <w:divBdr>
                    <w:top w:val="none" w:sz="0" w:space="0" w:color="auto"/>
                    <w:left w:val="none" w:sz="0" w:space="0" w:color="auto"/>
                    <w:bottom w:val="none" w:sz="0" w:space="0" w:color="auto"/>
                    <w:right w:val="none" w:sz="0" w:space="0" w:color="auto"/>
                  </w:divBdr>
                  <w:divsChild>
                    <w:div w:id="1563835651">
                      <w:marLeft w:val="0"/>
                      <w:marRight w:val="0"/>
                      <w:marTop w:val="0"/>
                      <w:marBottom w:val="0"/>
                      <w:divBdr>
                        <w:top w:val="none" w:sz="0" w:space="0" w:color="auto"/>
                        <w:left w:val="none" w:sz="0" w:space="0" w:color="auto"/>
                        <w:bottom w:val="none" w:sz="0" w:space="0" w:color="auto"/>
                        <w:right w:val="none" w:sz="0" w:space="0" w:color="auto"/>
                      </w:divBdr>
                      <w:divsChild>
                        <w:div w:id="961573281">
                          <w:marLeft w:val="0"/>
                          <w:marRight w:val="0"/>
                          <w:marTop w:val="0"/>
                          <w:marBottom w:val="0"/>
                          <w:divBdr>
                            <w:top w:val="none" w:sz="0" w:space="0" w:color="auto"/>
                            <w:left w:val="none" w:sz="0" w:space="0" w:color="auto"/>
                            <w:bottom w:val="none" w:sz="0" w:space="0" w:color="auto"/>
                            <w:right w:val="none" w:sz="0" w:space="0" w:color="auto"/>
                          </w:divBdr>
                          <w:divsChild>
                            <w:div w:id="1372533305">
                              <w:marLeft w:val="0"/>
                              <w:marRight w:val="0"/>
                              <w:marTop w:val="0"/>
                              <w:marBottom w:val="0"/>
                              <w:divBdr>
                                <w:top w:val="none" w:sz="0" w:space="0" w:color="auto"/>
                                <w:left w:val="none" w:sz="0" w:space="0" w:color="auto"/>
                                <w:bottom w:val="none" w:sz="0" w:space="0" w:color="auto"/>
                                <w:right w:val="none" w:sz="0" w:space="0" w:color="auto"/>
                              </w:divBdr>
                              <w:divsChild>
                                <w:div w:id="790781547">
                                  <w:marLeft w:val="0"/>
                                  <w:marRight w:val="0"/>
                                  <w:marTop w:val="0"/>
                                  <w:marBottom w:val="0"/>
                                  <w:divBdr>
                                    <w:top w:val="none" w:sz="0" w:space="0" w:color="auto"/>
                                    <w:left w:val="none" w:sz="0" w:space="0" w:color="auto"/>
                                    <w:bottom w:val="none" w:sz="0" w:space="0" w:color="auto"/>
                                    <w:right w:val="none" w:sz="0" w:space="0" w:color="auto"/>
                                  </w:divBdr>
                                  <w:divsChild>
                                    <w:div w:id="78988778">
                                      <w:marLeft w:val="0"/>
                                      <w:marRight w:val="0"/>
                                      <w:marTop w:val="0"/>
                                      <w:marBottom w:val="0"/>
                                      <w:divBdr>
                                        <w:top w:val="none" w:sz="0" w:space="0" w:color="auto"/>
                                        <w:left w:val="none" w:sz="0" w:space="0" w:color="auto"/>
                                        <w:bottom w:val="none" w:sz="0" w:space="0" w:color="auto"/>
                                        <w:right w:val="none" w:sz="0" w:space="0" w:color="auto"/>
                                      </w:divBdr>
                                      <w:divsChild>
                                        <w:div w:id="1134635057">
                                          <w:marLeft w:val="0"/>
                                          <w:marRight w:val="0"/>
                                          <w:marTop w:val="0"/>
                                          <w:marBottom w:val="0"/>
                                          <w:divBdr>
                                            <w:top w:val="none" w:sz="0" w:space="0" w:color="auto"/>
                                            <w:left w:val="none" w:sz="0" w:space="0" w:color="auto"/>
                                            <w:bottom w:val="none" w:sz="0" w:space="0" w:color="auto"/>
                                            <w:right w:val="none" w:sz="0" w:space="0" w:color="auto"/>
                                          </w:divBdr>
                                          <w:divsChild>
                                            <w:div w:id="1952591383">
                                              <w:marLeft w:val="0"/>
                                              <w:marRight w:val="0"/>
                                              <w:marTop w:val="0"/>
                                              <w:marBottom w:val="495"/>
                                              <w:divBdr>
                                                <w:top w:val="none" w:sz="0" w:space="0" w:color="auto"/>
                                                <w:left w:val="none" w:sz="0" w:space="0" w:color="auto"/>
                                                <w:bottom w:val="none" w:sz="0" w:space="0" w:color="auto"/>
                                                <w:right w:val="none" w:sz="0" w:space="0" w:color="auto"/>
                                              </w:divBdr>
                                              <w:divsChild>
                                                <w:div w:id="20929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5623910">
      <w:bodyDiv w:val="1"/>
      <w:marLeft w:val="0"/>
      <w:marRight w:val="0"/>
      <w:marTop w:val="0"/>
      <w:marBottom w:val="0"/>
      <w:divBdr>
        <w:top w:val="none" w:sz="0" w:space="0" w:color="auto"/>
        <w:left w:val="none" w:sz="0" w:space="0" w:color="auto"/>
        <w:bottom w:val="none" w:sz="0" w:space="0" w:color="auto"/>
        <w:right w:val="none" w:sz="0" w:space="0" w:color="auto"/>
      </w:divBdr>
      <w:divsChild>
        <w:div w:id="689525229">
          <w:marLeft w:val="0"/>
          <w:marRight w:val="0"/>
          <w:marTop w:val="0"/>
          <w:marBottom w:val="0"/>
          <w:divBdr>
            <w:top w:val="none" w:sz="0" w:space="0" w:color="auto"/>
            <w:left w:val="none" w:sz="0" w:space="0" w:color="auto"/>
            <w:bottom w:val="none" w:sz="0" w:space="0" w:color="auto"/>
            <w:right w:val="none" w:sz="0" w:space="0" w:color="auto"/>
          </w:divBdr>
          <w:divsChild>
            <w:div w:id="1220245216">
              <w:marLeft w:val="0"/>
              <w:marRight w:val="0"/>
              <w:marTop w:val="0"/>
              <w:marBottom w:val="0"/>
              <w:divBdr>
                <w:top w:val="none" w:sz="0" w:space="0" w:color="auto"/>
                <w:left w:val="none" w:sz="0" w:space="0" w:color="auto"/>
                <w:bottom w:val="none" w:sz="0" w:space="0" w:color="auto"/>
                <w:right w:val="none" w:sz="0" w:space="0" w:color="auto"/>
              </w:divBdr>
              <w:divsChild>
                <w:div w:id="493305532">
                  <w:marLeft w:val="0"/>
                  <w:marRight w:val="0"/>
                  <w:marTop w:val="0"/>
                  <w:marBottom w:val="0"/>
                  <w:divBdr>
                    <w:top w:val="none" w:sz="0" w:space="0" w:color="auto"/>
                    <w:left w:val="none" w:sz="0" w:space="0" w:color="auto"/>
                    <w:bottom w:val="none" w:sz="0" w:space="0" w:color="auto"/>
                    <w:right w:val="none" w:sz="0" w:space="0" w:color="auto"/>
                  </w:divBdr>
                  <w:divsChild>
                    <w:div w:id="610867746">
                      <w:marLeft w:val="0"/>
                      <w:marRight w:val="0"/>
                      <w:marTop w:val="0"/>
                      <w:marBottom w:val="0"/>
                      <w:divBdr>
                        <w:top w:val="none" w:sz="0" w:space="0" w:color="auto"/>
                        <w:left w:val="none" w:sz="0" w:space="0" w:color="auto"/>
                        <w:bottom w:val="none" w:sz="0" w:space="0" w:color="auto"/>
                        <w:right w:val="none" w:sz="0" w:space="0" w:color="auto"/>
                      </w:divBdr>
                      <w:divsChild>
                        <w:div w:id="1114833454">
                          <w:marLeft w:val="0"/>
                          <w:marRight w:val="0"/>
                          <w:marTop w:val="0"/>
                          <w:marBottom w:val="0"/>
                          <w:divBdr>
                            <w:top w:val="none" w:sz="0" w:space="0" w:color="auto"/>
                            <w:left w:val="none" w:sz="0" w:space="0" w:color="auto"/>
                            <w:bottom w:val="none" w:sz="0" w:space="0" w:color="auto"/>
                            <w:right w:val="none" w:sz="0" w:space="0" w:color="auto"/>
                          </w:divBdr>
                          <w:divsChild>
                            <w:div w:id="423649478">
                              <w:marLeft w:val="0"/>
                              <w:marRight w:val="0"/>
                              <w:marTop w:val="0"/>
                              <w:marBottom w:val="0"/>
                              <w:divBdr>
                                <w:top w:val="none" w:sz="0" w:space="0" w:color="auto"/>
                                <w:left w:val="none" w:sz="0" w:space="0" w:color="auto"/>
                                <w:bottom w:val="none" w:sz="0" w:space="0" w:color="auto"/>
                                <w:right w:val="none" w:sz="0" w:space="0" w:color="auto"/>
                              </w:divBdr>
                              <w:divsChild>
                                <w:div w:id="1980113743">
                                  <w:marLeft w:val="0"/>
                                  <w:marRight w:val="0"/>
                                  <w:marTop w:val="0"/>
                                  <w:marBottom w:val="0"/>
                                  <w:divBdr>
                                    <w:top w:val="none" w:sz="0" w:space="0" w:color="auto"/>
                                    <w:left w:val="none" w:sz="0" w:space="0" w:color="auto"/>
                                    <w:bottom w:val="none" w:sz="0" w:space="0" w:color="auto"/>
                                    <w:right w:val="none" w:sz="0" w:space="0" w:color="auto"/>
                                  </w:divBdr>
                                  <w:divsChild>
                                    <w:div w:id="325741445">
                                      <w:marLeft w:val="0"/>
                                      <w:marRight w:val="0"/>
                                      <w:marTop w:val="0"/>
                                      <w:marBottom w:val="0"/>
                                      <w:divBdr>
                                        <w:top w:val="none" w:sz="0" w:space="0" w:color="auto"/>
                                        <w:left w:val="none" w:sz="0" w:space="0" w:color="auto"/>
                                        <w:bottom w:val="none" w:sz="0" w:space="0" w:color="auto"/>
                                        <w:right w:val="none" w:sz="0" w:space="0" w:color="auto"/>
                                      </w:divBdr>
                                      <w:divsChild>
                                        <w:div w:id="133716795">
                                          <w:marLeft w:val="0"/>
                                          <w:marRight w:val="0"/>
                                          <w:marTop w:val="0"/>
                                          <w:marBottom w:val="0"/>
                                          <w:divBdr>
                                            <w:top w:val="none" w:sz="0" w:space="0" w:color="auto"/>
                                            <w:left w:val="none" w:sz="0" w:space="0" w:color="auto"/>
                                            <w:bottom w:val="none" w:sz="0" w:space="0" w:color="auto"/>
                                            <w:right w:val="none" w:sz="0" w:space="0" w:color="auto"/>
                                          </w:divBdr>
                                          <w:divsChild>
                                            <w:div w:id="1289967092">
                                              <w:marLeft w:val="0"/>
                                              <w:marRight w:val="0"/>
                                              <w:marTop w:val="0"/>
                                              <w:marBottom w:val="495"/>
                                              <w:divBdr>
                                                <w:top w:val="none" w:sz="0" w:space="0" w:color="auto"/>
                                                <w:left w:val="none" w:sz="0" w:space="0" w:color="auto"/>
                                                <w:bottom w:val="none" w:sz="0" w:space="0" w:color="auto"/>
                                                <w:right w:val="none" w:sz="0" w:space="0" w:color="auto"/>
                                              </w:divBdr>
                                              <w:divsChild>
                                                <w:div w:id="8030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198138">
      <w:bodyDiv w:val="1"/>
      <w:marLeft w:val="0"/>
      <w:marRight w:val="0"/>
      <w:marTop w:val="0"/>
      <w:marBottom w:val="0"/>
      <w:divBdr>
        <w:top w:val="none" w:sz="0" w:space="0" w:color="auto"/>
        <w:left w:val="none" w:sz="0" w:space="0" w:color="auto"/>
        <w:bottom w:val="none" w:sz="0" w:space="0" w:color="auto"/>
        <w:right w:val="none" w:sz="0" w:space="0" w:color="auto"/>
      </w:divBdr>
      <w:divsChild>
        <w:div w:id="1137141464">
          <w:marLeft w:val="0"/>
          <w:marRight w:val="0"/>
          <w:marTop w:val="0"/>
          <w:marBottom w:val="0"/>
          <w:divBdr>
            <w:top w:val="none" w:sz="0" w:space="0" w:color="auto"/>
            <w:left w:val="none" w:sz="0" w:space="0" w:color="auto"/>
            <w:bottom w:val="none" w:sz="0" w:space="0" w:color="auto"/>
            <w:right w:val="none" w:sz="0" w:space="0" w:color="auto"/>
          </w:divBdr>
          <w:divsChild>
            <w:div w:id="12196053">
              <w:marLeft w:val="0"/>
              <w:marRight w:val="0"/>
              <w:marTop w:val="0"/>
              <w:marBottom w:val="0"/>
              <w:divBdr>
                <w:top w:val="none" w:sz="0" w:space="0" w:color="auto"/>
                <w:left w:val="none" w:sz="0" w:space="0" w:color="auto"/>
                <w:bottom w:val="none" w:sz="0" w:space="0" w:color="auto"/>
                <w:right w:val="none" w:sz="0" w:space="0" w:color="auto"/>
              </w:divBdr>
              <w:divsChild>
                <w:div w:id="1105728940">
                  <w:marLeft w:val="0"/>
                  <w:marRight w:val="0"/>
                  <w:marTop w:val="0"/>
                  <w:marBottom w:val="0"/>
                  <w:divBdr>
                    <w:top w:val="none" w:sz="0" w:space="0" w:color="auto"/>
                    <w:left w:val="none" w:sz="0" w:space="0" w:color="auto"/>
                    <w:bottom w:val="none" w:sz="0" w:space="0" w:color="auto"/>
                    <w:right w:val="none" w:sz="0" w:space="0" w:color="auto"/>
                  </w:divBdr>
                  <w:divsChild>
                    <w:div w:id="1692218717">
                      <w:marLeft w:val="0"/>
                      <w:marRight w:val="0"/>
                      <w:marTop w:val="0"/>
                      <w:marBottom w:val="0"/>
                      <w:divBdr>
                        <w:top w:val="none" w:sz="0" w:space="0" w:color="auto"/>
                        <w:left w:val="none" w:sz="0" w:space="0" w:color="auto"/>
                        <w:bottom w:val="none" w:sz="0" w:space="0" w:color="auto"/>
                        <w:right w:val="none" w:sz="0" w:space="0" w:color="auto"/>
                      </w:divBdr>
                      <w:divsChild>
                        <w:div w:id="1565213780">
                          <w:marLeft w:val="0"/>
                          <w:marRight w:val="0"/>
                          <w:marTop w:val="0"/>
                          <w:marBottom w:val="0"/>
                          <w:divBdr>
                            <w:top w:val="none" w:sz="0" w:space="0" w:color="auto"/>
                            <w:left w:val="none" w:sz="0" w:space="0" w:color="auto"/>
                            <w:bottom w:val="none" w:sz="0" w:space="0" w:color="auto"/>
                            <w:right w:val="none" w:sz="0" w:space="0" w:color="auto"/>
                          </w:divBdr>
                          <w:divsChild>
                            <w:div w:id="1082678097">
                              <w:marLeft w:val="0"/>
                              <w:marRight w:val="0"/>
                              <w:marTop w:val="0"/>
                              <w:marBottom w:val="0"/>
                              <w:divBdr>
                                <w:top w:val="none" w:sz="0" w:space="0" w:color="auto"/>
                                <w:left w:val="none" w:sz="0" w:space="0" w:color="auto"/>
                                <w:bottom w:val="none" w:sz="0" w:space="0" w:color="auto"/>
                                <w:right w:val="none" w:sz="0" w:space="0" w:color="auto"/>
                              </w:divBdr>
                              <w:divsChild>
                                <w:div w:id="113988392">
                                  <w:marLeft w:val="0"/>
                                  <w:marRight w:val="0"/>
                                  <w:marTop w:val="0"/>
                                  <w:marBottom w:val="0"/>
                                  <w:divBdr>
                                    <w:top w:val="none" w:sz="0" w:space="0" w:color="auto"/>
                                    <w:left w:val="none" w:sz="0" w:space="0" w:color="auto"/>
                                    <w:bottom w:val="none" w:sz="0" w:space="0" w:color="auto"/>
                                    <w:right w:val="none" w:sz="0" w:space="0" w:color="auto"/>
                                  </w:divBdr>
                                  <w:divsChild>
                                    <w:div w:id="1496804016">
                                      <w:marLeft w:val="0"/>
                                      <w:marRight w:val="0"/>
                                      <w:marTop w:val="0"/>
                                      <w:marBottom w:val="0"/>
                                      <w:divBdr>
                                        <w:top w:val="none" w:sz="0" w:space="0" w:color="auto"/>
                                        <w:left w:val="none" w:sz="0" w:space="0" w:color="auto"/>
                                        <w:bottom w:val="none" w:sz="0" w:space="0" w:color="auto"/>
                                        <w:right w:val="none" w:sz="0" w:space="0" w:color="auto"/>
                                      </w:divBdr>
                                      <w:divsChild>
                                        <w:div w:id="1994212085">
                                          <w:marLeft w:val="0"/>
                                          <w:marRight w:val="0"/>
                                          <w:marTop w:val="0"/>
                                          <w:marBottom w:val="0"/>
                                          <w:divBdr>
                                            <w:top w:val="none" w:sz="0" w:space="0" w:color="auto"/>
                                            <w:left w:val="none" w:sz="0" w:space="0" w:color="auto"/>
                                            <w:bottom w:val="none" w:sz="0" w:space="0" w:color="auto"/>
                                            <w:right w:val="none" w:sz="0" w:space="0" w:color="auto"/>
                                          </w:divBdr>
                                          <w:divsChild>
                                            <w:div w:id="1649237188">
                                              <w:marLeft w:val="0"/>
                                              <w:marRight w:val="0"/>
                                              <w:marTop w:val="0"/>
                                              <w:marBottom w:val="495"/>
                                              <w:divBdr>
                                                <w:top w:val="none" w:sz="0" w:space="0" w:color="auto"/>
                                                <w:left w:val="none" w:sz="0" w:space="0" w:color="auto"/>
                                                <w:bottom w:val="none" w:sz="0" w:space="0" w:color="auto"/>
                                                <w:right w:val="none" w:sz="0" w:space="0" w:color="auto"/>
                                              </w:divBdr>
                                              <w:divsChild>
                                                <w:div w:id="17087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127587">
      <w:bodyDiv w:val="1"/>
      <w:marLeft w:val="0"/>
      <w:marRight w:val="0"/>
      <w:marTop w:val="0"/>
      <w:marBottom w:val="0"/>
      <w:divBdr>
        <w:top w:val="none" w:sz="0" w:space="0" w:color="auto"/>
        <w:left w:val="none" w:sz="0" w:space="0" w:color="auto"/>
        <w:bottom w:val="none" w:sz="0" w:space="0" w:color="auto"/>
        <w:right w:val="none" w:sz="0" w:space="0" w:color="auto"/>
      </w:divBdr>
      <w:divsChild>
        <w:div w:id="827554399">
          <w:marLeft w:val="0"/>
          <w:marRight w:val="0"/>
          <w:marTop w:val="0"/>
          <w:marBottom w:val="0"/>
          <w:divBdr>
            <w:top w:val="none" w:sz="0" w:space="0" w:color="auto"/>
            <w:left w:val="none" w:sz="0" w:space="0" w:color="auto"/>
            <w:bottom w:val="none" w:sz="0" w:space="0" w:color="auto"/>
            <w:right w:val="none" w:sz="0" w:space="0" w:color="auto"/>
          </w:divBdr>
          <w:divsChild>
            <w:div w:id="675957429">
              <w:marLeft w:val="0"/>
              <w:marRight w:val="0"/>
              <w:marTop w:val="0"/>
              <w:marBottom w:val="0"/>
              <w:divBdr>
                <w:top w:val="none" w:sz="0" w:space="0" w:color="auto"/>
                <w:left w:val="none" w:sz="0" w:space="0" w:color="auto"/>
                <w:bottom w:val="none" w:sz="0" w:space="0" w:color="auto"/>
                <w:right w:val="none" w:sz="0" w:space="0" w:color="auto"/>
              </w:divBdr>
              <w:divsChild>
                <w:div w:id="2020498439">
                  <w:marLeft w:val="0"/>
                  <w:marRight w:val="0"/>
                  <w:marTop w:val="0"/>
                  <w:marBottom w:val="0"/>
                  <w:divBdr>
                    <w:top w:val="none" w:sz="0" w:space="0" w:color="auto"/>
                    <w:left w:val="none" w:sz="0" w:space="0" w:color="auto"/>
                    <w:bottom w:val="none" w:sz="0" w:space="0" w:color="auto"/>
                    <w:right w:val="none" w:sz="0" w:space="0" w:color="auto"/>
                  </w:divBdr>
                  <w:divsChild>
                    <w:div w:id="1552037211">
                      <w:marLeft w:val="0"/>
                      <w:marRight w:val="0"/>
                      <w:marTop w:val="0"/>
                      <w:marBottom w:val="0"/>
                      <w:divBdr>
                        <w:top w:val="none" w:sz="0" w:space="0" w:color="auto"/>
                        <w:left w:val="none" w:sz="0" w:space="0" w:color="auto"/>
                        <w:bottom w:val="none" w:sz="0" w:space="0" w:color="auto"/>
                        <w:right w:val="none" w:sz="0" w:space="0" w:color="auto"/>
                      </w:divBdr>
                      <w:divsChild>
                        <w:div w:id="18170847">
                          <w:marLeft w:val="0"/>
                          <w:marRight w:val="0"/>
                          <w:marTop w:val="0"/>
                          <w:marBottom w:val="0"/>
                          <w:divBdr>
                            <w:top w:val="none" w:sz="0" w:space="0" w:color="auto"/>
                            <w:left w:val="none" w:sz="0" w:space="0" w:color="auto"/>
                            <w:bottom w:val="none" w:sz="0" w:space="0" w:color="auto"/>
                            <w:right w:val="none" w:sz="0" w:space="0" w:color="auto"/>
                          </w:divBdr>
                          <w:divsChild>
                            <w:div w:id="613246720">
                              <w:marLeft w:val="0"/>
                              <w:marRight w:val="0"/>
                              <w:marTop w:val="0"/>
                              <w:marBottom w:val="0"/>
                              <w:divBdr>
                                <w:top w:val="none" w:sz="0" w:space="0" w:color="auto"/>
                                <w:left w:val="none" w:sz="0" w:space="0" w:color="auto"/>
                                <w:bottom w:val="none" w:sz="0" w:space="0" w:color="auto"/>
                                <w:right w:val="none" w:sz="0" w:space="0" w:color="auto"/>
                              </w:divBdr>
                              <w:divsChild>
                                <w:div w:id="1349406226">
                                  <w:marLeft w:val="0"/>
                                  <w:marRight w:val="0"/>
                                  <w:marTop w:val="0"/>
                                  <w:marBottom w:val="0"/>
                                  <w:divBdr>
                                    <w:top w:val="none" w:sz="0" w:space="0" w:color="auto"/>
                                    <w:left w:val="none" w:sz="0" w:space="0" w:color="auto"/>
                                    <w:bottom w:val="none" w:sz="0" w:space="0" w:color="auto"/>
                                    <w:right w:val="none" w:sz="0" w:space="0" w:color="auto"/>
                                  </w:divBdr>
                                  <w:divsChild>
                                    <w:div w:id="867450589">
                                      <w:marLeft w:val="0"/>
                                      <w:marRight w:val="0"/>
                                      <w:marTop w:val="0"/>
                                      <w:marBottom w:val="0"/>
                                      <w:divBdr>
                                        <w:top w:val="none" w:sz="0" w:space="0" w:color="auto"/>
                                        <w:left w:val="none" w:sz="0" w:space="0" w:color="auto"/>
                                        <w:bottom w:val="none" w:sz="0" w:space="0" w:color="auto"/>
                                        <w:right w:val="none" w:sz="0" w:space="0" w:color="auto"/>
                                      </w:divBdr>
                                      <w:divsChild>
                                        <w:div w:id="72901767">
                                          <w:marLeft w:val="0"/>
                                          <w:marRight w:val="0"/>
                                          <w:marTop w:val="0"/>
                                          <w:marBottom w:val="0"/>
                                          <w:divBdr>
                                            <w:top w:val="none" w:sz="0" w:space="0" w:color="auto"/>
                                            <w:left w:val="none" w:sz="0" w:space="0" w:color="auto"/>
                                            <w:bottom w:val="none" w:sz="0" w:space="0" w:color="auto"/>
                                            <w:right w:val="none" w:sz="0" w:space="0" w:color="auto"/>
                                          </w:divBdr>
                                          <w:divsChild>
                                            <w:div w:id="1400517902">
                                              <w:marLeft w:val="0"/>
                                              <w:marRight w:val="0"/>
                                              <w:marTop w:val="0"/>
                                              <w:marBottom w:val="495"/>
                                              <w:divBdr>
                                                <w:top w:val="none" w:sz="0" w:space="0" w:color="auto"/>
                                                <w:left w:val="none" w:sz="0" w:space="0" w:color="auto"/>
                                                <w:bottom w:val="none" w:sz="0" w:space="0" w:color="auto"/>
                                                <w:right w:val="none" w:sz="0" w:space="0" w:color="auto"/>
                                              </w:divBdr>
                                              <w:divsChild>
                                                <w:div w:id="1634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2530078">
      <w:bodyDiv w:val="1"/>
      <w:marLeft w:val="0"/>
      <w:marRight w:val="0"/>
      <w:marTop w:val="0"/>
      <w:marBottom w:val="0"/>
      <w:divBdr>
        <w:top w:val="none" w:sz="0" w:space="0" w:color="auto"/>
        <w:left w:val="none" w:sz="0" w:space="0" w:color="auto"/>
        <w:bottom w:val="none" w:sz="0" w:space="0" w:color="auto"/>
        <w:right w:val="none" w:sz="0" w:space="0" w:color="auto"/>
      </w:divBdr>
      <w:divsChild>
        <w:div w:id="804009242">
          <w:marLeft w:val="0"/>
          <w:marRight w:val="0"/>
          <w:marTop w:val="0"/>
          <w:marBottom w:val="0"/>
          <w:divBdr>
            <w:top w:val="none" w:sz="0" w:space="0" w:color="auto"/>
            <w:left w:val="none" w:sz="0" w:space="0" w:color="auto"/>
            <w:bottom w:val="none" w:sz="0" w:space="0" w:color="auto"/>
            <w:right w:val="none" w:sz="0" w:space="0" w:color="auto"/>
          </w:divBdr>
          <w:divsChild>
            <w:div w:id="226764914">
              <w:marLeft w:val="0"/>
              <w:marRight w:val="0"/>
              <w:marTop w:val="0"/>
              <w:marBottom w:val="0"/>
              <w:divBdr>
                <w:top w:val="none" w:sz="0" w:space="0" w:color="auto"/>
                <w:left w:val="none" w:sz="0" w:space="0" w:color="auto"/>
                <w:bottom w:val="none" w:sz="0" w:space="0" w:color="auto"/>
                <w:right w:val="none" w:sz="0" w:space="0" w:color="auto"/>
              </w:divBdr>
              <w:divsChild>
                <w:div w:id="2041200938">
                  <w:marLeft w:val="0"/>
                  <w:marRight w:val="0"/>
                  <w:marTop w:val="0"/>
                  <w:marBottom w:val="0"/>
                  <w:divBdr>
                    <w:top w:val="none" w:sz="0" w:space="0" w:color="auto"/>
                    <w:left w:val="none" w:sz="0" w:space="0" w:color="auto"/>
                    <w:bottom w:val="none" w:sz="0" w:space="0" w:color="auto"/>
                    <w:right w:val="none" w:sz="0" w:space="0" w:color="auto"/>
                  </w:divBdr>
                  <w:divsChild>
                    <w:div w:id="1337685050">
                      <w:marLeft w:val="0"/>
                      <w:marRight w:val="0"/>
                      <w:marTop w:val="0"/>
                      <w:marBottom w:val="0"/>
                      <w:divBdr>
                        <w:top w:val="none" w:sz="0" w:space="0" w:color="auto"/>
                        <w:left w:val="none" w:sz="0" w:space="0" w:color="auto"/>
                        <w:bottom w:val="none" w:sz="0" w:space="0" w:color="auto"/>
                        <w:right w:val="none" w:sz="0" w:space="0" w:color="auto"/>
                      </w:divBdr>
                      <w:divsChild>
                        <w:div w:id="849761318">
                          <w:marLeft w:val="0"/>
                          <w:marRight w:val="0"/>
                          <w:marTop w:val="0"/>
                          <w:marBottom w:val="0"/>
                          <w:divBdr>
                            <w:top w:val="none" w:sz="0" w:space="0" w:color="auto"/>
                            <w:left w:val="none" w:sz="0" w:space="0" w:color="auto"/>
                            <w:bottom w:val="none" w:sz="0" w:space="0" w:color="auto"/>
                            <w:right w:val="none" w:sz="0" w:space="0" w:color="auto"/>
                          </w:divBdr>
                          <w:divsChild>
                            <w:div w:id="801000214">
                              <w:marLeft w:val="0"/>
                              <w:marRight w:val="0"/>
                              <w:marTop w:val="0"/>
                              <w:marBottom w:val="0"/>
                              <w:divBdr>
                                <w:top w:val="none" w:sz="0" w:space="0" w:color="auto"/>
                                <w:left w:val="none" w:sz="0" w:space="0" w:color="auto"/>
                                <w:bottom w:val="none" w:sz="0" w:space="0" w:color="auto"/>
                                <w:right w:val="none" w:sz="0" w:space="0" w:color="auto"/>
                              </w:divBdr>
                              <w:divsChild>
                                <w:div w:id="1941183988">
                                  <w:marLeft w:val="0"/>
                                  <w:marRight w:val="0"/>
                                  <w:marTop w:val="0"/>
                                  <w:marBottom w:val="0"/>
                                  <w:divBdr>
                                    <w:top w:val="none" w:sz="0" w:space="0" w:color="auto"/>
                                    <w:left w:val="none" w:sz="0" w:space="0" w:color="auto"/>
                                    <w:bottom w:val="none" w:sz="0" w:space="0" w:color="auto"/>
                                    <w:right w:val="none" w:sz="0" w:space="0" w:color="auto"/>
                                  </w:divBdr>
                                  <w:divsChild>
                                    <w:div w:id="418252383">
                                      <w:marLeft w:val="0"/>
                                      <w:marRight w:val="0"/>
                                      <w:marTop w:val="0"/>
                                      <w:marBottom w:val="0"/>
                                      <w:divBdr>
                                        <w:top w:val="none" w:sz="0" w:space="0" w:color="auto"/>
                                        <w:left w:val="none" w:sz="0" w:space="0" w:color="auto"/>
                                        <w:bottom w:val="none" w:sz="0" w:space="0" w:color="auto"/>
                                        <w:right w:val="none" w:sz="0" w:space="0" w:color="auto"/>
                                      </w:divBdr>
                                      <w:divsChild>
                                        <w:div w:id="2061977722">
                                          <w:marLeft w:val="0"/>
                                          <w:marRight w:val="0"/>
                                          <w:marTop w:val="0"/>
                                          <w:marBottom w:val="0"/>
                                          <w:divBdr>
                                            <w:top w:val="none" w:sz="0" w:space="0" w:color="auto"/>
                                            <w:left w:val="none" w:sz="0" w:space="0" w:color="auto"/>
                                            <w:bottom w:val="none" w:sz="0" w:space="0" w:color="auto"/>
                                            <w:right w:val="none" w:sz="0" w:space="0" w:color="auto"/>
                                          </w:divBdr>
                                          <w:divsChild>
                                            <w:div w:id="1263219649">
                                              <w:marLeft w:val="0"/>
                                              <w:marRight w:val="0"/>
                                              <w:marTop w:val="0"/>
                                              <w:marBottom w:val="495"/>
                                              <w:divBdr>
                                                <w:top w:val="none" w:sz="0" w:space="0" w:color="auto"/>
                                                <w:left w:val="none" w:sz="0" w:space="0" w:color="auto"/>
                                                <w:bottom w:val="none" w:sz="0" w:space="0" w:color="auto"/>
                                                <w:right w:val="none" w:sz="0" w:space="0" w:color="auto"/>
                                              </w:divBdr>
                                              <w:divsChild>
                                                <w:div w:id="296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506161">
      <w:bodyDiv w:val="1"/>
      <w:marLeft w:val="0"/>
      <w:marRight w:val="0"/>
      <w:marTop w:val="0"/>
      <w:marBottom w:val="0"/>
      <w:divBdr>
        <w:top w:val="none" w:sz="0" w:space="0" w:color="auto"/>
        <w:left w:val="none" w:sz="0" w:space="0" w:color="auto"/>
        <w:bottom w:val="none" w:sz="0" w:space="0" w:color="auto"/>
        <w:right w:val="none" w:sz="0" w:space="0" w:color="auto"/>
      </w:divBdr>
      <w:divsChild>
        <w:div w:id="1043094439">
          <w:marLeft w:val="0"/>
          <w:marRight w:val="0"/>
          <w:marTop w:val="0"/>
          <w:marBottom w:val="0"/>
          <w:divBdr>
            <w:top w:val="none" w:sz="0" w:space="0" w:color="auto"/>
            <w:left w:val="none" w:sz="0" w:space="0" w:color="auto"/>
            <w:bottom w:val="none" w:sz="0" w:space="0" w:color="auto"/>
            <w:right w:val="none" w:sz="0" w:space="0" w:color="auto"/>
          </w:divBdr>
          <w:divsChild>
            <w:div w:id="1543521663">
              <w:marLeft w:val="0"/>
              <w:marRight w:val="0"/>
              <w:marTop w:val="0"/>
              <w:marBottom w:val="0"/>
              <w:divBdr>
                <w:top w:val="none" w:sz="0" w:space="0" w:color="auto"/>
                <w:left w:val="none" w:sz="0" w:space="0" w:color="auto"/>
                <w:bottom w:val="none" w:sz="0" w:space="0" w:color="auto"/>
                <w:right w:val="none" w:sz="0" w:space="0" w:color="auto"/>
              </w:divBdr>
              <w:divsChild>
                <w:div w:id="161119153">
                  <w:marLeft w:val="0"/>
                  <w:marRight w:val="0"/>
                  <w:marTop w:val="0"/>
                  <w:marBottom w:val="0"/>
                  <w:divBdr>
                    <w:top w:val="none" w:sz="0" w:space="0" w:color="auto"/>
                    <w:left w:val="none" w:sz="0" w:space="0" w:color="auto"/>
                    <w:bottom w:val="none" w:sz="0" w:space="0" w:color="auto"/>
                    <w:right w:val="none" w:sz="0" w:space="0" w:color="auto"/>
                  </w:divBdr>
                  <w:divsChild>
                    <w:div w:id="1729574135">
                      <w:marLeft w:val="0"/>
                      <w:marRight w:val="0"/>
                      <w:marTop w:val="0"/>
                      <w:marBottom w:val="0"/>
                      <w:divBdr>
                        <w:top w:val="none" w:sz="0" w:space="0" w:color="auto"/>
                        <w:left w:val="none" w:sz="0" w:space="0" w:color="auto"/>
                        <w:bottom w:val="none" w:sz="0" w:space="0" w:color="auto"/>
                        <w:right w:val="none" w:sz="0" w:space="0" w:color="auto"/>
                      </w:divBdr>
                      <w:divsChild>
                        <w:div w:id="1770152446">
                          <w:marLeft w:val="0"/>
                          <w:marRight w:val="0"/>
                          <w:marTop w:val="0"/>
                          <w:marBottom w:val="0"/>
                          <w:divBdr>
                            <w:top w:val="none" w:sz="0" w:space="0" w:color="auto"/>
                            <w:left w:val="none" w:sz="0" w:space="0" w:color="auto"/>
                            <w:bottom w:val="none" w:sz="0" w:space="0" w:color="auto"/>
                            <w:right w:val="none" w:sz="0" w:space="0" w:color="auto"/>
                          </w:divBdr>
                          <w:divsChild>
                            <w:div w:id="974606588">
                              <w:marLeft w:val="0"/>
                              <w:marRight w:val="0"/>
                              <w:marTop w:val="0"/>
                              <w:marBottom w:val="0"/>
                              <w:divBdr>
                                <w:top w:val="none" w:sz="0" w:space="0" w:color="auto"/>
                                <w:left w:val="none" w:sz="0" w:space="0" w:color="auto"/>
                                <w:bottom w:val="none" w:sz="0" w:space="0" w:color="auto"/>
                                <w:right w:val="none" w:sz="0" w:space="0" w:color="auto"/>
                              </w:divBdr>
                              <w:divsChild>
                                <w:div w:id="368264325">
                                  <w:marLeft w:val="0"/>
                                  <w:marRight w:val="0"/>
                                  <w:marTop w:val="0"/>
                                  <w:marBottom w:val="0"/>
                                  <w:divBdr>
                                    <w:top w:val="none" w:sz="0" w:space="0" w:color="auto"/>
                                    <w:left w:val="none" w:sz="0" w:space="0" w:color="auto"/>
                                    <w:bottom w:val="none" w:sz="0" w:space="0" w:color="auto"/>
                                    <w:right w:val="none" w:sz="0" w:space="0" w:color="auto"/>
                                  </w:divBdr>
                                  <w:divsChild>
                                    <w:div w:id="805313702">
                                      <w:marLeft w:val="0"/>
                                      <w:marRight w:val="0"/>
                                      <w:marTop w:val="0"/>
                                      <w:marBottom w:val="0"/>
                                      <w:divBdr>
                                        <w:top w:val="none" w:sz="0" w:space="0" w:color="auto"/>
                                        <w:left w:val="none" w:sz="0" w:space="0" w:color="auto"/>
                                        <w:bottom w:val="none" w:sz="0" w:space="0" w:color="auto"/>
                                        <w:right w:val="none" w:sz="0" w:space="0" w:color="auto"/>
                                      </w:divBdr>
                                      <w:divsChild>
                                        <w:div w:id="418720819">
                                          <w:marLeft w:val="0"/>
                                          <w:marRight w:val="0"/>
                                          <w:marTop w:val="0"/>
                                          <w:marBottom w:val="0"/>
                                          <w:divBdr>
                                            <w:top w:val="none" w:sz="0" w:space="0" w:color="auto"/>
                                            <w:left w:val="none" w:sz="0" w:space="0" w:color="auto"/>
                                            <w:bottom w:val="none" w:sz="0" w:space="0" w:color="auto"/>
                                            <w:right w:val="none" w:sz="0" w:space="0" w:color="auto"/>
                                          </w:divBdr>
                                          <w:divsChild>
                                            <w:div w:id="2126148293">
                                              <w:marLeft w:val="0"/>
                                              <w:marRight w:val="0"/>
                                              <w:marTop w:val="0"/>
                                              <w:marBottom w:val="495"/>
                                              <w:divBdr>
                                                <w:top w:val="none" w:sz="0" w:space="0" w:color="auto"/>
                                                <w:left w:val="none" w:sz="0" w:space="0" w:color="auto"/>
                                                <w:bottom w:val="none" w:sz="0" w:space="0" w:color="auto"/>
                                                <w:right w:val="none" w:sz="0" w:space="0" w:color="auto"/>
                                              </w:divBdr>
                                              <w:divsChild>
                                                <w:div w:id="4206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139312">
      <w:bodyDiv w:val="1"/>
      <w:marLeft w:val="0"/>
      <w:marRight w:val="0"/>
      <w:marTop w:val="0"/>
      <w:marBottom w:val="0"/>
      <w:divBdr>
        <w:top w:val="none" w:sz="0" w:space="0" w:color="auto"/>
        <w:left w:val="none" w:sz="0" w:space="0" w:color="auto"/>
        <w:bottom w:val="none" w:sz="0" w:space="0" w:color="auto"/>
        <w:right w:val="none" w:sz="0" w:space="0" w:color="auto"/>
      </w:divBdr>
    </w:div>
    <w:div w:id="1821271318">
      <w:bodyDiv w:val="1"/>
      <w:marLeft w:val="0"/>
      <w:marRight w:val="0"/>
      <w:marTop w:val="0"/>
      <w:marBottom w:val="0"/>
      <w:divBdr>
        <w:top w:val="none" w:sz="0" w:space="0" w:color="auto"/>
        <w:left w:val="none" w:sz="0" w:space="0" w:color="auto"/>
        <w:bottom w:val="none" w:sz="0" w:space="0" w:color="auto"/>
        <w:right w:val="none" w:sz="0" w:space="0" w:color="auto"/>
      </w:divBdr>
      <w:divsChild>
        <w:div w:id="1774855820">
          <w:marLeft w:val="0"/>
          <w:marRight w:val="0"/>
          <w:marTop w:val="0"/>
          <w:marBottom w:val="0"/>
          <w:divBdr>
            <w:top w:val="none" w:sz="0" w:space="0" w:color="auto"/>
            <w:left w:val="none" w:sz="0" w:space="0" w:color="auto"/>
            <w:bottom w:val="none" w:sz="0" w:space="0" w:color="auto"/>
            <w:right w:val="none" w:sz="0" w:space="0" w:color="auto"/>
          </w:divBdr>
          <w:divsChild>
            <w:div w:id="1728257225">
              <w:marLeft w:val="0"/>
              <w:marRight w:val="0"/>
              <w:marTop w:val="0"/>
              <w:marBottom w:val="0"/>
              <w:divBdr>
                <w:top w:val="none" w:sz="0" w:space="0" w:color="auto"/>
                <w:left w:val="none" w:sz="0" w:space="0" w:color="auto"/>
                <w:bottom w:val="none" w:sz="0" w:space="0" w:color="auto"/>
                <w:right w:val="none" w:sz="0" w:space="0" w:color="auto"/>
              </w:divBdr>
              <w:divsChild>
                <w:div w:id="1708337601">
                  <w:marLeft w:val="0"/>
                  <w:marRight w:val="0"/>
                  <w:marTop w:val="0"/>
                  <w:marBottom w:val="0"/>
                  <w:divBdr>
                    <w:top w:val="none" w:sz="0" w:space="0" w:color="auto"/>
                    <w:left w:val="none" w:sz="0" w:space="0" w:color="auto"/>
                    <w:bottom w:val="none" w:sz="0" w:space="0" w:color="auto"/>
                    <w:right w:val="none" w:sz="0" w:space="0" w:color="auto"/>
                  </w:divBdr>
                  <w:divsChild>
                    <w:div w:id="822696218">
                      <w:marLeft w:val="0"/>
                      <w:marRight w:val="0"/>
                      <w:marTop w:val="0"/>
                      <w:marBottom w:val="0"/>
                      <w:divBdr>
                        <w:top w:val="none" w:sz="0" w:space="0" w:color="auto"/>
                        <w:left w:val="none" w:sz="0" w:space="0" w:color="auto"/>
                        <w:bottom w:val="none" w:sz="0" w:space="0" w:color="auto"/>
                        <w:right w:val="none" w:sz="0" w:space="0" w:color="auto"/>
                      </w:divBdr>
                      <w:divsChild>
                        <w:div w:id="1991594281">
                          <w:marLeft w:val="0"/>
                          <w:marRight w:val="0"/>
                          <w:marTop w:val="0"/>
                          <w:marBottom w:val="0"/>
                          <w:divBdr>
                            <w:top w:val="none" w:sz="0" w:space="0" w:color="auto"/>
                            <w:left w:val="none" w:sz="0" w:space="0" w:color="auto"/>
                            <w:bottom w:val="none" w:sz="0" w:space="0" w:color="auto"/>
                            <w:right w:val="none" w:sz="0" w:space="0" w:color="auto"/>
                          </w:divBdr>
                          <w:divsChild>
                            <w:div w:id="1306932177">
                              <w:marLeft w:val="0"/>
                              <w:marRight w:val="0"/>
                              <w:marTop w:val="0"/>
                              <w:marBottom w:val="0"/>
                              <w:divBdr>
                                <w:top w:val="none" w:sz="0" w:space="0" w:color="auto"/>
                                <w:left w:val="none" w:sz="0" w:space="0" w:color="auto"/>
                                <w:bottom w:val="none" w:sz="0" w:space="0" w:color="auto"/>
                                <w:right w:val="none" w:sz="0" w:space="0" w:color="auto"/>
                              </w:divBdr>
                              <w:divsChild>
                                <w:div w:id="320737276">
                                  <w:marLeft w:val="0"/>
                                  <w:marRight w:val="0"/>
                                  <w:marTop w:val="0"/>
                                  <w:marBottom w:val="0"/>
                                  <w:divBdr>
                                    <w:top w:val="none" w:sz="0" w:space="0" w:color="auto"/>
                                    <w:left w:val="none" w:sz="0" w:space="0" w:color="auto"/>
                                    <w:bottom w:val="none" w:sz="0" w:space="0" w:color="auto"/>
                                    <w:right w:val="none" w:sz="0" w:space="0" w:color="auto"/>
                                  </w:divBdr>
                                  <w:divsChild>
                                    <w:div w:id="1512991378">
                                      <w:marLeft w:val="0"/>
                                      <w:marRight w:val="0"/>
                                      <w:marTop w:val="0"/>
                                      <w:marBottom w:val="0"/>
                                      <w:divBdr>
                                        <w:top w:val="none" w:sz="0" w:space="0" w:color="auto"/>
                                        <w:left w:val="none" w:sz="0" w:space="0" w:color="auto"/>
                                        <w:bottom w:val="none" w:sz="0" w:space="0" w:color="auto"/>
                                        <w:right w:val="none" w:sz="0" w:space="0" w:color="auto"/>
                                      </w:divBdr>
                                      <w:divsChild>
                                        <w:div w:id="2139640780">
                                          <w:marLeft w:val="0"/>
                                          <w:marRight w:val="0"/>
                                          <w:marTop w:val="0"/>
                                          <w:marBottom w:val="0"/>
                                          <w:divBdr>
                                            <w:top w:val="none" w:sz="0" w:space="0" w:color="auto"/>
                                            <w:left w:val="none" w:sz="0" w:space="0" w:color="auto"/>
                                            <w:bottom w:val="none" w:sz="0" w:space="0" w:color="auto"/>
                                            <w:right w:val="none" w:sz="0" w:space="0" w:color="auto"/>
                                          </w:divBdr>
                                          <w:divsChild>
                                            <w:div w:id="946811497">
                                              <w:marLeft w:val="0"/>
                                              <w:marRight w:val="0"/>
                                              <w:marTop w:val="0"/>
                                              <w:marBottom w:val="495"/>
                                              <w:divBdr>
                                                <w:top w:val="none" w:sz="0" w:space="0" w:color="auto"/>
                                                <w:left w:val="none" w:sz="0" w:space="0" w:color="auto"/>
                                                <w:bottom w:val="none" w:sz="0" w:space="0" w:color="auto"/>
                                                <w:right w:val="none" w:sz="0" w:space="0" w:color="auto"/>
                                              </w:divBdr>
                                              <w:divsChild>
                                                <w:div w:id="3953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128445">
      <w:bodyDiv w:val="1"/>
      <w:marLeft w:val="0"/>
      <w:marRight w:val="0"/>
      <w:marTop w:val="0"/>
      <w:marBottom w:val="0"/>
      <w:divBdr>
        <w:top w:val="none" w:sz="0" w:space="0" w:color="auto"/>
        <w:left w:val="none" w:sz="0" w:space="0" w:color="auto"/>
        <w:bottom w:val="none" w:sz="0" w:space="0" w:color="auto"/>
        <w:right w:val="none" w:sz="0" w:space="0" w:color="auto"/>
      </w:divBdr>
      <w:divsChild>
        <w:div w:id="71975370">
          <w:marLeft w:val="0"/>
          <w:marRight w:val="0"/>
          <w:marTop w:val="0"/>
          <w:marBottom w:val="0"/>
          <w:divBdr>
            <w:top w:val="none" w:sz="0" w:space="0" w:color="auto"/>
            <w:left w:val="none" w:sz="0" w:space="0" w:color="auto"/>
            <w:bottom w:val="none" w:sz="0" w:space="0" w:color="auto"/>
            <w:right w:val="none" w:sz="0" w:space="0" w:color="auto"/>
          </w:divBdr>
          <w:divsChild>
            <w:div w:id="764151104">
              <w:marLeft w:val="0"/>
              <w:marRight w:val="0"/>
              <w:marTop w:val="0"/>
              <w:marBottom w:val="0"/>
              <w:divBdr>
                <w:top w:val="none" w:sz="0" w:space="0" w:color="auto"/>
                <w:left w:val="none" w:sz="0" w:space="0" w:color="auto"/>
                <w:bottom w:val="none" w:sz="0" w:space="0" w:color="auto"/>
                <w:right w:val="none" w:sz="0" w:space="0" w:color="auto"/>
              </w:divBdr>
              <w:divsChild>
                <w:div w:id="202062263">
                  <w:marLeft w:val="0"/>
                  <w:marRight w:val="0"/>
                  <w:marTop w:val="0"/>
                  <w:marBottom w:val="0"/>
                  <w:divBdr>
                    <w:top w:val="none" w:sz="0" w:space="0" w:color="auto"/>
                    <w:left w:val="none" w:sz="0" w:space="0" w:color="auto"/>
                    <w:bottom w:val="none" w:sz="0" w:space="0" w:color="auto"/>
                    <w:right w:val="none" w:sz="0" w:space="0" w:color="auto"/>
                  </w:divBdr>
                  <w:divsChild>
                    <w:div w:id="987638030">
                      <w:marLeft w:val="0"/>
                      <w:marRight w:val="0"/>
                      <w:marTop w:val="0"/>
                      <w:marBottom w:val="0"/>
                      <w:divBdr>
                        <w:top w:val="none" w:sz="0" w:space="0" w:color="auto"/>
                        <w:left w:val="none" w:sz="0" w:space="0" w:color="auto"/>
                        <w:bottom w:val="none" w:sz="0" w:space="0" w:color="auto"/>
                        <w:right w:val="none" w:sz="0" w:space="0" w:color="auto"/>
                      </w:divBdr>
                      <w:divsChild>
                        <w:div w:id="2059820340">
                          <w:marLeft w:val="0"/>
                          <w:marRight w:val="0"/>
                          <w:marTop w:val="0"/>
                          <w:marBottom w:val="0"/>
                          <w:divBdr>
                            <w:top w:val="none" w:sz="0" w:space="0" w:color="auto"/>
                            <w:left w:val="none" w:sz="0" w:space="0" w:color="auto"/>
                            <w:bottom w:val="none" w:sz="0" w:space="0" w:color="auto"/>
                            <w:right w:val="none" w:sz="0" w:space="0" w:color="auto"/>
                          </w:divBdr>
                          <w:divsChild>
                            <w:div w:id="411049876">
                              <w:marLeft w:val="0"/>
                              <w:marRight w:val="0"/>
                              <w:marTop w:val="0"/>
                              <w:marBottom w:val="0"/>
                              <w:divBdr>
                                <w:top w:val="none" w:sz="0" w:space="0" w:color="auto"/>
                                <w:left w:val="none" w:sz="0" w:space="0" w:color="auto"/>
                                <w:bottom w:val="none" w:sz="0" w:space="0" w:color="auto"/>
                                <w:right w:val="none" w:sz="0" w:space="0" w:color="auto"/>
                              </w:divBdr>
                              <w:divsChild>
                                <w:div w:id="29697010">
                                  <w:marLeft w:val="0"/>
                                  <w:marRight w:val="0"/>
                                  <w:marTop w:val="0"/>
                                  <w:marBottom w:val="0"/>
                                  <w:divBdr>
                                    <w:top w:val="none" w:sz="0" w:space="0" w:color="auto"/>
                                    <w:left w:val="none" w:sz="0" w:space="0" w:color="auto"/>
                                    <w:bottom w:val="none" w:sz="0" w:space="0" w:color="auto"/>
                                    <w:right w:val="none" w:sz="0" w:space="0" w:color="auto"/>
                                  </w:divBdr>
                                  <w:divsChild>
                                    <w:div w:id="1224950722">
                                      <w:marLeft w:val="0"/>
                                      <w:marRight w:val="0"/>
                                      <w:marTop w:val="0"/>
                                      <w:marBottom w:val="0"/>
                                      <w:divBdr>
                                        <w:top w:val="none" w:sz="0" w:space="0" w:color="auto"/>
                                        <w:left w:val="none" w:sz="0" w:space="0" w:color="auto"/>
                                        <w:bottom w:val="none" w:sz="0" w:space="0" w:color="auto"/>
                                        <w:right w:val="none" w:sz="0" w:space="0" w:color="auto"/>
                                      </w:divBdr>
                                      <w:divsChild>
                                        <w:div w:id="1732119494">
                                          <w:marLeft w:val="0"/>
                                          <w:marRight w:val="0"/>
                                          <w:marTop w:val="0"/>
                                          <w:marBottom w:val="0"/>
                                          <w:divBdr>
                                            <w:top w:val="none" w:sz="0" w:space="0" w:color="auto"/>
                                            <w:left w:val="none" w:sz="0" w:space="0" w:color="auto"/>
                                            <w:bottom w:val="none" w:sz="0" w:space="0" w:color="auto"/>
                                            <w:right w:val="none" w:sz="0" w:space="0" w:color="auto"/>
                                          </w:divBdr>
                                          <w:divsChild>
                                            <w:div w:id="515771369">
                                              <w:marLeft w:val="0"/>
                                              <w:marRight w:val="0"/>
                                              <w:marTop w:val="0"/>
                                              <w:marBottom w:val="495"/>
                                              <w:divBdr>
                                                <w:top w:val="none" w:sz="0" w:space="0" w:color="auto"/>
                                                <w:left w:val="none" w:sz="0" w:space="0" w:color="auto"/>
                                                <w:bottom w:val="none" w:sz="0" w:space="0" w:color="auto"/>
                                                <w:right w:val="none" w:sz="0" w:space="0" w:color="auto"/>
                                              </w:divBdr>
                                              <w:divsChild>
                                                <w:div w:id="7814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408C6-618C-4B0C-85F8-68650E686201}">
  <ds:schemaRefs>
    <ds:schemaRef ds:uri="http://purl.org/dc/dcmitype/"/>
    <ds:schemaRef ds:uri="http://purl.org/dc/elements/1.1/"/>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schemas.microsoft.com/office/infopath/2007/PartnerControls"/>
    <ds:schemaRef ds:uri="08c21c09-beba-4072-8000-1dca26330969"/>
    <ds:schemaRef ds:uri="e84aa060-13d4-4ddd-8d65-c3aafff2663b"/>
    <ds:schemaRef ds:uri="http://www.w3.org/XML/1998/namespace"/>
  </ds:schemaRefs>
</ds:datastoreItem>
</file>

<file path=customXml/itemProps2.xml><?xml version="1.0" encoding="utf-8"?>
<ds:datastoreItem xmlns:ds="http://schemas.openxmlformats.org/officeDocument/2006/customXml" ds:itemID="{704CB6B0-2CB5-4939-BA5B-9C3767BDDF9C}">
  <ds:schemaRefs>
    <ds:schemaRef ds:uri="http://schemas.microsoft.com/sharepoint/v3/contenttype/forms"/>
  </ds:schemaRefs>
</ds:datastoreItem>
</file>

<file path=customXml/itemProps3.xml><?xml version="1.0" encoding="utf-8"?>
<ds:datastoreItem xmlns:ds="http://schemas.openxmlformats.org/officeDocument/2006/customXml" ds:itemID="{8102F7F7-3D5C-4D63-A7A7-5C553B579F84}"/>
</file>

<file path=docProps/app.xml><?xml version="1.0" encoding="utf-8"?>
<Properties xmlns="http://schemas.openxmlformats.org/officeDocument/2006/extended-properties" xmlns:vt="http://schemas.openxmlformats.org/officeDocument/2006/docPropsVTypes">
  <Template>Normal</Template>
  <TotalTime>0</TotalTime>
  <Pages>22</Pages>
  <Words>41472</Words>
  <Characters>236393</Characters>
  <Application>Microsoft Office Word</Application>
  <DocSecurity>0</DocSecurity>
  <Lines>1969</Lines>
  <Paragraphs>554</Paragraphs>
  <ScaleCrop>false</ScaleCrop>
  <HeadingPairs>
    <vt:vector size="2" baseType="variant">
      <vt:variant>
        <vt:lpstr>Title</vt:lpstr>
      </vt:variant>
      <vt:variant>
        <vt:i4>1</vt:i4>
      </vt:variant>
    </vt:vector>
  </HeadingPairs>
  <TitlesOfParts>
    <vt:vector size="1" baseType="lpstr">
      <vt:lpstr>Glivec, INN-imatinib</vt:lpstr>
    </vt:vector>
  </TitlesOfParts>
  <Company>Novartis</Company>
  <LinksUpToDate>false</LinksUpToDate>
  <CharactersWithSpaces>277311</CharactersWithSpaces>
  <SharedDoc>false</SharedDoc>
  <HLinks>
    <vt:vector size="48" baseType="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12</cp:revision>
  <cp:lastPrinted>2007-11-08T13:44:00Z</cp:lastPrinted>
  <dcterms:created xsi:type="dcterms:W3CDTF">2021-01-26T15:12:00Z</dcterms:created>
  <dcterms:modified xsi:type="dcterms:W3CDTF">2021-05-21T15:50:00Z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General-EMEA/412407/2005</vt:lpwstr>
  </property>
  <property fmtid="{D5CDD505-2E9C-101B-9397-08002B2CF9AE}" pid="6" name="DM_Title">
    <vt:lpwstr/>
  </property>
  <property fmtid="{D5CDD505-2E9C-101B-9397-08002B2CF9AE}" pid="7" name="DM_Language">
    <vt:lpwstr/>
  </property>
  <property fmtid="{D5CDD505-2E9C-101B-9397-08002B2CF9AE}" pid="8" name="DM_Name">
    <vt:lpwstr>H01a BG SPC-II-lab-pl v7 Dec_05</vt:lpwstr>
  </property>
  <property fmtid="{D5CDD505-2E9C-101B-9397-08002B2CF9AE}" pid="9" name="DM_Owner">
    <vt:lpwstr>Prizzi Monica</vt:lpwstr>
  </property>
  <property fmtid="{D5CDD505-2E9C-101B-9397-08002B2CF9AE}" pid="10" name="DM_Creation_Date">
    <vt:lpwstr>16/12/2005 11:52:30</vt:lpwstr>
  </property>
  <property fmtid="{D5CDD505-2E9C-101B-9397-08002B2CF9AE}" pid="11" name="DM_Creator_Name">
    <vt:lpwstr>Prizzi Monica</vt:lpwstr>
  </property>
  <property fmtid="{D5CDD505-2E9C-101B-9397-08002B2CF9AE}" pid="12" name="DM_Modifer_Name">
    <vt:lpwstr>Prizzi Monica</vt:lpwstr>
  </property>
  <property fmtid="{D5CDD505-2E9C-101B-9397-08002B2CF9AE}" pid="13" name="DM_Modified_Date">
    <vt:lpwstr>16/12/2005 11:52:30</vt:lpwstr>
  </property>
  <property fmtid="{D5CDD505-2E9C-101B-9397-08002B2CF9AE}" pid="14" name="DM_Type">
    <vt:lpwstr>emea_document</vt:lpwstr>
  </property>
  <property fmtid="{D5CDD505-2E9C-101B-9397-08002B2CF9AE}" pid="15" name="DM_Version">
    <vt:lpwstr>0.2, CURRENT</vt:lpwstr>
  </property>
  <property fmtid="{D5CDD505-2E9C-101B-9397-08002B2CF9AE}" pid="16" name="DM_emea_doc_ref_id">
    <vt:lpwstr>EMEA/412407/2005</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412407</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2005</vt:lpwstr>
  </property>
  <property fmtid="{D5CDD505-2E9C-101B-9397-08002B2CF9AE}" pid="30" name="DM_emea_sent_date">
    <vt:lpwstr>nulldate</vt:lpwstr>
  </property>
  <property fmtid="{D5CDD505-2E9C-101B-9397-08002B2CF9AE}" pid="31" name="DM_emea_doc_lang">
    <vt:lpwstr/>
  </property>
  <property fmtid="{D5CDD505-2E9C-101B-9397-08002B2CF9AE}" pid="32" name="ContentTypeId">
    <vt:lpwstr>0x010100726F91DD1AE57B44B1BCEB7F1056F5D0</vt:lpwstr>
  </property>
  <property fmtid="{D5CDD505-2E9C-101B-9397-08002B2CF9AE}" pid="33" name="MSIP_Label_4929bff8-5b33-42aa-95d2-28f72e792cb0_Enabled">
    <vt:lpwstr>True</vt:lpwstr>
  </property>
  <property fmtid="{D5CDD505-2E9C-101B-9397-08002B2CF9AE}" pid="34" name="MSIP_Label_4929bff8-5b33-42aa-95d2-28f72e792cb0_SiteId">
    <vt:lpwstr>f35a6974-607f-47d4-82d7-ff31d7dc53a5</vt:lpwstr>
  </property>
  <property fmtid="{D5CDD505-2E9C-101B-9397-08002B2CF9AE}" pid="35" name="MSIP_Label_4929bff8-5b33-42aa-95d2-28f72e792cb0_SetDate">
    <vt:lpwstr>2020-02-21T07:18:58.7538208Z</vt:lpwstr>
  </property>
  <property fmtid="{D5CDD505-2E9C-101B-9397-08002B2CF9AE}" pid="36" name="MSIP_Label_4929bff8-5b33-42aa-95d2-28f72e792cb0_Name">
    <vt:lpwstr>Business Use Only</vt:lpwstr>
  </property>
  <property fmtid="{D5CDD505-2E9C-101B-9397-08002B2CF9AE}" pid="37" name="MSIP_Label_4929bff8-5b33-42aa-95d2-28f72e792cb0_ActionId">
    <vt:lpwstr>10744ede-9f3c-4d55-82fb-6addb010c82e</vt:lpwstr>
  </property>
  <property fmtid="{D5CDD505-2E9C-101B-9397-08002B2CF9AE}" pid="38" name="MSIP_Label_4929bff8-5b33-42aa-95d2-28f72e792cb0_Extended_MSFT_Method">
    <vt:lpwstr>Automatic</vt:lpwstr>
  </property>
  <property fmtid="{D5CDD505-2E9C-101B-9397-08002B2CF9AE}" pid="39" name="Confidentiality">
    <vt:lpwstr>Business Use Only</vt:lpwstr>
  </property>
  <property fmtid="{D5CDD505-2E9C-101B-9397-08002B2CF9AE}" pid="40" name="MSIP_Label_0eea11ca-d417-4147-80ed-01a58412c458_Enabled">
    <vt:lpwstr>true</vt:lpwstr>
  </property>
  <property fmtid="{D5CDD505-2E9C-101B-9397-08002B2CF9AE}" pid="41" name="MSIP_Label_0eea11ca-d417-4147-80ed-01a58412c458_SetDate">
    <vt:lpwstr>2021-05-21T15:50:43Z</vt:lpwstr>
  </property>
  <property fmtid="{D5CDD505-2E9C-101B-9397-08002B2CF9AE}" pid="42" name="MSIP_Label_0eea11ca-d417-4147-80ed-01a58412c458_Method">
    <vt:lpwstr>Standard</vt:lpwstr>
  </property>
  <property fmtid="{D5CDD505-2E9C-101B-9397-08002B2CF9AE}" pid="43" name="MSIP_Label_0eea11ca-d417-4147-80ed-01a58412c458_Name">
    <vt:lpwstr>0eea11ca-d417-4147-80ed-01a58412c458</vt:lpwstr>
  </property>
  <property fmtid="{D5CDD505-2E9C-101B-9397-08002B2CF9AE}" pid="44" name="MSIP_Label_0eea11ca-d417-4147-80ed-01a58412c458_SiteId">
    <vt:lpwstr>bc9dc15c-61bc-4f03-b60b-e5b6d8922839</vt:lpwstr>
  </property>
  <property fmtid="{D5CDD505-2E9C-101B-9397-08002B2CF9AE}" pid="45" name="MSIP_Label_0eea11ca-d417-4147-80ed-01a58412c458_ActionId">
    <vt:lpwstr>9325a557-9921-4faa-92b4-cd7e85a92414</vt:lpwstr>
  </property>
  <property fmtid="{D5CDD505-2E9C-101B-9397-08002B2CF9AE}" pid="46" name="MSIP_Label_0eea11ca-d417-4147-80ed-01a58412c458_ContentBits">
    <vt:lpwstr>2</vt:lpwstr>
  </property>
</Properties>
</file>